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הצעת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משכנתא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פוליסת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ביטוח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גפני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מקלב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מיהדות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</w:t>
      </w:r>
      <w:r w:rsidDel="00000000" w:rsidR="00000000" w:rsidRPr="00000000">
        <w:rPr>
          <w:sz w:val="24"/>
          <w:szCs w:val="24"/>
          <w:rtl w:val="1"/>
        </w:rPr>
        <w:t xml:space="preserve"> (19.12) </w:t>
      </w:r>
      <w:r w:rsidDel="00000000" w:rsidR="00000000" w:rsidRPr="00000000">
        <w:rPr>
          <w:sz w:val="24"/>
          <w:szCs w:val="24"/>
          <w:rtl w:val="1"/>
        </w:rPr>
        <w:t xml:space="preserve">הצעת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הביטוח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העברת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תאגידים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בנקאיים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שלפיה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למחזר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משכנתא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בפוליסת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, "</w:t>
      </w:r>
      <w:r w:rsidDel="00000000" w:rsidR="00000000" w:rsidRPr="00000000">
        <w:rPr>
          <w:sz w:val="24"/>
          <w:szCs w:val="24"/>
          <w:rtl w:val="1"/>
        </w:rPr>
        <w:t xml:space="preserve">בביטוח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הביטוח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כשביטוח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לדרישת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להבטיח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הלווה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משכנתה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פוליסת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דרישה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בירוקרטי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מבחינתו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משכנתא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הכרוכות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מלווים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משכנתה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ההלוואה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העומדות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25-30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מצבם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הבריאותי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פוליסת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הגרוע</w:t>
      </w:r>
      <w:r w:rsidDel="00000000" w:rsidR="00000000" w:rsidRPr="00000000">
        <w:rPr>
          <w:sz w:val="24"/>
          <w:szCs w:val="24"/>
          <w:rtl w:val="1"/>
        </w:rPr>
        <w:t xml:space="preserve">… </w:t>
      </w:r>
      <w:r w:rsidDel="00000000" w:rsidR="00000000" w:rsidRPr="00000000">
        <w:rPr>
          <w:sz w:val="24"/>
          <w:szCs w:val="24"/>
          <w:rtl w:val="1"/>
        </w:rPr>
        <w:t xml:space="preserve">הצעת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מוטבים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תאגידים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בנקאיים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במסגרת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ביטוח</w:t>
      </w:r>
      <w:r w:rsidDel="00000000" w:rsidR="00000000" w:rsidRPr="00000000">
        <w:rPr>
          <w:sz w:val="24"/>
          <w:szCs w:val="24"/>
          <w:rtl w:val="1"/>
        </w:rPr>
        <w:t xml:space="preserve">".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הצעת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וארבע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22, 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הכנסת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-25.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נוסח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התיקון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/530/25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הצעת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הביטוח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תיקון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העברת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בביטוח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תאגידים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בנקאיים</w:t>
      </w:r>
      <w:r w:rsidDel="00000000" w:rsidR="00000000" w:rsidRPr="00000000">
        <w:rPr>
          <w:sz w:val="24"/>
          <w:szCs w:val="24"/>
          <w:rtl w:val="1"/>
        </w:rPr>
        <w:t xml:space="preserve">), 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התשפ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–2022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25.3349910208594"/>
        <w:gridCol w:w="730.1339964083438"/>
        <w:gridCol w:w="6470.04282359442"/>
        <w:tblGridChange w:id="0">
          <w:tblGrid>
            <w:gridCol w:w="1825.3349910208594"/>
            <w:gridCol w:w="730.1339964083438"/>
            <w:gridCol w:w="6470.0428235944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תיקון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סעיף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בחוק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הביטוח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התשמ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–1981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בסעיף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51,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סעיף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קטן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</w:t>
            </w:r>
          </w:p>
        </w:tc>
      </w:tr>
      <w:tr>
        <w:trPr>
          <w:cantSplit w:val="0"/>
          <w:trHeight w:val="30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האמור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בסעיף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11(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המבוטח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לקבוע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בסעיף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הקולט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הקבוע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באותה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בחוזה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הביטוח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בסעיף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המקורי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המקורי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תאגיד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בנקאי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כהגדרתו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הבנקאות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רישוי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התשמ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–1981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[2]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שנקבע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בביטוח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כערובה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הלוואה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שלהבטחתה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נרשמה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משכנתה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והמבוטח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מעוניין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לקבוע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הקולט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תאגיד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בנקאי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שלטובתו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משכנתה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כערובה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לפירעון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הלוואה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כאמור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המקורי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  </w:t>
              <w:tab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מבטח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תאגיד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בנקאי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לממונה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ביטוח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וחיסכון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בבקשה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להורות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בעניין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סעיף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קטן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מטעמים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מיוחדים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שיירשמו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."</w:t>
            </w:r>
          </w:p>
        </w:tc>
      </w:tr>
    </w:tbl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