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ועדת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הערר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שינויים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המעונות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סבא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ערר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ומרפאות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-22.9 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סבא</w:t>
      </w:r>
      <w:r w:rsidDel="00000000" w:rsidR="00000000" w:rsidRPr="00000000">
        <w:rPr>
          <w:rtl w:val="1"/>
        </w:rPr>
        <w:t xml:space="preserve">  (11.9) </w:t>
      </w:r>
      <w:r w:rsidDel="00000000" w:rsidR="00000000" w:rsidRPr="00000000">
        <w:rPr>
          <w:rtl w:val="1"/>
        </w:rPr>
        <w:t xml:space="preserve">לאשר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ברדוגו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מרפאות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בקשתם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האופוזיציה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כמתבקש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בדיקות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בערר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מעיון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באצטלה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לראותו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בהחלטת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הערר</w:t>
      </w:r>
      <w:r w:rsidDel="00000000" w:rsidR="00000000" w:rsidRPr="00000000">
        <w:rPr>
          <w:rtl w:val="1"/>
        </w:rPr>
        <w:t xml:space="preserve">'', </w:t>
      </w:r>
      <w:r w:rsidDel="00000000" w:rsidR="00000000" w:rsidRPr="00000000">
        <w:rPr>
          <w:rtl w:val="1"/>
        </w:rPr>
        <w:t xml:space="preserve">בראשות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המותרים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נלווים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וברפואה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לגילאי</w:t>
      </w:r>
      <w:r w:rsidDel="00000000" w:rsidR="00000000" w:rsidRPr="00000000">
        <w:rPr>
          <w:rtl w:val="1"/>
        </w:rPr>
        <w:t xml:space="preserve"> 0-3', </w:t>
      </w:r>
      <w:r w:rsidDel="00000000" w:rsidR="00000000" w:rsidRPr="00000000">
        <w:rPr>
          <w:rtl w:val="1"/>
        </w:rPr>
        <w:t xml:space="preserve">מועדון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150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מקסימלי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שיתאימו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-2600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למרפאות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השימושים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מרפאות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אגרונים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הנדסת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הקרטיריונים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המרפסות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וצפון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מטר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לתיקונים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בהחלטה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ושורטטה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הפרונטלי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ומששקע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ולהשקפת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ונחוצים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סבא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לתיקונים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כנדרש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בטבלת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פירוט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להקלה</w:t>
      </w:r>
      <w:r w:rsidDel="00000000" w:rsidR="00000000" w:rsidRPr="00000000">
        <w:rPr>
          <w:rtl w:val="1"/>
        </w:rPr>
        <w:t xml:space="preserve">"  </w:t>
      </w:r>
      <w:r w:rsidDel="00000000" w:rsidR="00000000" w:rsidRPr="00000000">
        <w:rPr>
          <w:rtl w:val="1"/>
        </w:rPr>
        <w:t xml:space="preserve">תפורסם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הרלוונטיות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