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03CAA" w14:textId="77777777" w:rsidR="005F0306" w:rsidRDefault="005F0306" w:rsidP="00722C14">
      <w:pPr>
        <w:pStyle w:val="1"/>
        <w:keepNext w:val="0"/>
        <w:keepLines w:val="0"/>
      </w:pPr>
      <w:r>
        <w:rPr>
          <w:rtl/>
        </w:rPr>
        <w:t>טיוטת תקנות</w:t>
      </w:r>
    </w:p>
    <w:p w14:paraId="50F441EA" w14:textId="77777777" w:rsidR="005F0306" w:rsidRDefault="005F0306" w:rsidP="00722C14">
      <w:pPr>
        <w:rPr>
          <w:rtl/>
        </w:rPr>
      </w:pPr>
    </w:p>
    <w:p w14:paraId="45918719" w14:textId="77777777" w:rsidR="005F0306" w:rsidRDefault="005F0306" w:rsidP="00F24A78">
      <w:pPr>
        <w:pStyle w:val="4"/>
        <w:rPr>
          <w:rtl/>
        </w:rPr>
      </w:pPr>
      <w:r>
        <w:rPr>
          <w:rFonts w:hint="cs"/>
          <w:rtl/>
        </w:rPr>
        <w:t>שם התקנות המוצעות</w:t>
      </w:r>
    </w:p>
    <w:p w14:paraId="7AF8A2CB" w14:textId="77777777" w:rsidR="005F0306" w:rsidRPr="00015952" w:rsidRDefault="005F0306" w:rsidP="00722C14">
      <w:pPr>
        <w:rPr>
          <w:sz w:val="26"/>
          <w:szCs w:val="26"/>
        </w:rPr>
      </w:pPr>
      <w:r w:rsidRPr="00015952">
        <w:rPr>
          <w:rFonts w:hint="cs"/>
          <w:sz w:val="26"/>
          <w:szCs w:val="26"/>
          <w:rtl/>
        </w:rPr>
        <w:t>תקנות התכנון והבנייה (תנאים נוספים לזכאות לשכירת יחידת דיור במחיר מופחת), התשפ"</w:t>
      </w:r>
      <w:r w:rsidR="006E7A70" w:rsidRPr="00015952">
        <w:rPr>
          <w:rFonts w:hint="cs"/>
          <w:sz w:val="26"/>
          <w:szCs w:val="26"/>
          <w:rtl/>
        </w:rPr>
        <w:t>ג</w:t>
      </w:r>
      <w:r w:rsidRPr="00015952">
        <w:rPr>
          <w:rFonts w:hint="cs"/>
          <w:sz w:val="26"/>
          <w:szCs w:val="26"/>
          <w:rtl/>
        </w:rPr>
        <w:t>-202</w:t>
      </w:r>
      <w:r w:rsidR="006E7A70" w:rsidRPr="00015952">
        <w:rPr>
          <w:rFonts w:hint="cs"/>
          <w:sz w:val="26"/>
          <w:szCs w:val="26"/>
          <w:rtl/>
        </w:rPr>
        <w:t>3</w:t>
      </w:r>
    </w:p>
    <w:p w14:paraId="2F8A4859" w14:textId="77777777" w:rsidR="005F0306" w:rsidRDefault="005F0306" w:rsidP="00722C14">
      <w:pPr>
        <w:rPr>
          <w:rtl/>
        </w:rPr>
      </w:pPr>
    </w:p>
    <w:p w14:paraId="670648E2" w14:textId="77777777" w:rsidR="005F0306" w:rsidRDefault="005F0306" w:rsidP="00722C14">
      <w:pPr>
        <w:rPr>
          <w:rtl/>
        </w:rPr>
      </w:pPr>
    </w:p>
    <w:p w14:paraId="7726FC09" w14:textId="7112EB34" w:rsidR="005F0306" w:rsidRDefault="005F0306" w:rsidP="00F24A78">
      <w:pPr>
        <w:pStyle w:val="4"/>
        <w:rPr>
          <w:rtl/>
        </w:rPr>
      </w:pPr>
      <w:r>
        <w:rPr>
          <w:rFonts w:hint="cs"/>
          <w:rtl/>
        </w:rPr>
        <w:t>מטרת התקנות המוצעות והצורך בהן</w:t>
      </w:r>
    </w:p>
    <w:p w14:paraId="50E6D347" w14:textId="1ECC14D8" w:rsidR="00354B2D" w:rsidRDefault="00354B2D" w:rsidP="00354B2D">
      <w:pPr>
        <w:pStyle w:val="Hesber1st"/>
        <w:tabs>
          <w:tab w:val="clear" w:pos="680"/>
        </w:tabs>
        <w:spacing w:after="240"/>
        <w:rPr>
          <w:sz w:val="26"/>
          <w:rtl/>
        </w:rPr>
      </w:pPr>
      <w:r w:rsidRPr="00015952">
        <w:rPr>
          <w:rFonts w:hint="cs"/>
          <w:sz w:val="26"/>
          <w:rtl/>
        </w:rPr>
        <w:t xml:space="preserve">סעיף 15(ב) לתוספת השישית בחוק התכנון והבניה, </w:t>
      </w:r>
      <w:proofErr w:type="spellStart"/>
      <w:r w:rsidRPr="00015952">
        <w:rPr>
          <w:rFonts w:hint="cs"/>
          <w:sz w:val="26"/>
          <w:rtl/>
        </w:rPr>
        <w:t>התשכ"ה</w:t>
      </w:r>
      <w:proofErr w:type="spellEnd"/>
      <w:r w:rsidRPr="00015952">
        <w:rPr>
          <w:rFonts w:hint="cs"/>
          <w:sz w:val="26"/>
          <w:rtl/>
        </w:rPr>
        <w:t xml:space="preserve"> </w:t>
      </w:r>
      <w:r w:rsidRPr="00015952">
        <w:rPr>
          <w:sz w:val="26"/>
          <w:rtl/>
        </w:rPr>
        <w:t>–</w:t>
      </w:r>
      <w:r w:rsidRPr="00015952">
        <w:rPr>
          <w:rFonts w:hint="cs"/>
          <w:sz w:val="26"/>
          <w:rtl/>
        </w:rPr>
        <w:t xml:space="preserve"> 1965 (להלן-החוק), ואישור מליאת הכנסת על החלטת ממשלה בהתאם לסמכותה הקבועה בסעיף 31(ב) לחוק יסוד: הממשלה</w:t>
      </w:r>
      <w:r w:rsidR="0046291D">
        <w:rPr>
          <w:rFonts w:hint="cs"/>
          <w:sz w:val="26"/>
          <w:rtl/>
        </w:rPr>
        <w:t>, בעניין העברת סמכויות שר האוצר בעניין זה לשר הבינוי והשיכון,</w:t>
      </w:r>
      <w:r w:rsidRPr="00015952">
        <w:rPr>
          <w:rFonts w:hint="cs"/>
          <w:sz w:val="26"/>
          <w:rtl/>
        </w:rPr>
        <w:t xml:space="preserve"> קובע כי שר הבינוי והשיכון, לאחר התייעצות עם הארגון המייצג את המספר הגדול ביותר של רשויות מקומיות ובאישור ועדת הפנים והגנת הסביבה של הכנסת, יקבע תנאים נוספים לזכאות לשכירת יחידת דיור במחיר מופחת, שיכללו מבחני הכנסה (תיקון מס' 135 בחוק מיום 18.11.2021).</w:t>
      </w:r>
    </w:p>
    <w:p w14:paraId="424438A3" w14:textId="77777777" w:rsidR="00354B2D" w:rsidRDefault="00354B2D" w:rsidP="00354B2D">
      <w:pPr>
        <w:pStyle w:val="Hesber1st"/>
        <w:tabs>
          <w:tab w:val="clear" w:pos="680"/>
        </w:tabs>
        <w:spacing w:after="240"/>
        <w:rPr>
          <w:rtl/>
        </w:rPr>
      </w:pPr>
    </w:p>
    <w:p w14:paraId="4E3DA9FE" w14:textId="77777777" w:rsidR="00354B2D" w:rsidRDefault="00354B2D" w:rsidP="00354B2D">
      <w:pPr>
        <w:pStyle w:val="Hesber1st"/>
        <w:tabs>
          <w:tab w:val="clear" w:pos="680"/>
        </w:tabs>
        <w:spacing w:after="240"/>
        <w:rPr>
          <w:sz w:val="26"/>
          <w:rtl/>
        </w:rPr>
      </w:pPr>
      <w:r>
        <w:rPr>
          <w:rFonts w:hint="cs"/>
          <w:sz w:val="26"/>
          <w:rtl/>
        </w:rPr>
        <w:t xml:space="preserve">על כן, </w:t>
      </w:r>
      <w:r w:rsidRPr="00015952">
        <w:rPr>
          <w:rFonts w:hint="cs"/>
          <w:sz w:val="26"/>
          <w:rtl/>
        </w:rPr>
        <w:t xml:space="preserve">בתקנות אלו מוצע כי יקבע תנאי סף נוסף, שהוא מבחן הכנסה לזכאות לשכירת יחידת דיור במחיר מופחת, וזאת מעבר לקבוע בחוק. </w:t>
      </w:r>
    </w:p>
    <w:p w14:paraId="2EAF5AE1" w14:textId="77777777" w:rsidR="00354B2D" w:rsidRDefault="00354B2D" w:rsidP="00354B2D">
      <w:pPr>
        <w:pStyle w:val="Hesber1st"/>
        <w:tabs>
          <w:tab w:val="clear" w:pos="680"/>
        </w:tabs>
        <w:spacing w:after="240"/>
        <w:rPr>
          <w:sz w:val="26"/>
          <w:rtl/>
        </w:rPr>
      </w:pPr>
    </w:p>
    <w:p w14:paraId="2D9FE1BA" w14:textId="183E28E8" w:rsidR="005F0306" w:rsidRPr="0046291D" w:rsidRDefault="00354B2D" w:rsidP="0046291D">
      <w:pPr>
        <w:pStyle w:val="Hesber1st"/>
        <w:tabs>
          <w:tab w:val="clear" w:pos="680"/>
        </w:tabs>
        <w:spacing w:after="240"/>
        <w:rPr>
          <w:sz w:val="26"/>
          <w:rtl/>
        </w:rPr>
      </w:pPr>
      <w:r w:rsidRPr="00015952">
        <w:rPr>
          <w:rFonts w:hint="cs"/>
          <w:sz w:val="26"/>
          <w:rtl/>
        </w:rPr>
        <w:t xml:space="preserve">מבחן ההכנסה המוצע הוא שסך ההכנסה החודשית הממוצעת ברוטו, בששת החודשים שקדמו למועד קבלת הזכאות, של יחיד לא עלתה על פי 1.2 מהשכר הממוצע במשק, ושל זוג או של יחיד עם ילד אחד - לא עלתה על פי 1.75 מהשכר הממוצע במשק, וזאת באופן תואם לשיטת שקלול מספר נפשות לפי סולם אחיד שפרסמה הלשכה המרכזית לסטטיסטיקה. לפי שיטה זו נקבע </w:t>
      </w:r>
      <w:r w:rsidRPr="00015952">
        <w:rPr>
          <w:sz w:val="26"/>
          <w:rtl/>
        </w:rPr>
        <w:t>כיחידת בסיס משק בית בן שתי נפשות</w:t>
      </w:r>
      <w:r w:rsidRPr="00015952">
        <w:rPr>
          <w:rFonts w:hint="cs"/>
          <w:sz w:val="26"/>
          <w:rtl/>
        </w:rPr>
        <w:t>,</w:t>
      </w:r>
      <w:r w:rsidRPr="00015952">
        <w:rPr>
          <w:sz w:val="26"/>
          <w:rtl/>
        </w:rPr>
        <w:t xml:space="preserve"> </w:t>
      </w:r>
      <w:r w:rsidRPr="00015952">
        <w:rPr>
          <w:rFonts w:hint="cs"/>
          <w:sz w:val="26"/>
          <w:rtl/>
        </w:rPr>
        <w:t>ו</w:t>
      </w:r>
      <w:r w:rsidRPr="00015952">
        <w:rPr>
          <w:sz w:val="26"/>
          <w:rtl/>
        </w:rPr>
        <w:t>ככל שעולה מספר הנפשות ניתן משקל שולי הולך ופוחת לכל נפש המתווספת למשק הבית</w:t>
      </w:r>
      <w:r>
        <w:rPr>
          <w:rFonts w:hint="cs"/>
          <w:sz w:val="26"/>
          <w:rtl/>
        </w:rPr>
        <w:t>.</w:t>
      </w:r>
    </w:p>
    <w:p w14:paraId="69A36B2B" w14:textId="77777777" w:rsidR="005F0306" w:rsidRDefault="005F0306" w:rsidP="00722C14">
      <w:pPr>
        <w:rPr>
          <w:rtl/>
        </w:rPr>
      </w:pPr>
    </w:p>
    <w:p w14:paraId="3D533F37" w14:textId="70052E09" w:rsidR="005F0306" w:rsidRDefault="005F0306" w:rsidP="00F24A78">
      <w:pPr>
        <w:pStyle w:val="4"/>
        <w:rPr>
          <w:rtl/>
        </w:rPr>
      </w:pPr>
      <w:r>
        <w:rPr>
          <w:rFonts w:hint="cs"/>
          <w:rtl/>
        </w:rPr>
        <w:t xml:space="preserve">להלן נוסח טיוטת התקנות המוצעות: </w:t>
      </w:r>
    </w:p>
    <w:p w14:paraId="09E20D75" w14:textId="7DD61842" w:rsidR="00015952" w:rsidRPr="00015952" w:rsidRDefault="00015952" w:rsidP="00015952">
      <w:pPr>
        <w:pStyle w:val="Hesber1st"/>
        <w:tabs>
          <w:tab w:val="clear" w:pos="680"/>
        </w:tabs>
        <w:spacing w:after="240"/>
      </w:pPr>
    </w:p>
    <w:p w14:paraId="3DACFEB7" w14:textId="77777777" w:rsidR="005F0306" w:rsidRDefault="005F0306" w:rsidP="00722C14">
      <w:pPr>
        <w:bidi w:val="0"/>
      </w:pPr>
      <w:r>
        <w:rPr>
          <w:rtl/>
        </w:rPr>
        <w:br w:type="page"/>
      </w:r>
      <w:bookmarkStart w:id="0" w:name="_GoBack"/>
      <w:bookmarkEnd w:id="0"/>
    </w:p>
    <w:p w14:paraId="30B4953D" w14:textId="77777777" w:rsidR="005F0306" w:rsidRDefault="005F0306" w:rsidP="00722C14">
      <w:pPr>
        <w:pStyle w:val="HeadMitparsemetBaze"/>
        <w:keepNext w:val="0"/>
        <w:keepLines w:val="0"/>
        <w:pageBreakBefore w:val="0"/>
        <w:rPr>
          <w:rtl/>
        </w:rPr>
      </w:pPr>
      <w:r>
        <w:rPr>
          <w:rtl/>
        </w:rPr>
        <w:lastRenderedPageBreak/>
        <w:t>טיוטת תקנות מטעם משרד</w:t>
      </w:r>
      <w:r>
        <w:rPr>
          <w:rFonts w:hint="cs"/>
          <w:rtl/>
        </w:rPr>
        <w:t xml:space="preserve"> הבינוי והשיכון</w:t>
      </w:r>
      <w:r>
        <w:rPr>
          <w:rtl/>
        </w:rPr>
        <w:t xml:space="preserve">: </w:t>
      </w:r>
    </w:p>
    <w:p w14:paraId="1ACE0813" w14:textId="6722732F" w:rsidR="005F0306" w:rsidRDefault="005F0306" w:rsidP="00722C14">
      <w:pPr>
        <w:pStyle w:val="HeadHatzaotHok"/>
        <w:keepNext w:val="0"/>
        <w:keepLines w:val="0"/>
        <w:rPr>
          <w:rtl/>
        </w:rPr>
      </w:pPr>
      <w:r>
        <w:rPr>
          <w:rtl/>
        </w:rPr>
        <w:t xml:space="preserve">טיוטת תקנות </w:t>
      </w:r>
      <w:r>
        <w:rPr>
          <w:rFonts w:hint="cs"/>
          <w:rtl/>
        </w:rPr>
        <w:t xml:space="preserve">התכנון </w:t>
      </w:r>
      <w:r w:rsidR="00FA69CC" w:rsidRPr="00015952">
        <w:rPr>
          <w:rFonts w:hint="cs"/>
          <w:sz w:val="26"/>
          <w:rtl/>
        </w:rPr>
        <w:t>והבנייה (תנאים נוספים לזכאות לשכירת יחידת דיור במחיר מופחת), התשפ"ג-2023</w:t>
      </w: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6"/>
      </w:tblGrid>
      <w:tr w:rsidR="005F0306" w14:paraId="64D60EA7" w14:textId="77777777" w:rsidTr="00E63D90">
        <w:trPr>
          <w:cantSplit/>
          <w:trHeight w:val="60"/>
        </w:trPr>
        <w:tc>
          <w:tcPr>
            <w:tcW w:w="1871" w:type="dxa"/>
          </w:tcPr>
          <w:p w14:paraId="6D187C3E" w14:textId="77777777" w:rsidR="005F0306" w:rsidRDefault="005F0306">
            <w:pPr>
              <w:pStyle w:val="TableSideHeading"/>
              <w:rPr>
                <w:rtl/>
              </w:rPr>
            </w:pPr>
          </w:p>
        </w:tc>
        <w:tc>
          <w:tcPr>
            <w:tcW w:w="624" w:type="dxa"/>
          </w:tcPr>
          <w:p w14:paraId="5F635154" w14:textId="77777777" w:rsidR="005F0306" w:rsidRDefault="005F0306">
            <w:pPr>
              <w:pStyle w:val="TableText"/>
            </w:pPr>
          </w:p>
        </w:tc>
        <w:tc>
          <w:tcPr>
            <w:tcW w:w="7146" w:type="dxa"/>
            <w:hideMark/>
          </w:tcPr>
          <w:p w14:paraId="0033F8A2" w14:textId="77777777" w:rsidR="005F0306" w:rsidRDefault="005F0306">
            <w:pPr>
              <w:pStyle w:val="TableBlock"/>
            </w:pPr>
            <w:r>
              <w:rPr>
                <w:rtl/>
              </w:rPr>
              <w:t>בתוקף סמכותי לפי סעיף</w:t>
            </w:r>
            <w:r>
              <w:rPr>
                <w:rFonts w:hint="cs"/>
                <w:rtl/>
              </w:rPr>
              <w:t xml:space="preserve"> 15(ב)</w:t>
            </w:r>
            <w:r>
              <w:rPr>
                <w:rtl/>
              </w:rPr>
              <w:t xml:space="preserve"> ל</w:t>
            </w:r>
            <w:r>
              <w:rPr>
                <w:rFonts w:hint="cs"/>
                <w:rtl/>
              </w:rPr>
              <w:t>תוספת השישית ל</w:t>
            </w:r>
            <w:r>
              <w:rPr>
                <w:rtl/>
              </w:rPr>
              <w:t xml:space="preserve">חוק </w:t>
            </w:r>
            <w:r>
              <w:rPr>
                <w:rFonts w:hint="cs"/>
                <w:rtl/>
              </w:rPr>
              <w:t>התכנון והבנייה</w:t>
            </w:r>
            <w:r>
              <w:rPr>
                <w:rtl/>
              </w:rPr>
              <w:t>,</w:t>
            </w:r>
            <w:r>
              <w:rPr>
                <w:rFonts w:hint="cs"/>
                <w:rtl/>
              </w:rPr>
              <w:t xml:space="preserve"> התשכ"ה-1965</w:t>
            </w:r>
            <w:r>
              <w:rPr>
                <w:rStyle w:val="a7"/>
                <w:rtl/>
              </w:rPr>
              <w:footnoteReference w:id="1"/>
            </w:r>
            <w:r>
              <w:rPr>
                <w:rFonts w:hint="cs"/>
                <w:rtl/>
              </w:rPr>
              <w:t xml:space="preserve"> </w:t>
            </w:r>
            <w:r w:rsidRPr="00275763">
              <w:rPr>
                <w:rFonts w:hint="cs"/>
                <w:sz w:val="24"/>
                <w:rtl/>
              </w:rPr>
              <w:t xml:space="preserve">(להלן </w:t>
            </w:r>
            <w:r w:rsidRPr="00275763">
              <w:rPr>
                <w:sz w:val="24"/>
                <w:rtl/>
              </w:rPr>
              <w:t>–</w:t>
            </w:r>
            <w:r w:rsidRPr="00275763">
              <w:rPr>
                <w:rFonts w:hint="cs"/>
                <w:sz w:val="24"/>
                <w:rtl/>
              </w:rPr>
              <w:t xml:space="preserve"> החוק)</w:t>
            </w:r>
            <w:r>
              <w:rPr>
                <w:rFonts w:hint="cs"/>
                <w:sz w:val="24"/>
                <w:rtl/>
              </w:rPr>
              <w:t xml:space="preserve"> </w:t>
            </w:r>
            <w:r w:rsidRPr="00275763">
              <w:rPr>
                <w:rFonts w:hint="cs"/>
                <w:sz w:val="24"/>
                <w:rtl/>
              </w:rPr>
              <w:t>ולאחר שהתייעצתי עם הארגון המייצג את המספר הגדול ביותר של רשויות מקומיות וקיבלתי את אישור ועדת הפנים והגנת הסביבה של הכנסת</w:t>
            </w:r>
            <w:r>
              <w:rPr>
                <w:rtl/>
              </w:rPr>
              <w:t>, אני מתקין תקנות אלה:</w:t>
            </w:r>
          </w:p>
        </w:tc>
      </w:tr>
      <w:tr w:rsidR="005F0306" w14:paraId="1F4DE34D" w14:textId="77777777" w:rsidTr="00E63D90">
        <w:trPr>
          <w:cantSplit/>
          <w:trHeight w:val="60"/>
        </w:trPr>
        <w:tc>
          <w:tcPr>
            <w:tcW w:w="1871" w:type="dxa"/>
          </w:tcPr>
          <w:p w14:paraId="57346DA8" w14:textId="77777777" w:rsidR="005F0306" w:rsidRDefault="008236BD">
            <w:pPr>
              <w:pStyle w:val="TableSideHeading"/>
            </w:pPr>
            <w:r>
              <w:rPr>
                <w:rFonts w:hint="cs"/>
                <w:rtl/>
              </w:rPr>
              <w:t>הגדרות</w:t>
            </w:r>
          </w:p>
        </w:tc>
        <w:tc>
          <w:tcPr>
            <w:tcW w:w="624" w:type="dxa"/>
          </w:tcPr>
          <w:p w14:paraId="115FAE09" w14:textId="77777777" w:rsidR="005F0306" w:rsidRDefault="005F0306" w:rsidP="005F0306">
            <w:pPr>
              <w:pStyle w:val="TableText"/>
              <w:numPr>
                <w:ilvl w:val="0"/>
                <w:numId w:val="2"/>
              </w:numPr>
            </w:pPr>
          </w:p>
        </w:tc>
        <w:tc>
          <w:tcPr>
            <w:tcW w:w="7146" w:type="dxa"/>
          </w:tcPr>
          <w:p w14:paraId="1EA4473E" w14:textId="77777777" w:rsidR="005F0306" w:rsidRDefault="008236BD">
            <w:pPr>
              <w:pStyle w:val="TableBlock"/>
            </w:pPr>
            <w:r>
              <w:rPr>
                <w:rFonts w:hint="cs"/>
                <w:rtl/>
              </w:rPr>
              <w:t>בתקנות אלה -</w:t>
            </w:r>
          </w:p>
        </w:tc>
      </w:tr>
      <w:tr w:rsidR="008236BD" w14:paraId="313BB238" w14:textId="77777777" w:rsidTr="00E63D90">
        <w:trPr>
          <w:cantSplit/>
          <w:trHeight w:val="60"/>
        </w:trPr>
        <w:tc>
          <w:tcPr>
            <w:tcW w:w="1871" w:type="dxa"/>
          </w:tcPr>
          <w:p w14:paraId="0A15C948" w14:textId="77777777" w:rsidR="008236BD" w:rsidRDefault="008236BD">
            <w:pPr>
              <w:pStyle w:val="TableSideHeading"/>
              <w:rPr>
                <w:rtl/>
              </w:rPr>
            </w:pPr>
          </w:p>
        </w:tc>
        <w:tc>
          <w:tcPr>
            <w:tcW w:w="624" w:type="dxa"/>
          </w:tcPr>
          <w:p w14:paraId="00D78D80" w14:textId="77777777" w:rsidR="008236BD" w:rsidRDefault="008236BD" w:rsidP="008236BD">
            <w:pPr>
              <w:pStyle w:val="TableText"/>
            </w:pPr>
          </w:p>
        </w:tc>
        <w:tc>
          <w:tcPr>
            <w:tcW w:w="7146" w:type="dxa"/>
          </w:tcPr>
          <w:p w14:paraId="685C1FC5" w14:textId="77777777" w:rsidR="002077FE" w:rsidRPr="008236BD" w:rsidRDefault="008236BD" w:rsidP="00343A8C">
            <w:pPr>
              <w:pStyle w:val="TableBlockOutdent"/>
              <w:rPr>
                <w:rtl/>
              </w:rPr>
            </w:pPr>
            <w:r>
              <w:rPr>
                <w:rtl/>
              </w:rPr>
              <w:t>"</w:t>
            </w:r>
            <w:r>
              <w:rPr>
                <w:rFonts w:hint="cs"/>
                <w:rtl/>
              </w:rPr>
              <w:t xml:space="preserve">הכנסה" </w:t>
            </w:r>
            <w:r>
              <w:rPr>
                <w:rtl/>
              </w:rPr>
              <w:t>–</w:t>
            </w:r>
            <w:r>
              <w:rPr>
                <w:rFonts w:hint="cs"/>
                <w:rtl/>
              </w:rPr>
              <w:t xml:space="preserve"> </w:t>
            </w:r>
            <w:r w:rsidR="002077FE" w:rsidRPr="002077FE">
              <w:rPr>
                <w:rtl/>
              </w:rPr>
              <w:t>הכנסה ברוטו, מכל מקור הכנסה שהוא, לרבות תשלומים שהמוסד לביטוח לאומי משלם, למעט </w:t>
            </w:r>
            <w:r w:rsidR="002077FE" w:rsidRPr="00343A8C">
              <w:rPr>
                <w:rtl/>
              </w:rPr>
              <w:t>קצבה המשולמת לפי פרקים ד' ו-י"א לחוק הביטוח</w:t>
            </w:r>
            <w:r w:rsidR="00883CA3">
              <w:rPr>
                <w:rFonts w:hint="cs"/>
                <w:rtl/>
              </w:rPr>
              <w:t xml:space="preserve"> הלאומי</w:t>
            </w:r>
            <w:r w:rsidR="00803E9C">
              <w:rPr>
                <w:rFonts w:hint="cs"/>
                <w:rtl/>
              </w:rPr>
              <w:t xml:space="preserve"> [נוסח משולב], התשנ"ה-1995</w:t>
            </w:r>
            <w:r w:rsidR="002077FE" w:rsidRPr="00343A8C">
              <w:rPr>
                <w:rtl/>
              </w:rPr>
              <w:t xml:space="preserve"> וגמלה לפי תקנות הביטוח הלאומי (ילד נכה), התש"ע-2010</w:t>
            </w:r>
            <w:r w:rsidR="00F054B0">
              <w:rPr>
                <w:rFonts w:hint="cs"/>
                <w:rtl/>
              </w:rPr>
              <w:t>;</w:t>
            </w:r>
          </w:p>
        </w:tc>
      </w:tr>
      <w:tr w:rsidR="00F054B0" w14:paraId="3664A485" w14:textId="77777777" w:rsidTr="00E63D90">
        <w:trPr>
          <w:cantSplit/>
          <w:trHeight w:val="60"/>
        </w:trPr>
        <w:tc>
          <w:tcPr>
            <w:tcW w:w="1871" w:type="dxa"/>
          </w:tcPr>
          <w:p w14:paraId="29EF8C01" w14:textId="77777777" w:rsidR="00F054B0" w:rsidRDefault="00F054B0">
            <w:pPr>
              <w:pStyle w:val="TableSideHeading"/>
            </w:pPr>
          </w:p>
        </w:tc>
        <w:tc>
          <w:tcPr>
            <w:tcW w:w="624" w:type="dxa"/>
          </w:tcPr>
          <w:p w14:paraId="65DAC1AD" w14:textId="77777777" w:rsidR="00F054B0" w:rsidRDefault="00F054B0" w:rsidP="008236BD">
            <w:pPr>
              <w:pStyle w:val="TableText"/>
            </w:pPr>
          </w:p>
        </w:tc>
        <w:tc>
          <w:tcPr>
            <w:tcW w:w="7146" w:type="dxa"/>
          </w:tcPr>
          <w:p w14:paraId="144501D9" w14:textId="77777777" w:rsidR="00F054B0" w:rsidRPr="00F054B0" w:rsidRDefault="00F054B0" w:rsidP="00F054B0">
            <w:pPr>
              <w:pStyle w:val="TableBlockOutdent"/>
            </w:pPr>
            <w:r>
              <w:rPr>
                <w:rtl/>
              </w:rPr>
              <w:t>"</w:t>
            </w:r>
            <w:r>
              <w:rPr>
                <w:rFonts w:hint="cs"/>
                <w:rtl/>
              </w:rPr>
              <w:t xml:space="preserve">מחיר מופחת" </w:t>
            </w:r>
            <w:r>
              <w:rPr>
                <w:rtl/>
              </w:rPr>
              <w:t>–</w:t>
            </w:r>
            <w:r>
              <w:rPr>
                <w:rFonts w:hint="cs"/>
                <w:rtl/>
              </w:rPr>
              <w:t xml:space="preserve"> כהגדרתו בתוספת השישית לחוק;</w:t>
            </w:r>
          </w:p>
        </w:tc>
      </w:tr>
      <w:tr w:rsidR="00E63D90" w14:paraId="40CAD315" w14:textId="77777777" w:rsidTr="00E63D90">
        <w:trPr>
          <w:cantSplit/>
          <w:trHeight w:val="60"/>
        </w:trPr>
        <w:tc>
          <w:tcPr>
            <w:tcW w:w="1871" w:type="dxa"/>
          </w:tcPr>
          <w:p w14:paraId="09E94127" w14:textId="77777777" w:rsidR="00E63D90" w:rsidRDefault="00E63D90" w:rsidP="00E63D90">
            <w:pPr>
              <w:pStyle w:val="TableSideHeading"/>
              <w:keepLines w:val="0"/>
            </w:pPr>
            <w:r>
              <w:rPr>
                <w:rFonts w:hint="cs"/>
                <w:rtl/>
              </w:rPr>
              <w:t>תנאים לקבלת זכאות להשכרה במחיר מופחת</w:t>
            </w:r>
          </w:p>
        </w:tc>
        <w:tc>
          <w:tcPr>
            <w:tcW w:w="624" w:type="dxa"/>
          </w:tcPr>
          <w:p w14:paraId="54752C64" w14:textId="77777777" w:rsidR="00E63D90" w:rsidRDefault="00E63D90" w:rsidP="00E63D90">
            <w:pPr>
              <w:pStyle w:val="TableText"/>
              <w:keepLines w:val="0"/>
              <w:numPr>
                <w:ilvl w:val="0"/>
                <w:numId w:val="4"/>
              </w:numPr>
            </w:pPr>
          </w:p>
        </w:tc>
        <w:tc>
          <w:tcPr>
            <w:tcW w:w="7146" w:type="dxa"/>
          </w:tcPr>
          <w:p w14:paraId="2E34CD26" w14:textId="77777777" w:rsidR="00E63D90" w:rsidRDefault="00E63D90" w:rsidP="004B622F">
            <w:pPr>
              <w:pStyle w:val="TableBlock"/>
              <w:rPr>
                <w:sz w:val="24"/>
                <w:rtl/>
              </w:rPr>
            </w:pPr>
            <w:r>
              <w:rPr>
                <w:rFonts w:hint="cs"/>
                <w:sz w:val="24"/>
                <w:rtl/>
              </w:rPr>
              <w:t>התנאים הנוספים, לאלה הקבועים בחוק, לקבלת זכאות לשכירת יחידת דיור במחיר מופחת יהיו אלה:</w:t>
            </w:r>
          </w:p>
          <w:p w14:paraId="3AAEF5F5" w14:textId="5D85370A" w:rsidR="00E63D90" w:rsidRDefault="00E63D90" w:rsidP="00E63D90">
            <w:pPr>
              <w:pStyle w:val="TableBlock"/>
              <w:numPr>
                <w:ilvl w:val="0"/>
                <w:numId w:val="23"/>
              </w:numPr>
              <w:rPr>
                <w:sz w:val="24"/>
              </w:rPr>
            </w:pPr>
            <w:r w:rsidRPr="00275763">
              <w:rPr>
                <w:rFonts w:hint="cs"/>
                <w:sz w:val="24"/>
                <w:rtl/>
              </w:rPr>
              <w:t>סך ההכנסה החודשית הממוצעת ברוטו בשש</w:t>
            </w:r>
            <w:r>
              <w:rPr>
                <w:rFonts w:hint="cs"/>
                <w:sz w:val="24"/>
                <w:rtl/>
              </w:rPr>
              <w:t>ת</w:t>
            </w:r>
            <w:r w:rsidRPr="00275763">
              <w:rPr>
                <w:rFonts w:hint="cs"/>
                <w:sz w:val="24"/>
                <w:rtl/>
              </w:rPr>
              <w:t xml:space="preserve"> החודשים שקדמו </w:t>
            </w:r>
            <w:r w:rsidRPr="00E65397">
              <w:rPr>
                <w:rFonts w:hint="cs"/>
                <w:sz w:val="24"/>
                <w:rtl/>
              </w:rPr>
              <w:t>ל</w:t>
            </w:r>
            <w:r w:rsidRPr="00CB7709">
              <w:rPr>
                <w:rFonts w:hint="eastAsia"/>
                <w:sz w:val="24"/>
                <w:rtl/>
              </w:rPr>
              <w:t>מועד</w:t>
            </w:r>
            <w:r w:rsidRPr="00CB7709">
              <w:rPr>
                <w:sz w:val="24"/>
                <w:rtl/>
              </w:rPr>
              <w:t xml:space="preserve"> </w:t>
            </w:r>
            <w:r>
              <w:rPr>
                <w:rFonts w:hint="cs"/>
                <w:sz w:val="24"/>
                <w:rtl/>
              </w:rPr>
              <w:t>קבלת הזכאות</w:t>
            </w:r>
            <w:r w:rsidRPr="00CB7709">
              <w:rPr>
                <w:sz w:val="24"/>
                <w:rtl/>
              </w:rPr>
              <w:t xml:space="preserve"> </w:t>
            </w:r>
            <w:r w:rsidRPr="00275763">
              <w:rPr>
                <w:rFonts w:hint="cs"/>
                <w:sz w:val="24"/>
                <w:rtl/>
              </w:rPr>
              <w:t xml:space="preserve">לא עלתה </w:t>
            </w:r>
            <w:r w:rsidRPr="00E9576A">
              <w:rPr>
                <w:rFonts w:hint="cs"/>
                <w:sz w:val="24"/>
                <w:rtl/>
              </w:rPr>
              <w:t xml:space="preserve">על </w:t>
            </w:r>
            <w:r w:rsidR="0012119B">
              <w:rPr>
                <w:rFonts w:hint="cs"/>
                <w:sz w:val="24"/>
                <w:rtl/>
              </w:rPr>
              <w:t>פי 1.2 מ</w:t>
            </w:r>
            <w:r>
              <w:rPr>
                <w:rFonts w:hint="cs"/>
                <w:sz w:val="24"/>
                <w:rtl/>
              </w:rPr>
              <w:t xml:space="preserve">השכר הממוצע במשק </w:t>
            </w:r>
            <w:r>
              <w:rPr>
                <w:sz w:val="24"/>
                <w:rtl/>
              </w:rPr>
              <w:t>–</w:t>
            </w:r>
            <w:r>
              <w:rPr>
                <w:rFonts w:hint="cs"/>
                <w:sz w:val="24"/>
                <w:rtl/>
              </w:rPr>
              <w:t xml:space="preserve"> ליחיד; </w:t>
            </w:r>
            <w:r>
              <w:rPr>
                <w:rFonts w:hint="cs"/>
                <w:rtl/>
              </w:rPr>
              <w:t>ולזוג</w:t>
            </w:r>
            <w:r w:rsidR="006A15E4">
              <w:rPr>
                <w:rFonts w:hint="cs"/>
                <w:rtl/>
              </w:rPr>
              <w:t xml:space="preserve"> או ליחיד עם ילד אחד</w:t>
            </w:r>
            <w:r>
              <w:rPr>
                <w:rFonts w:hint="cs"/>
                <w:rtl/>
              </w:rPr>
              <w:t xml:space="preserve"> -</w:t>
            </w:r>
            <w:r w:rsidR="00271EE3">
              <w:rPr>
                <w:rFonts w:hint="cs"/>
                <w:rtl/>
              </w:rPr>
              <w:t xml:space="preserve"> </w:t>
            </w:r>
            <w:r w:rsidRPr="00BC3DF4">
              <w:rPr>
                <w:rFonts w:hint="cs"/>
                <w:rtl/>
              </w:rPr>
              <w:t>פי 1.</w:t>
            </w:r>
            <w:r w:rsidR="00F1210F" w:rsidRPr="00BC3DF4">
              <w:rPr>
                <w:rFonts w:hint="cs"/>
                <w:rtl/>
              </w:rPr>
              <w:t>75</w:t>
            </w:r>
            <w:r w:rsidR="00F1210F">
              <w:rPr>
                <w:rFonts w:hint="cs"/>
                <w:rtl/>
              </w:rPr>
              <w:t xml:space="preserve"> </w:t>
            </w:r>
            <w:r>
              <w:rPr>
                <w:rFonts w:hint="cs"/>
                <w:rtl/>
              </w:rPr>
              <w:t>מהשכר הממוצע במשק</w:t>
            </w:r>
            <w:r w:rsidR="00623123">
              <w:rPr>
                <w:rFonts w:hint="cs"/>
                <w:rtl/>
              </w:rPr>
              <w:t xml:space="preserve"> (להלן </w:t>
            </w:r>
            <w:r w:rsidR="005950E4">
              <w:rPr>
                <w:rtl/>
              </w:rPr>
              <w:t>–</w:t>
            </w:r>
            <w:r w:rsidR="00623123">
              <w:rPr>
                <w:rFonts w:hint="cs"/>
                <w:rtl/>
              </w:rPr>
              <w:t xml:space="preserve"> </w:t>
            </w:r>
            <w:r w:rsidR="005950E4">
              <w:rPr>
                <w:rFonts w:hint="cs"/>
                <w:rtl/>
              </w:rPr>
              <w:t xml:space="preserve">ההכנסה </w:t>
            </w:r>
            <w:proofErr w:type="spellStart"/>
            <w:r w:rsidR="005950E4">
              <w:rPr>
                <w:rFonts w:hint="cs"/>
                <w:rtl/>
              </w:rPr>
              <w:t>המירבית</w:t>
            </w:r>
            <w:proofErr w:type="spellEnd"/>
            <w:r w:rsidR="005950E4">
              <w:rPr>
                <w:rFonts w:hint="cs"/>
                <w:rtl/>
              </w:rPr>
              <w:t>)</w:t>
            </w:r>
            <w:r w:rsidR="000A196F">
              <w:rPr>
                <w:rFonts w:hint="cs"/>
                <w:sz w:val="24"/>
                <w:rtl/>
              </w:rPr>
              <w:t>.</w:t>
            </w:r>
          </w:p>
          <w:p w14:paraId="651E98F6" w14:textId="7C5997D2" w:rsidR="00623123" w:rsidRDefault="00F50E07" w:rsidP="00E63D90">
            <w:pPr>
              <w:pStyle w:val="TableBlock"/>
              <w:numPr>
                <w:ilvl w:val="0"/>
                <w:numId w:val="23"/>
              </w:numPr>
              <w:rPr>
                <w:sz w:val="24"/>
              </w:rPr>
            </w:pPr>
            <w:r>
              <w:rPr>
                <w:rFonts w:hint="cs"/>
                <w:sz w:val="24"/>
                <w:rtl/>
              </w:rPr>
              <w:t>עבור כל ילד</w:t>
            </w:r>
            <w:r w:rsidR="00F1210F">
              <w:rPr>
                <w:rFonts w:hint="cs"/>
                <w:sz w:val="24"/>
                <w:rtl/>
              </w:rPr>
              <w:t xml:space="preserve"> נוסף, מעבר לזוג או ליחיד עם ילד,</w:t>
            </w:r>
            <w:r>
              <w:rPr>
                <w:rFonts w:hint="cs"/>
                <w:sz w:val="24"/>
                <w:rtl/>
              </w:rPr>
              <w:t xml:space="preserve"> </w:t>
            </w:r>
            <w:r w:rsidR="008322D2">
              <w:rPr>
                <w:rFonts w:hint="cs"/>
                <w:sz w:val="24"/>
                <w:rtl/>
              </w:rPr>
              <w:t>תחושב</w:t>
            </w:r>
            <w:r>
              <w:rPr>
                <w:rFonts w:hint="cs"/>
                <w:sz w:val="24"/>
                <w:rtl/>
              </w:rPr>
              <w:t xml:space="preserve"> ההכנסה </w:t>
            </w:r>
            <w:proofErr w:type="spellStart"/>
            <w:r>
              <w:rPr>
                <w:rFonts w:hint="cs"/>
                <w:sz w:val="24"/>
                <w:rtl/>
              </w:rPr>
              <w:t>המירבית</w:t>
            </w:r>
            <w:proofErr w:type="spellEnd"/>
            <w:r>
              <w:rPr>
                <w:rFonts w:hint="cs"/>
                <w:sz w:val="24"/>
                <w:rtl/>
              </w:rPr>
              <w:t xml:space="preserve"> </w:t>
            </w:r>
            <w:r w:rsidR="009D4580">
              <w:rPr>
                <w:rFonts w:hint="cs"/>
                <w:sz w:val="24"/>
                <w:rtl/>
              </w:rPr>
              <w:t>בתוספת של</w:t>
            </w:r>
            <w:r>
              <w:rPr>
                <w:rFonts w:hint="cs"/>
                <w:sz w:val="24"/>
                <w:rtl/>
              </w:rPr>
              <w:t xml:space="preserve"> </w:t>
            </w:r>
            <w:r w:rsidR="006A15E4">
              <w:rPr>
                <w:rFonts w:hint="cs"/>
                <w:sz w:val="24"/>
                <w:rtl/>
              </w:rPr>
              <w:t>55</w:t>
            </w:r>
            <w:r w:rsidR="007F0469">
              <w:rPr>
                <w:rFonts w:hint="cs"/>
                <w:sz w:val="24"/>
                <w:rtl/>
              </w:rPr>
              <w:t xml:space="preserve"> אחוז</w:t>
            </w:r>
            <w:r w:rsidR="006A15E4">
              <w:rPr>
                <w:rFonts w:hint="cs"/>
                <w:sz w:val="24"/>
                <w:rtl/>
              </w:rPr>
              <w:t xml:space="preserve"> מהשכר הממוצע במשק</w:t>
            </w:r>
            <w:r w:rsidR="00CF53DF">
              <w:rPr>
                <w:rFonts w:hint="cs"/>
                <w:sz w:val="24"/>
                <w:rtl/>
              </w:rPr>
              <w:t xml:space="preserve">, ובלבד שסך ההכנסה </w:t>
            </w:r>
            <w:proofErr w:type="spellStart"/>
            <w:r w:rsidR="00CF53DF">
              <w:rPr>
                <w:rFonts w:hint="cs"/>
                <w:sz w:val="24"/>
                <w:rtl/>
              </w:rPr>
              <w:t>המירבית</w:t>
            </w:r>
            <w:proofErr w:type="spellEnd"/>
            <w:r w:rsidR="00CF53DF">
              <w:rPr>
                <w:rFonts w:hint="cs"/>
                <w:sz w:val="24"/>
                <w:rtl/>
              </w:rPr>
              <w:t xml:space="preserve"> אינה עולה על פי 2.3 מהשכר הממוצע במשק.  </w:t>
            </w:r>
          </w:p>
          <w:p w14:paraId="61DEF0DA" w14:textId="77777777" w:rsidR="0013095C" w:rsidRPr="00275763" w:rsidRDefault="0013095C" w:rsidP="004B622F">
            <w:pPr>
              <w:pStyle w:val="TableBlock"/>
              <w:rPr>
                <w:sz w:val="24"/>
                <w:rtl/>
              </w:rPr>
            </w:pPr>
          </w:p>
        </w:tc>
      </w:tr>
      <w:tr w:rsidR="00E63D90" w14:paraId="553475C6" w14:textId="77777777" w:rsidTr="00E63D90">
        <w:trPr>
          <w:cantSplit/>
          <w:trHeight w:val="60"/>
        </w:trPr>
        <w:tc>
          <w:tcPr>
            <w:tcW w:w="1871" w:type="dxa"/>
          </w:tcPr>
          <w:p w14:paraId="7344F7D1" w14:textId="77777777" w:rsidR="00E63D90" w:rsidRDefault="00E63D90" w:rsidP="00E63D90">
            <w:pPr>
              <w:pStyle w:val="TableSideHeading"/>
            </w:pPr>
            <w:r>
              <w:rPr>
                <w:rFonts w:hint="cs"/>
                <w:rtl/>
              </w:rPr>
              <w:t>תחילה</w:t>
            </w:r>
          </w:p>
        </w:tc>
        <w:tc>
          <w:tcPr>
            <w:tcW w:w="624" w:type="dxa"/>
          </w:tcPr>
          <w:p w14:paraId="37E40423" w14:textId="77777777" w:rsidR="00E63D90" w:rsidRDefault="00E63D90" w:rsidP="00E63D90">
            <w:pPr>
              <w:pStyle w:val="TableText"/>
              <w:numPr>
                <w:ilvl w:val="0"/>
                <w:numId w:val="2"/>
              </w:numPr>
            </w:pPr>
          </w:p>
        </w:tc>
        <w:tc>
          <w:tcPr>
            <w:tcW w:w="7146" w:type="dxa"/>
          </w:tcPr>
          <w:p w14:paraId="417F8C41" w14:textId="77777777" w:rsidR="00E63D90" w:rsidRDefault="00E63D90" w:rsidP="00E63D90">
            <w:pPr>
              <w:pStyle w:val="TableBlock"/>
              <w:tabs>
                <w:tab w:val="clear" w:pos="624"/>
              </w:tabs>
            </w:pPr>
            <w:r>
              <w:rPr>
                <w:rFonts w:hint="cs"/>
                <w:rtl/>
              </w:rPr>
              <w:t>תחילתן של תקנות אלה תשעים ימים מיום פרסומן</w:t>
            </w:r>
            <w:r w:rsidR="00343A8C">
              <w:rPr>
                <w:rFonts w:hint="cs"/>
                <w:rtl/>
              </w:rPr>
              <w:t xml:space="preserve">. </w:t>
            </w:r>
          </w:p>
        </w:tc>
      </w:tr>
    </w:tbl>
    <w:p w14:paraId="48513678" w14:textId="77777777" w:rsidR="005F0306" w:rsidRDefault="005F0306" w:rsidP="00722C14">
      <w:pPr>
        <w:rPr>
          <w:rtl/>
        </w:rPr>
      </w:pPr>
    </w:p>
    <w:p w14:paraId="6EA37454" w14:textId="77777777" w:rsidR="005F0306" w:rsidRDefault="005F0306" w:rsidP="00722C14">
      <w:pPr>
        <w:rPr>
          <w:rFonts w:eastAsia="Calibri"/>
          <w:rtl/>
        </w:rPr>
      </w:pPr>
      <w:r>
        <w:rPr>
          <w:rFonts w:eastAsia="Calibri" w:hint="cs"/>
          <w:rtl/>
        </w:rPr>
        <w:t>___ ב________ התש_______ (___ ב________ ____20)</w:t>
      </w:r>
    </w:p>
    <w:p w14:paraId="0FB2B973" w14:textId="77777777" w:rsidR="005F0306" w:rsidRDefault="005F0306" w:rsidP="00722C14">
      <w:pPr>
        <w:rPr>
          <w:rFonts w:eastAsia="Calibri"/>
          <w:rtl/>
        </w:rPr>
      </w:pPr>
      <w:r>
        <w:rPr>
          <w:rFonts w:eastAsia="Calibri" w:hint="cs"/>
          <w:rtl/>
        </w:rPr>
        <w:t>[תאריך עברי] ([תאריך לועזי])</w:t>
      </w:r>
    </w:p>
    <w:p w14:paraId="568118DD" w14:textId="77777777" w:rsidR="005F0306" w:rsidRDefault="005F0306" w:rsidP="00722C14">
      <w:pPr>
        <w:rPr>
          <w:rtl/>
        </w:rPr>
      </w:pPr>
      <w:r>
        <w:rPr>
          <w:rFonts w:hint="cs"/>
          <w:rtl/>
        </w:rPr>
        <w:t>(</w:t>
      </w:r>
      <w:proofErr w:type="spellStart"/>
      <w:r>
        <w:rPr>
          <w:rFonts w:hint="cs"/>
          <w:rtl/>
        </w:rPr>
        <w:t>חמ</w:t>
      </w:r>
      <w:proofErr w:type="spellEnd"/>
      <w:r>
        <w:rPr>
          <w:rFonts w:hint="cs"/>
          <w:rtl/>
        </w:rPr>
        <w:t xml:space="preserve"> _____-3)</w:t>
      </w:r>
    </w:p>
    <w:p w14:paraId="31A3B6F2" w14:textId="77777777" w:rsidR="005F0306" w:rsidRDefault="005F0306" w:rsidP="00722C14">
      <w:pPr>
        <w:rPr>
          <w:rtl/>
        </w:rPr>
      </w:pPr>
    </w:p>
    <w:p w14:paraId="70AE2187" w14:textId="77777777" w:rsidR="005F0306" w:rsidRDefault="005F0306" w:rsidP="00722C14">
      <w:pPr>
        <w:ind w:left="5760"/>
        <w:jc w:val="center"/>
        <w:rPr>
          <w:rtl/>
        </w:rPr>
      </w:pPr>
      <w:r>
        <w:rPr>
          <w:rFonts w:hint="cs"/>
          <w:rtl/>
        </w:rPr>
        <w:t>__________________[חתימה]</w:t>
      </w:r>
    </w:p>
    <w:p w14:paraId="63491A0C" w14:textId="77777777" w:rsidR="005F0306" w:rsidRDefault="005F0306" w:rsidP="00722C14">
      <w:pPr>
        <w:ind w:left="5760"/>
        <w:jc w:val="center"/>
        <w:rPr>
          <w:rtl/>
        </w:rPr>
      </w:pPr>
      <w:r>
        <w:rPr>
          <w:rFonts w:hint="cs"/>
          <w:rtl/>
        </w:rPr>
        <w:t>[שם מלא של המתקין]</w:t>
      </w:r>
    </w:p>
    <w:p w14:paraId="06792EAE" w14:textId="77777777" w:rsidR="005F0306" w:rsidRDefault="005F0306" w:rsidP="00722C14">
      <w:pPr>
        <w:ind w:left="5760"/>
        <w:jc w:val="center"/>
        <w:rPr>
          <w:rtl/>
        </w:rPr>
      </w:pPr>
      <w:r>
        <w:rPr>
          <w:rFonts w:hint="cs"/>
          <w:rtl/>
        </w:rPr>
        <w:t>[התפקיד שמכוחו מתקין]</w:t>
      </w:r>
    </w:p>
    <w:p w14:paraId="19574B1E" w14:textId="77777777" w:rsidR="005F0306" w:rsidRDefault="005F0306" w:rsidP="00722C14">
      <w:pPr>
        <w:pStyle w:val="HeadDivreiHesber"/>
        <w:rPr>
          <w:rtl/>
        </w:rPr>
      </w:pPr>
      <w:r>
        <w:rPr>
          <w:rtl/>
        </w:rPr>
        <w:lastRenderedPageBreak/>
        <w:t>דברי הסבר</w:t>
      </w:r>
    </w:p>
    <w:p w14:paraId="34231790" w14:textId="77777777" w:rsidR="0046291D" w:rsidRDefault="0046291D" w:rsidP="0046291D">
      <w:pPr>
        <w:pStyle w:val="Hesber1st"/>
        <w:tabs>
          <w:tab w:val="clear" w:pos="680"/>
        </w:tabs>
        <w:spacing w:after="240"/>
        <w:rPr>
          <w:sz w:val="26"/>
          <w:rtl/>
        </w:rPr>
      </w:pPr>
      <w:r w:rsidRPr="00015952">
        <w:rPr>
          <w:rFonts w:hint="cs"/>
          <w:sz w:val="26"/>
          <w:rtl/>
        </w:rPr>
        <w:t xml:space="preserve">סעיף 15(ב) לתוספת השישית בחוק התכנון והבניה, </w:t>
      </w:r>
      <w:proofErr w:type="spellStart"/>
      <w:r w:rsidRPr="00015952">
        <w:rPr>
          <w:rFonts w:hint="cs"/>
          <w:sz w:val="26"/>
          <w:rtl/>
        </w:rPr>
        <w:t>התשכ"ה</w:t>
      </w:r>
      <w:proofErr w:type="spellEnd"/>
      <w:r w:rsidRPr="00015952">
        <w:rPr>
          <w:rFonts w:hint="cs"/>
          <w:sz w:val="26"/>
          <w:rtl/>
        </w:rPr>
        <w:t xml:space="preserve"> </w:t>
      </w:r>
      <w:r w:rsidRPr="00015952">
        <w:rPr>
          <w:sz w:val="26"/>
          <w:rtl/>
        </w:rPr>
        <w:t>–</w:t>
      </w:r>
      <w:r w:rsidRPr="00015952">
        <w:rPr>
          <w:rFonts w:hint="cs"/>
          <w:sz w:val="26"/>
          <w:rtl/>
        </w:rPr>
        <w:t xml:space="preserve"> 1965 (להלן-החוק), ואישור מליאת הכנסת על החלטת ממשלה בהתאם לסמכותה הקבועה בסעיף 31(ב) לחוק יסוד: הממשלה</w:t>
      </w:r>
      <w:r>
        <w:rPr>
          <w:rFonts w:hint="cs"/>
          <w:sz w:val="26"/>
          <w:rtl/>
        </w:rPr>
        <w:t>, בעניין העברת סמכויות שר האוצר בעניין זה לשר הבינוי והשיכון,</w:t>
      </w:r>
      <w:r w:rsidRPr="00015952">
        <w:rPr>
          <w:rFonts w:hint="cs"/>
          <w:sz w:val="26"/>
          <w:rtl/>
        </w:rPr>
        <w:t xml:space="preserve"> קובע כי שר הבינוי והשיכון, לאחר התייעצות עם הארגון המייצג את המספר הגדול ביותר של רשויות מקומיות ובאישור ועדת הפנים והגנת הסביבה של הכנסת, יקבע תנאים נוספים לזכאות לשכירת יחידת דיור במחיר מופחת, שיכללו מבחני הכנסה (תיקון מס' 135 בחוק מיום 18.11.2021).</w:t>
      </w:r>
    </w:p>
    <w:p w14:paraId="4E4CD7E7" w14:textId="77777777" w:rsidR="00F4260B" w:rsidRPr="00015952" w:rsidRDefault="00F4260B" w:rsidP="008236BD">
      <w:pPr>
        <w:pStyle w:val="Hesber1st"/>
        <w:tabs>
          <w:tab w:val="clear" w:pos="680"/>
        </w:tabs>
        <w:spacing w:after="240"/>
        <w:rPr>
          <w:sz w:val="26"/>
          <w:rtl/>
        </w:rPr>
      </w:pPr>
    </w:p>
    <w:p w14:paraId="7503A20A" w14:textId="77777777" w:rsidR="008236BD" w:rsidRPr="00015952" w:rsidRDefault="008236BD" w:rsidP="008236BD">
      <w:pPr>
        <w:pStyle w:val="Hesber1st"/>
        <w:tabs>
          <w:tab w:val="clear" w:pos="680"/>
        </w:tabs>
        <w:spacing w:after="240"/>
        <w:rPr>
          <w:sz w:val="26"/>
          <w:rtl/>
        </w:rPr>
      </w:pPr>
      <w:r w:rsidRPr="00015952">
        <w:rPr>
          <w:rFonts w:hint="cs"/>
          <w:sz w:val="26"/>
          <w:rtl/>
        </w:rPr>
        <w:t xml:space="preserve">אם כן, על השר להתקין תקנות הקובעות תנאים נוספים לזכאות לשכירת יחידת דיור במחיר מופחת ותנאים אלו חייבים לכלול מבחני הכנסה. </w:t>
      </w:r>
    </w:p>
    <w:p w14:paraId="276C53C5" w14:textId="77777777" w:rsidR="00F4260B" w:rsidRPr="00015952" w:rsidRDefault="00F4260B" w:rsidP="008236BD">
      <w:pPr>
        <w:pStyle w:val="Hesber1st"/>
        <w:tabs>
          <w:tab w:val="clear" w:pos="680"/>
        </w:tabs>
        <w:spacing w:after="240"/>
        <w:rPr>
          <w:sz w:val="26"/>
          <w:rtl/>
        </w:rPr>
      </w:pPr>
      <w:bookmarkStart w:id="1" w:name="_Hlk98749349"/>
    </w:p>
    <w:p w14:paraId="01D6630B" w14:textId="47CFD386" w:rsidR="008236BD" w:rsidRPr="00015952" w:rsidRDefault="008236BD" w:rsidP="008236BD">
      <w:pPr>
        <w:pStyle w:val="Hesber1st"/>
        <w:tabs>
          <w:tab w:val="clear" w:pos="680"/>
        </w:tabs>
        <w:spacing w:after="240"/>
        <w:rPr>
          <w:sz w:val="26"/>
          <w:rtl/>
        </w:rPr>
      </w:pPr>
      <w:r w:rsidRPr="00015952">
        <w:rPr>
          <w:rFonts w:hint="cs"/>
          <w:sz w:val="26"/>
          <w:rtl/>
        </w:rPr>
        <w:t xml:space="preserve">התנאים הקבועים בתוספת השישית לחוק (להלן-התוספת השישית) לזכאות מפורטים בהגדרת המונח "זכאי" שבתוספת. הגדרת זכאי מפנה, בנוסף להפניה הקיימת בסעיף 15(ב) לתוספת השישית, לתנאי הסף שנקבעו לפי החלטת הממשלה מספר 203 (דר/13) מיום 9 ביולי 2015 שעניינה "הרחבת התכנית לדיור במחיר מופחת". בסעיף 1.8 להחלטת הממשלה נקבעו התנאים המצטברים הבאים לזכאות: (1) חסר דיור לפי הגדרות משרד הבינוי (2) זוג או יחיד מעל גיל 35. משרד הבינוי והשיכון החליט בהוראה מס' </w:t>
      </w:r>
      <w:r w:rsidR="00685FDC" w:rsidRPr="00015952">
        <w:rPr>
          <w:rFonts w:hint="cs"/>
          <w:sz w:val="26"/>
          <w:rtl/>
        </w:rPr>
        <w:t>08/31</w:t>
      </w:r>
      <w:r w:rsidRPr="00015952">
        <w:rPr>
          <w:rFonts w:hint="cs"/>
          <w:sz w:val="26"/>
          <w:rtl/>
        </w:rPr>
        <w:t xml:space="preserve"> שנכנסה לתוקף ביום </w:t>
      </w:r>
      <w:r w:rsidR="00685FDC" w:rsidRPr="00015952">
        <w:rPr>
          <w:rFonts w:hint="cs"/>
          <w:sz w:val="26"/>
          <w:rtl/>
        </w:rPr>
        <w:t>20 לינואר 2019</w:t>
      </w:r>
      <w:r w:rsidRPr="00015952">
        <w:rPr>
          <w:rFonts w:hint="cs"/>
          <w:sz w:val="26"/>
          <w:rtl/>
        </w:rPr>
        <w:t xml:space="preserve"> כי "חסר דירה" הוא </w:t>
      </w:r>
      <w:r w:rsidR="00685FDC" w:rsidRPr="00015952">
        <w:rPr>
          <w:sz w:val="26"/>
          <w:rtl/>
        </w:rPr>
        <w:t xml:space="preserve">יחיד או </w:t>
      </w:r>
      <w:r w:rsidR="00613A7B" w:rsidRPr="00015952">
        <w:rPr>
          <w:rFonts w:hint="cs"/>
          <w:sz w:val="26"/>
          <w:rtl/>
        </w:rPr>
        <w:t>'</w:t>
      </w:r>
      <w:r w:rsidR="00685FDC" w:rsidRPr="00015952">
        <w:rPr>
          <w:sz w:val="26"/>
          <w:rtl/>
        </w:rPr>
        <w:t>תא משפחתי</w:t>
      </w:r>
      <w:r w:rsidR="00613A7B" w:rsidRPr="00015952">
        <w:rPr>
          <w:rFonts w:hint="cs"/>
          <w:sz w:val="26"/>
          <w:rtl/>
        </w:rPr>
        <w:t>'</w:t>
      </w:r>
      <w:r w:rsidR="00685FDC" w:rsidRPr="00015952">
        <w:rPr>
          <w:rFonts w:hint="cs"/>
          <w:sz w:val="26"/>
          <w:rtl/>
        </w:rPr>
        <w:t xml:space="preserve"> </w:t>
      </w:r>
      <w:r w:rsidR="00613A7B" w:rsidRPr="00015952">
        <w:rPr>
          <w:rFonts w:hint="cs"/>
          <w:sz w:val="26"/>
          <w:rtl/>
        </w:rPr>
        <w:t>(</w:t>
      </w:r>
      <w:r w:rsidR="00685FDC" w:rsidRPr="00015952">
        <w:rPr>
          <w:rFonts w:hint="cs"/>
          <w:sz w:val="26"/>
          <w:rtl/>
        </w:rPr>
        <w:t>כהגדרת המונח בנוהל</w:t>
      </w:r>
      <w:r w:rsidR="00613A7B" w:rsidRPr="00015952">
        <w:rPr>
          <w:rFonts w:hint="cs"/>
          <w:sz w:val="26"/>
          <w:rtl/>
        </w:rPr>
        <w:t>)</w:t>
      </w:r>
      <w:r w:rsidR="00685FDC" w:rsidRPr="00015952">
        <w:rPr>
          <w:rFonts w:hint="cs"/>
          <w:sz w:val="26"/>
          <w:rtl/>
        </w:rPr>
        <w:t xml:space="preserve"> </w:t>
      </w:r>
      <w:r w:rsidR="00685FDC" w:rsidRPr="00015952">
        <w:rPr>
          <w:sz w:val="26"/>
          <w:rtl/>
        </w:rPr>
        <w:t xml:space="preserve">שאין ולא היו לו ו/או </w:t>
      </w:r>
      <w:r w:rsidR="00685FDC" w:rsidRPr="00015952">
        <w:rPr>
          <w:rFonts w:ascii="David" w:hAnsi="David"/>
          <w:color w:val="000000"/>
          <w:sz w:val="26"/>
          <w:rtl/>
        </w:rPr>
        <w:t>למי מיחידיו ("</w:t>
      </w:r>
      <w:r w:rsidR="00685FDC" w:rsidRPr="00015952">
        <w:rPr>
          <w:rFonts w:ascii="David" w:hAnsi="David"/>
          <w:b/>
          <w:bCs/>
          <w:color w:val="000000"/>
          <w:sz w:val="26"/>
          <w:rtl/>
        </w:rPr>
        <w:t>יחידיו</w:t>
      </w:r>
      <w:r w:rsidR="00685FDC" w:rsidRPr="00015952">
        <w:rPr>
          <w:rFonts w:ascii="David" w:hAnsi="David"/>
          <w:color w:val="000000"/>
          <w:sz w:val="26"/>
          <w:rtl/>
        </w:rPr>
        <w:t>" - יחיד או בן זוג, לפי העניין, וילדיהם שטרם מלאו להם 21 (ולמעט ילד נשוי) ומתגוררים עימם דרך קבע ונמצאים בחזקתם), זכויות כלשהן בדירה או בחלק מדירה (בחלק שעולה על שליש), 3 שנים קודם למועד הנפקת אישור הזכאות</w:t>
      </w:r>
      <w:r w:rsidR="00685FDC" w:rsidRPr="00015952">
        <w:rPr>
          <w:rFonts w:ascii="David" w:hAnsi="David" w:hint="cs"/>
          <w:color w:val="000000"/>
          <w:sz w:val="26"/>
          <w:rtl/>
        </w:rPr>
        <w:t xml:space="preserve">. </w:t>
      </w:r>
      <w:r w:rsidRPr="00015952">
        <w:rPr>
          <w:rFonts w:hint="cs"/>
          <w:sz w:val="26"/>
          <w:rtl/>
        </w:rPr>
        <w:t>הגדרות הזכויות מפורטות גם הן בהוראה. לעניין "יחיד", נקבע בהגדרת המונח "זכאי" שבתוספת השישית כי הגיל הקובע הוא 26 שנים.</w:t>
      </w:r>
    </w:p>
    <w:bookmarkEnd w:id="1"/>
    <w:p w14:paraId="18A2527F" w14:textId="77777777" w:rsidR="00F4260B" w:rsidRPr="00015952" w:rsidRDefault="00F4260B" w:rsidP="008236BD">
      <w:pPr>
        <w:pStyle w:val="Hesber1st"/>
        <w:tabs>
          <w:tab w:val="clear" w:pos="680"/>
        </w:tabs>
        <w:rPr>
          <w:sz w:val="26"/>
          <w:rtl/>
        </w:rPr>
      </w:pPr>
    </w:p>
    <w:p w14:paraId="2643A024" w14:textId="3CF07C93" w:rsidR="000E3957" w:rsidRPr="00015952" w:rsidRDefault="008236BD" w:rsidP="000E3957">
      <w:pPr>
        <w:pStyle w:val="Hesber1st"/>
        <w:tabs>
          <w:tab w:val="clear" w:pos="680"/>
        </w:tabs>
        <w:rPr>
          <w:sz w:val="26"/>
          <w:rtl/>
        </w:rPr>
      </w:pPr>
      <w:r w:rsidRPr="00015952">
        <w:rPr>
          <w:rFonts w:hint="cs"/>
          <w:sz w:val="26"/>
          <w:rtl/>
        </w:rPr>
        <w:t xml:space="preserve">בתקנות אלו מוצע כי השר יקבע תנאי סף נוסף, שהוא מבחן הכנסה לזכאות לשכירת יחידת דיור במחיר מופחת, וזאת מעבר לקבוע בחוק. מבחן ההכנסה המוצע הוא שסך ההכנסה החודשית הממוצעת ברוטו, בששת החודשים שקדמו למועד קבלת הזכאות, של יחיד לא עלתה על </w:t>
      </w:r>
      <w:r w:rsidR="0012119B" w:rsidRPr="00015952">
        <w:rPr>
          <w:rFonts w:hint="cs"/>
          <w:sz w:val="26"/>
          <w:rtl/>
        </w:rPr>
        <w:t>פי 1.2 מ</w:t>
      </w:r>
      <w:r w:rsidRPr="00015952">
        <w:rPr>
          <w:rFonts w:hint="cs"/>
          <w:sz w:val="26"/>
          <w:rtl/>
        </w:rPr>
        <w:t xml:space="preserve">השכר הממוצע במשק, ושל זוג </w:t>
      </w:r>
      <w:r w:rsidR="00A93672" w:rsidRPr="00015952">
        <w:rPr>
          <w:rFonts w:hint="cs"/>
          <w:sz w:val="26"/>
          <w:rtl/>
        </w:rPr>
        <w:t xml:space="preserve">או של יחיד עם ילד אחד - </w:t>
      </w:r>
      <w:r w:rsidRPr="00015952">
        <w:rPr>
          <w:rFonts w:hint="cs"/>
          <w:sz w:val="26"/>
          <w:rtl/>
        </w:rPr>
        <w:t>לא עלתה על פי 1.</w:t>
      </w:r>
      <w:r w:rsidR="000E3957" w:rsidRPr="00015952">
        <w:rPr>
          <w:rFonts w:hint="cs"/>
          <w:sz w:val="26"/>
          <w:rtl/>
        </w:rPr>
        <w:t>75</w:t>
      </w:r>
      <w:r w:rsidRPr="00015952">
        <w:rPr>
          <w:rFonts w:hint="cs"/>
          <w:sz w:val="26"/>
          <w:rtl/>
        </w:rPr>
        <w:t xml:space="preserve"> מהשכר הממוצע במשק</w:t>
      </w:r>
      <w:r w:rsidR="000E3957" w:rsidRPr="00015952">
        <w:rPr>
          <w:rFonts w:hint="cs"/>
          <w:sz w:val="26"/>
          <w:rtl/>
        </w:rPr>
        <w:t>, וזאת באופן תואם לשיטת שקלול מספר נפשות לפי סולם אחיד שפרסמה הלשכה המרכזית לסטטיסטיקה.</w:t>
      </w:r>
      <w:r w:rsidRPr="00015952">
        <w:rPr>
          <w:rFonts w:hint="cs"/>
          <w:sz w:val="26"/>
          <w:rtl/>
        </w:rPr>
        <w:t xml:space="preserve"> </w:t>
      </w:r>
      <w:r w:rsidR="000E3957" w:rsidRPr="00015952">
        <w:rPr>
          <w:rFonts w:hint="cs"/>
          <w:sz w:val="26"/>
          <w:rtl/>
        </w:rPr>
        <w:t xml:space="preserve">לפי שיטה זו נקבע </w:t>
      </w:r>
      <w:r w:rsidR="000E3957" w:rsidRPr="00015952">
        <w:rPr>
          <w:sz w:val="26"/>
          <w:rtl/>
        </w:rPr>
        <w:t>כיחידת בסיס משק בית בן שתי נפשות</w:t>
      </w:r>
      <w:r w:rsidR="000E3957" w:rsidRPr="00015952">
        <w:rPr>
          <w:rFonts w:hint="cs"/>
          <w:sz w:val="26"/>
          <w:rtl/>
        </w:rPr>
        <w:t>,</w:t>
      </w:r>
      <w:r w:rsidR="000E3957" w:rsidRPr="00015952">
        <w:rPr>
          <w:sz w:val="26"/>
          <w:rtl/>
        </w:rPr>
        <w:t xml:space="preserve"> </w:t>
      </w:r>
      <w:r w:rsidR="000E3957" w:rsidRPr="00015952">
        <w:rPr>
          <w:rFonts w:hint="cs"/>
          <w:sz w:val="26"/>
          <w:rtl/>
        </w:rPr>
        <w:t>ו</w:t>
      </w:r>
      <w:r w:rsidR="000E3957" w:rsidRPr="00015952">
        <w:rPr>
          <w:sz w:val="26"/>
          <w:rtl/>
        </w:rPr>
        <w:t>ככל שעולה מספר הנפשות ניתן משקל שולי הולך ופוחת לכל נפש המתווספת למשק הבית</w:t>
      </w:r>
      <w:r w:rsidR="000E3957" w:rsidRPr="00015952">
        <w:rPr>
          <w:rFonts w:hint="cs"/>
          <w:sz w:val="26"/>
          <w:rtl/>
        </w:rPr>
        <w:t xml:space="preserve">. </w:t>
      </w:r>
    </w:p>
    <w:p w14:paraId="0B6352EF" w14:textId="77777777" w:rsidR="000E3957" w:rsidRPr="00015952" w:rsidRDefault="000E3957" w:rsidP="000E3957">
      <w:pPr>
        <w:pStyle w:val="Hesber1st"/>
        <w:tabs>
          <w:tab w:val="clear" w:pos="680"/>
        </w:tabs>
        <w:rPr>
          <w:sz w:val="26"/>
          <w:rtl/>
        </w:rPr>
      </w:pPr>
    </w:p>
    <w:p w14:paraId="7C7143BB" w14:textId="282C1D7B" w:rsidR="00A93672" w:rsidRPr="00015952" w:rsidRDefault="008236BD" w:rsidP="000E3957">
      <w:pPr>
        <w:pStyle w:val="Hesber1st"/>
        <w:tabs>
          <w:tab w:val="clear" w:pos="680"/>
        </w:tabs>
        <w:rPr>
          <w:sz w:val="26"/>
          <w:rtl/>
        </w:rPr>
      </w:pPr>
      <w:r w:rsidRPr="00015952">
        <w:rPr>
          <w:rFonts w:hint="cs"/>
          <w:sz w:val="26"/>
          <w:rtl/>
        </w:rPr>
        <w:t xml:space="preserve">כמו כן, מוצע </w:t>
      </w:r>
      <w:r w:rsidR="008135C3" w:rsidRPr="00015952">
        <w:rPr>
          <w:rFonts w:hint="cs"/>
          <w:sz w:val="26"/>
          <w:rtl/>
        </w:rPr>
        <w:t>להגדיל</w:t>
      </w:r>
      <w:r w:rsidR="00901853" w:rsidRPr="00015952">
        <w:rPr>
          <w:rFonts w:hint="cs"/>
          <w:sz w:val="26"/>
          <w:rtl/>
        </w:rPr>
        <w:t>, לפי אותה שיטה של הלשכה המרכזית לסטטיסטיקה,</w:t>
      </w:r>
      <w:r w:rsidR="008135C3" w:rsidRPr="00015952">
        <w:rPr>
          <w:rFonts w:hint="cs"/>
          <w:sz w:val="26"/>
          <w:rtl/>
        </w:rPr>
        <w:t xml:space="preserve"> את תקרת ההכנסה בשיעור של </w:t>
      </w:r>
      <w:r w:rsidR="00A93672" w:rsidRPr="00015952">
        <w:rPr>
          <w:rFonts w:hint="cs"/>
          <w:sz w:val="26"/>
          <w:rtl/>
        </w:rPr>
        <w:t>55%</w:t>
      </w:r>
      <w:r w:rsidR="008135C3" w:rsidRPr="00015952">
        <w:rPr>
          <w:rFonts w:hint="cs"/>
          <w:sz w:val="26"/>
          <w:rtl/>
        </w:rPr>
        <w:t xml:space="preserve"> עבור </w:t>
      </w:r>
      <w:r w:rsidR="00A93672" w:rsidRPr="00015952">
        <w:rPr>
          <w:rFonts w:hint="cs"/>
          <w:sz w:val="26"/>
          <w:rtl/>
        </w:rPr>
        <w:t>כ</w:t>
      </w:r>
      <w:r w:rsidR="008135C3" w:rsidRPr="00015952">
        <w:rPr>
          <w:rFonts w:hint="cs"/>
          <w:sz w:val="26"/>
          <w:rtl/>
        </w:rPr>
        <w:t xml:space="preserve">ל ילד </w:t>
      </w:r>
      <w:r w:rsidR="00D60B7E" w:rsidRPr="00015952">
        <w:rPr>
          <w:rFonts w:hint="cs"/>
          <w:sz w:val="26"/>
          <w:rtl/>
        </w:rPr>
        <w:t xml:space="preserve">נוסף </w:t>
      </w:r>
      <w:r w:rsidR="008135C3" w:rsidRPr="00015952">
        <w:rPr>
          <w:rFonts w:hint="cs"/>
          <w:sz w:val="26"/>
          <w:rtl/>
        </w:rPr>
        <w:t>המתגורר עם מבקש</w:t>
      </w:r>
      <w:r w:rsidR="00D60B7E" w:rsidRPr="00015952">
        <w:rPr>
          <w:rFonts w:hint="cs"/>
          <w:sz w:val="26"/>
          <w:rtl/>
        </w:rPr>
        <w:t>י</w:t>
      </w:r>
      <w:r w:rsidR="008135C3" w:rsidRPr="00015952">
        <w:rPr>
          <w:rFonts w:hint="cs"/>
          <w:sz w:val="26"/>
          <w:rtl/>
        </w:rPr>
        <w:t xml:space="preserve"> הזכאות</w:t>
      </w:r>
      <w:r w:rsidR="00A93672" w:rsidRPr="00015952">
        <w:rPr>
          <w:rFonts w:hint="cs"/>
          <w:sz w:val="26"/>
          <w:rtl/>
        </w:rPr>
        <w:t xml:space="preserve">, </w:t>
      </w:r>
      <w:r w:rsidR="00901853" w:rsidRPr="00015952">
        <w:rPr>
          <w:rFonts w:hint="cs"/>
          <w:sz w:val="26"/>
          <w:rtl/>
        </w:rPr>
        <w:t>כאשר</w:t>
      </w:r>
      <w:r w:rsidR="00DB0AC2" w:rsidRPr="00015952">
        <w:rPr>
          <w:rFonts w:hint="cs"/>
          <w:sz w:val="26"/>
          <w:rtl/>
        </w:rPr>
        <w:t xml:space="preserve"> </w:t>
      </w:r>
      <w:r w:rsidR="002E0044" w:rsidRPr="00015952">
        <w:rPr>
          <w:rFonts w:hint="cs"/>
          <w:sz w:val="26"/>
          <w:rtl/>
        </w:rPr>
        <w:t>תוספת ב</w:t>
      </w:r>
      <w:r w:rsidR="00D60B7E" w:rsidRPr="00015952">
        <w:rPr>
          <w:rFonts w:hint="cs"/>
          <w:sz w:val="26"/>
          <w:rtl/>
        </w:rPr>
        <w:t>שיעור של 55% משק</w:t>
      </w:r>
      <w:r w:rsidR="002E0044" w:rsidRPr="00015952">
        <w:rPr>
          <w:rFonts w:hint="cs"/>
          <w:sz w:val="26"/>
          <w:rtl/>
        </w:rPr>
        <w:t>פת</w:t>
      </w:r>
      <w:r w:rsidR="00D60B7E" w:rsidRPr="00015952">
        <w:rPr>
          <w:rFonts w:hint="cs"/>
          <w:sz w:val="26"/>
          <w:rtl/>
        </w:rPr>
        <w:t xml:space="preserve"> את התוספת הממוצעת</w:t>
      </w:r>
      <w:r w:rsidR="00DB0AC2" w:rsidRPr="00015952">
        <w:rPr>
          <w:rFonts w:hint="cs"/>
          <w:sz w:val="26"/>
          <w:rtl/>
        </w:rPr>
        <w:t xml:space="preserve"> באותו סולם אחיד</w:t>
      </w:r>
      <w:r w:rsidR="002E0044" w:rsidRPr="00015952">
        <w:rPr>
          <w:rFonts w:hint="cs"/>
          <w:sz w:val="26"/>
          <w:rtl/>
        </w:rPr>
        <w:t xml:space="preserve"> שפרסמה הלשכה המרכזית לסטטיסטיקה</w:t>
      </w:r>
      <w:r w:rsidR="00DB0AC2" w:rsidRPr="00015952">
        <w:rPr>
          <w:rFonts w:hint="cs"/>
          <w:sz w:val="26"/>
          <w:rtl/>
        </w:rPr>
        <w:t>.</w:t>
      </w:r>
      <w:r w:rsidR="00CF53DF">
        <w:rPr>
          <w:rFonts w:hint="cs"/>
          <w:sz w:val="26"/>
          <w:rtl/>
        </w:rPr>
        <w:t xml:space="preserve"> כל זאת, ובלבד </w:t>
      </w:r>
      <w:r w:rsidR="00CF53DF">
        <w:rPr>
          <w:rFonts w:hint="cs"/>
          <w:sz w:val="24"/>
          <w:rtl/>
        </w:rPr>
        <w:t xml:space="preserve">שסך ההכנסה </w:t>
      </w:r>
      <w:proofErr w:type="spellStart"/>
      <w:r w:rsidR="00CF53DF">
        <w:rPr>
          <w:rFonts w:hint="cs"/>
          <w:sz w:val="24"/>
          <w:rtl/>
        </w:rPr>
        <w:t>המירבית</w:t>
      </w:r>
      <w:proofErr w:type="spellEnd"/>
      <w:r w:rsidR="00CF53DF">
        <w:rPr>
          <w:rFonts w:hint="cs"/>
          <w:sz w:val="24"/>
          <w:rtl/>
        </w:rPr>
        <w:t xml:space="preserve"> אינה עולה על פי 2.3 מהשכר הממוצע במשק</w:t>
      </w:r>
      <w:r w:rsidR="00CF53DF">
        <w:rPr>
          <w:rFonts w:hint="cs"/>
          <w:sz w:val="26"/>
          <w:rtl/>
        </w:rPr>
        <w:t>.</w:t>
      </w:r>
      <w:r w:rsidR="00DB0AC2" w:rsidRPr="00015952">
        <w:rPr>
          <w:rFonts w:hint="cs"/>
          <w:sz w:val="26"/>
          <w:rtl/>
        </w:rPr>
        <w:t xml:space="preserve"> </w:t>
      </w:r>
      <w:r w:rsidR="00D60B7E" w:rsidRPr="00015952">
        <w:rPr>
          <w:rFonts w:hint="cs"/>
          <w:sz w:val="26"/>
          <w:rtl/>
        </w:rPr>
        <w:t xml:space="preserve">   </w:t>
      </w:r>
    </w:p>
    <w:p w14:paraId="204063E2" w14:textId="77777777" w:rsidR="00A93672" w:rsidRPr="00015952" w:rsidRDefault="00A93672" w:rsidP="00A93672">
      <w:pPr>
        <w:pStyle w:val="Hesber1st"/>
        <w:tabs>
          <w:tab w:val="clear" w:pos="680"/>
        </w:tabs>
        <w:rPr>
          <w:sz w:val="26"/>
          <w:rtl/>
        </w:rPr>
      </w:pPr>
    </w:p>
    <w:p w14:paraId="61448DD2" w14:textId="77777777" w:rsidR="005F0306" w:rsidRPr="00015952" w:rsidRDefault="008236BD" w:rsidP="00A93672">
      <w:pPr>
        <w:pStyle w:val="Hesber1st"/>
        <w:tabs>
          <w:tab w:val="clear" w:pos="680"/>
        </w:tabs>
        <w:rPr>
          <w:sz w:val="26"/>
          <w:rtl/>
        </w:rPr>
      </w:pPr>
      <w:r w:rsidRPr="00015952">
        <w:rPr>
          <w:rFonts w:hint="cs"/>
          <w:sz w:val="26"/>
          <w:rtl/>
        </w:rPr>
        <w:lastRenderedPageBreak/>
        <w:t xml:space="preserve">"הכנסה" </w:t>
      </w:r>
      <w:r w:rsidR="008135C3" w:rsidRPr="00015952">
        <w:rPr>
          <w:rFonts w:hint="cs"/>
          <w:sz w:val="26"/>
          <w:rtl/>
        </w:rPr>
        <w:t xml:space="preserve">לעניין תקנות אלה </w:t>
      </w:r>
      <w:r w:rsidR="00BD0494" w:rsidRPr="00015952">
        <w:rPr>
          <w:rFonts w:hint="cs"/>
          <w:sz w:val="26"/>
          <w:rtl/>
        </w:rPr>
        <w:t>תחושב</w:t>
      </w:r>
      <w:r w:rsidRPr="00015952">
        <w:rPr>
          <w:rFonts w:hint="cs"/>
          <w:sz w:val="26"/>
          <w:rtl/>
        </w:rPr>
        <w:t xml:space="preserve"> </w:t>
      </w:r>
      <w:r w:rsidR="008135C3" w:rsidRPr="00015952">
        <w:rPr>
          <w:rFonts w:hint="cs"/>
          <w:sz w:val="26"/>
          <w:rtl/>
        </w:rPr>
        <w:t>כ</w:t>
      </w:r>
      <w:r w:rsidR="00BD0494" w:rsidRPr="00015952">
        <w:rPr>
          <w:sz w:val="26"/>
          <w:rtl/>
        </w:rPr>
        <w:t>הכנסה ברוטו, מכל מקור הכנסה שהוא, לרבות תשלומים שהמוסד לביטוח לאומי משלם, למעט קצבה המשולמת לפי פרקים ד' ו-י"א לחוק הביטוח</w:t>
      </w:r>
      <w:r w:rsidR="00883CA3" w:rsidRPr="00015952">
        <w:rPr>
          <w:rFonts w:hint="cs"/>
          <w:sz w:val="26"/>
          <w:rtl/>
        </w:rPr>
        <w:t xml:space="preserve"> הלאומי</w:t>
      </w:r>
      <w:r w:rsidR="00BD0494" w:rsidRPr="00015952">
        <w:rPr>
          <w:sz w:val="26"/>
          <w:rtl/>
        </w:rPr>
        <w:t xml:space="preserve"> </w:t>
      </w:r>
      <w:r w:rsidR="00883CA3" w:rsidRPr="00015952">
        <w:rPr>
          <w:rFonts w:hint="cs"/>
          <w:sz w:val="26"/>
          <w:rtl/>
        </w:rPr>
        <w:t xml:space="preserve">[נוסח משולב], </w:t>
      </w:r>
      <w:proofErr w:type="spellStart"/>
      <w:r w:rsidR="00883CA3" w:rsidRPr="00015952">
        <w:rPr>
          <w:rFonts w:hint="cs"/>
          <w:sz w:val="26"/>
          <w:rtl/>
        </w:rPr>
        <w:t>התשנ"ה</w:t>
      </w:r>
      <w:proofErr w:type="spellEnd"/>
      <w:r w:rsidR="00883CA3" w:rsidRPr="00015952">
        <w:rPr>
          <w:rFonts w:hint="cs"/>
          <w:sz w:val="26"/>
          <w:rtl/>
        </w:rPr>
        <w:t>- 1995</w:t>
      </w:r>
      <w:r w:rsidR="000A196F" w:rsidRPr="00015952">
        <w:rPr>
          <w:rFonts w:hint="cs"/>
          <w:sz w:val="26"/>
          <w:rtl/>
        </w:rPr>
        <w:t xml:space="preserve"> </w:t>
      </w:r>
      <w:r w:rsidR="00BD0494" w:rsidRPr="00015952">
        <w:rPr>
          <w:sz w:val="26"/>
          <w:rtl/>
        </w:rPr>
        <w:t>וגמלה לפי תקנות הביטוח הלאומי (ילד נכה), התש"ע-2010</w:t>
      </w:r>
      <w:r w:rsidR="00F4260B" w:rsidRPr="00015952">
        <w:rPr>
          <w:rFonts w:hint="cs"/>
          <w:sz w:val="26"/>
          <w:rtl/>
        </w:rPr>
        <w:t>.</w:t>
      </w:r>
    </w:p>
    <w:p w14:paraId="1E019E63" w14:textId="77777777" w:rsidR="00CC6E0A" w:rsidRPr="00015952" w:rsidRDefault="00CC6E0A">
      <w:pPr>
        <w:rPr>
          <w:sz w:val="26"/>
          <w:szCs w:val="26"/>
        </w:rPr>
      </w:pPr>
    </w:p>
    <w:sectPr w:rsidR="00CC6E0A" w:rsidRPr="00015952" w:rsidSect="005F0306">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E88B9" w14:textId="77777777" w:rsidR="00966275" w:rsidRDefault="00966275" w:rsidP="005F0306">
      <w:pPr>
        <w:spacing w:line="240" w:lineRule="auto"/>
      </w:pPr>
      <w:r>
        <w:separator/>
      </w:r>
    </w:p>
  </w:endnote>
  <w:endnote w:type="continuationSeparator" w:id="0">
    <w:p w14:paraId="051FF774" w14:textId="77777777" w:rsidR="00966275" w:rsidRDefault="00966275" w:rsidP="005F03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A93F9" w14:textId="77777777" w:rsidR="00966275" w:rsidRDefault="00966275" w:rsidP="005F0306">
      <w:pPr>
        <w:spacing w:line="240" w:lineRule="auto"/>
        <w:ind w:left="0"/>
      </w:pPr>
      <w:r>
        <w:separator/>
      </w:r>
    </w:p>
  </w:footnote>
  <w:footnote w:type="continuationSeparator" w:id="0">
    <w:p w14:paraId="2FB77CAA" w14:textId="77777777" w:rsidR="00966275" w:rsidRDefault="00966275" w:rsidP="005F0306">
      <w:pPr>
        <w:spacing w:line="240" w:lineRule="auto"/>
      </w:pPr>
      <w:r>
        <w:continuationSeparator/>
      </w:r>
    </w:p>
  </w:footnote>
  <w:footnote w:id="1">
    <w:p w14:paraId="503E2677" w14:textId="77777777" w:rsidR="005F0306" w:rsidRDefault="005F0306">
      <w:pPr>
        <w:pStyle w:val="a5"/>
        <w:rPr>
          <w:rtl/>
        </w:rPr>
      </w:pPr>
      <w:r>
        <w:rPr>
          <w:rStyle w:val="a7"/>
        </w:rPr>
        <w:footnoteRef/>
      </w:r>
      <w:r>
        <w:rPr>
          <w:rtl/>
        </w:rPr>
        <w:t xml:space="preserve"> </w:t>
      </w:r>
      <w:r>
        <w:rPr>
          <w:rFonts w:hint="cs"/>
          <w:rtl/>
        </w:rPr>
        <w:t xml:space="preserve">ס"ח </w:t>
      </w:r>
      <w:proofErr w:type="spellStart"/>
      <w:r>
        <w:rPr>
          <w:rFonts w:hint="cs"/>
          <w:rtl/>
        </w:rPr>
        <w:t>התשכ"ה</w:t>
      </w:r>
      <w:proofErr w:type="spellEnd"/>
      <w:r>
        <w:rPr>
          <w:rFonts w:hint="cs"/>
          <w:rtl/>
        </w:rPr>
        <w:t>, עמ' 307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86E5C"/>
    <w:multiLevelType w:val="hybridMultilevel"/>
    <w:tmpl w:val="009EE51C"/>
    <w:lvl w:ilvl="0" w:tplc="6A2800E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900992"/>
    <w:multiLevelType w:val="hybridMultilevel"/>
    <w:tmpl w:val="A7C0EBDE"/>
    <w:lvl w:ilvl="0" w:tplc="18D4BDF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761AA"/>
    <w:multiLevelType w:val="hybridMultilevel"/>
    <w:tmpl w:val="25B2AA98"/>
    <w:lvl w:ilvl="0" w:tplc="D9C6393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7E2AD1"/>
    <w:multiLevelType w:val="hybridMultilevel"/>
    <w:tmpl w:val="C01C8B36"/>
    <w:lvl w:ilvl="0" w:tplc="B8B46B5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346833"/>
    <w:multiLevelType w:val="hybridMultilevel"/>
    <w:tmpl w:val="7C02B840"/>
    <w:lvl w:ilvl="0" w:tplc="4A34FDD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9"/>
  </w:num>
  <w:num w:numId="5">
    <w:abstractNumId w:val="12"/>
  </w:num>
  <w:num w:numId="6">
    <w:abstractNumId w:val="20"/>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7"/>
    <w:lvlOverride w:ilvl="0">
      <w:startOverride w:val="1"/>
    </w:lvlOverride>
  </w:num>
  <w:num w:numId="18">
    <w:abstractNumId w:val="11"/>
  </w:num>
  <w:num w:numId="19">
    <w:abstractNumId w:val="18"/>
  </w:num>
  <w:num w:numId="20">
    <w:abstractNumId w:val="13"/>
  </w:num>
  <w:num w:numId="21">
    <w:abstractNumId w:val="14"/>
  </w:num>
  <w:num w:numId="22">
    <w:abstractNumId w:val="15"/>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306"/>
    <w:rsid w:val="00015952"/>
    <w:rsid w:val="000210C6"/>
    <w:rsid w:val="000A196F"/>
    <w:rsid w:val="000E3957"/>
    <w:rsid w:val="0012119B"/>
    <w:rsid w:val="0013095C"/>
    <w:rsid w:val="00161FCD"/>
    <w:rsid w:val="001C26FD"/>
    <w:rsid w:val="001E66B1"/>
    <w:rsid w:val="002077FE"/>
    <w:rsid w:val="002242AB"/>
    <w:rsid w:val="00232FAE"/>
    <w:rsid w:val="00271EE3"/>
    <w:rsid w:val="002771FB"/>
    <w:rsid w:val="00294DE4"/>
    <w:rsid w:val="002E0044"/>
    <w:rsid w:val="00343A8C"/>
    <w:rsid w:val="00354B2D"/>
    <w:rsid w:val="003C6C3A"/>
    <w:rsid w:val="0046291D"/>
    <w:rsid w:val="00467037"/>
    <w:rsid w:val="004A173C"/>
    <w:rsid w:val="004B24B3"/>
    <w:rsid w:val="004B622F"/>
    <w:rsid w:val="00505E7E"/>
    <w:rsid w:val="00541967"/>
    <w:rsid w:val="005950E4"/>
    <w:rsid w:val="005F0306"/>
    <w:rsid w:val="005F10F4"/>
    <w:rsid w:val="00613A7B"/>
    <w:rsid w:val="00623123"/>
    <w:rsid w:val="00685FDC"/>
    <w:rsid w:val="006A15E4"/>
    <w:rsid w:val="006E7A70"/>
    <w:rsid w:val="00785632"/>
    <w:rsid w:val="007A2BE9"/>
    <w:rsid w:val="007D5DF1"/>
    <w:rsid w:val="007F0469"/>
    <w:rsid w:val="00803E9C"/>
    <w:rsid w:val="00804DCD"/>
    <w:rsid w:val="008135C3"/>
    <w:rsid w:val="008236BD"/>
    <w:rsid w:val="00826281"/>
    <w:rsid w:val="008322D2"/>
    <w:rsid w:val="00836ACB"/>
    <w:rsid w:val="00843577"/>
    <w:rsid w:val="0085132E"/>
    <w:rsid w:val="00883CA3"/>
    <w:rsid w:val="00901853"/>
    <w:rsid w:val="00966275"/>
    <w:rsid w:val="009D4580"/>
    <w:rsid w:val="00A93672"/>
    <w:rsid w:val="00AB50FA"/>
    <w:rsid w:val="00BC3DF4"/>
    <w:rsid w:val="00BD0494"/>
    <w:rsid w:val="00C25058"/>
    <w:rsid w:val="00CC6E0A"/>
    <w:rsid w:val="00CF3A91"/>
    <w:rsid w:val="00CF53DF"/>
    <w:rsid w:val="00D03144"/>
    <w:rsid w:val="00D60B7E"/>
    <w:rsid w:val="00D61777"/>
    <w:rsid w:val="00DB0AC2"/>
    <w:rsid w:val="00DB2C6E"/>
    <w:rsid w:val="00DB6960"/>
    <w:rsid w:val="00E14885"/>
    <w:rsid w:val="00E54D11"/>
    <w:rsid w:val="00E63D90"/>
    <w:rsid w:val="00F054B0"/>
    <w:rsid w:val="00F066E3"/>
    <w:rsid w:val="00F1210F"/>
    <w:rsid w:val="00F4260B"/>
    <w:rsid w:val="00F446EA"/>
    <w:rsid w:val="00F4510B"/>
    <w:rsid w:val="00F50E07"/>
    <w:rsid w:val="00F866D8"/>
    <w:rsid w:val="00F970E5"/>
    <w:rsid w:val="00FA69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6F0A"/>
  <w15:chartTrackingRefBased/>
  <w15:docId w15:val="{411BB672-03F4-483A-AE21-0BFD3154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0306"/>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5F0306"/>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5F0306"/>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5F0306"/>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5F0306"/>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5F0306"/>
    <w:pPr>
      <w:spacing w:line="259" w:lineRule="auto"/>
      <w:outlineLvl w:val="4"/>
    </w:pPr>
    <w:rPr>
      <w:color w:val="000000" w:themeColor="text1"/>
    </w:rPr>
  </w:style>
  <w:style w:type="paragraph" w:styleId="9">
    <w:name w:val="heading 9"/>
    <w:basedOn w:val="a"/>
    <w:next w:val="a"/>
    <w:link w:val="90"/>
    <w:uiPriority w:val="9"/>
    <w:semiHidden/>
    <w:unhideWhenUsed/>
    <w:qFormat/>
    <w:rsid w:val="008236B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5F0306"/>
    <w:rPr>
      <w:rFonts w:asciiTheme="majorHAnsi" w:eastAsiaTheme="majorEastAsia" w:hAnsiTheme="majorHAnsi" w:cs="David"/>
      <w:bCs/>
      <w:sz w:val="32"/>
      <w:szCs w:val="36"/>
    </w:rPr>
  </w:style>
  <w:style w:type="character" w:customStyle="1" w:styleId="40">
    <w:name w:val="כותרת 4 תו"/>
    <w:basedOn w:val="a0"/>
    <w:link w:val="4"/>
    <w:uiPriority w:val="9"/>
    <w:rsid w:val="005F0306"/>
    <w:rPr>
      <w:rFonts w:ascii="David" w:hAnsi="David" w:cs="David"/>
      <w:b/>
      <w:bCs/>
      <w:color w:val="000000" w:themeColor="text1"/>
      <w:sz w:val="24"/>
      <w:szCs w:val="28"/>
    </w:rPr>
  </w:style>
  <w:style w:type="paragraph" w:customStyle="1" w:styleId="TableText">
    <w:name w:val="Table Text"/>
    <w:basedOn w:val="a"/>
    <w:rsid w:val="005F0306"/>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5F0306"/>
    <w:pPr>
      <w:outlineLvl w:val="2"/>
    </w:pPr>
  </w:style>
  <w:style w:type="paragraph" w:customStyle="1" w:styleId="TableBlock">
    <w:name w:val="Table Block"/>
    <w:basedOn w:val="TableText"/>
    <w:rsid w:val="005F0306"/>
    <w:pPr>
      <w:jc w:val="both"/>
    </w:pPr>
  </w:style>
  <w:style w:type="paragraph" w:customStyle="1" w:styleId="TableHead">
    <w:name w:val="Table Head"/>
    <w:basedOn w:val="TableText"/>
    <w:rsid w:val="005F0306"/>
    <w:pPr>
      <w:jc w:val="center"/>
      <w:outlineLvl w:val="1"/>
    </w:pPr>
    <w:rPr>
      <w:b/>
      <w:bCs/>
    </w:rPr>
  </w:style>
  <w:style w:type="paragraph" w:customStyle="1" w:styleId="HeadMitparsemetBaze">
    <w:name w:val="Head MitparsemetBaze"/>
    <w:basedOn w:val="a"/>
    <w:rsid w:val="005F0306"/>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5F0306"/>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uiPriority w:val="99"/>
    <w:rsid w:val="005F0306"/>
    <w:pPr>
      <w:tabs>
        <w:tab w:val="left" w:pos="680"/>
        <w:tab w:val="left" w:pos="1020"/>
      </w:tabs>
      <w:ind w:firstLine="0"/>
    </w:pPr>
  </w:style>
  <w:style w:type="paragraph" w:customStyle="1" w:styleId="HeadDivreiHesber">
    <w:name w:val="Head DivreiHesber"/>
    <w:basedOn w:val="a"/>
    <w:rsid w:val="005F0306"/>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5F0306"/>
    <w:rPr>
      <w:rFonts w:asciiTheme="majorHAnsi" w:eastAsiaTheme="majorEastAsia" w:hAnsiTheme="majorHAnsi" w:cs="David"/>
      <w:bCs/>
      <w:sz w:val="26"/>
      <w:szCs w:val="36"/>
      <w:u w:val="single"/>
    </w:rPr>
  </w:style>
  <w:style w:type="character" w:customStyle="1" w:styleId="30">
    <w:name w:val="כותרת 3 תו"/>
    <w:basedOn w:val="a0"/>
    <w:link w:val="3"/>
    <w:rsid w:val="005F0306"/>
    <w:rPr>
      <w:rFonts w:asciiTheme="majorHAnsi" w:eastAsiaTheme="majorEastAsia" w:hAnsiTheme="majorHAnsi" w:cs="David"/>
      <w:sz w:val="24"/>
      <w:szCs w:val="28"/>
      <w:u w:val="double"/>
    </w:rPr>
  </w:style>
  <w:style w:type="character" w:customStyle="1" w:styleId="50">
    <w:name w:val="כותרת 5 תו"/>
    <w:basedOn w:val="a0"/>
    <w:link w:val="5"/>
    <w:uiPriority w:val="9"/>
    <w:rsid w:val="005F0306"/>
    <w:rPr>
      <w:rFonts w:ascii="David" w:hAnsi="David" w:cs="David"/>
      <w:color w:val="000000" w:themeColor="text1"/>
      <w:sz w:val="24"/>
      <w:szCs w:val="24"/>
    </w:rPr>
  </w:style>
  <w:style w:type="paragraph" w:customStyle="1" w:styleId="HeadHatzaotHok4Futer">
    <w:name w:val="Head HatzaotHok4Futer"/>
    <w:basedOn w:val="HeadHatzaotHok"/>
    <w:rsid w:val="005F0306"/>
    <w:pPr>
      <w:spacing w:before="120" w:after="120"/>
    </w:pPr>
    <w:rPr>
      <w:color w:val="FF0000"/>
      <w:w w:val="80"/>
    </w:rPr>
  </w:style>
  <w:style w:type="paragraph" w:styleId="a3">
    <w:name w:val="endnote text"/>
    <w:basedOn w:val="a"/>
    <w:link w:val="a4"/>
    <w:semiHidden/>
    <w:rsid w:val="005F0306"/>
    <w:pPr>
      <w:ind w:left="227" w:hanging="227"/>
    </w:pPr>
    <w:rPr>
      <w:sz w:val="14"/>
      <w:szCs w:val="22"/>
    </w:rPr>
  </w:style>
  <w:style w:type="character" w:customStyle="1" w:styleId="a4">
    <w:name w:val="טקסט הערת סיום תו"/>
    <w:basedOn w:val="a0"/>
    <w:link w:val="a3"/>
    <w:semiHidden/>
    <w:rsid w:val="005F0306"/>
    <w:rPr>
      <w:rFonts w:ascii="David" w:hAnsi="David" w:cs="David"/>
      <w:sz w:val="14"/>
    </w:rPr>
  </w:style>
  <w:style w:type="paragraph" w:customStyle="1" w:styleId="TableInnerSideHeading">
    <w:name w:val="Table InnerSideHeading"/>
    <w:basedOn w:val="TableSideHeading"/>
    <w:rsid w:val="005F0306"/>
    <w:pPr>
      <w:outlineLvl w:val="9"/>
    </w:pPr>
  </w:style>
  <w:style w:type="paragraph" w:customStyle="1" w:styleId="Hesber">
    <w:name w:val="Hesber"/>
    <w:basedOn w:val="a"/>
    <w:rsid w:val="005F0306"/>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5F0306"/>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5F0306"/>
    <w:rPr>
      <w:rFonts w:ascii="Arial" w:eastAsia="Arial Unicode MS" w:hAnsi="Arial" w:cs="David"/>
      <w:snapToGrid w:val="0"/>
      <w:sz w:val="14"/>
      <w:szCs w:val="20"/>
    </w:rPr>
  </w:style>
  <w:style w:type="character" w:styleId="a7">
    <w:name w:val="footnote reference"/>
    <w:aliases w:val="Footnote Reference"/>
    <w:basedOn w:val="a0"/>
    <w:semiHidden/>
    <w:rsid w:val="005F0306"/>
    <w:rPr>
      <w:vertAlign w:val="superscript"/>
    </w:rPr>
  </w:style>
  <w:style w:type="paragraph" w:customStyle="1" w:styleId="HesberHeading">
    <w:name w:val="Hesber Heading"/>
    <w:basedOn w:val="Hesber"/>
    <w:rsid w:val="005F0306"/>
    <w:pPr>
      <w:tabs>
        <w:tab w:val="left" w:pos="624"/>
        <w:tab w:val="left" w:pos="1247"/>
      </w:tabs>
    </w:pPr>
    <w:rPr>
      <w:b/>
      <w:bCs/>
    </w:rPr>
  </w:style>
  <w:style w:type="paragraph" w:customStyle="1" w:styleId="HesberWriters">
    <w:name w:val="Hesber Writers"/>
    <w:basedOn w:val="Hesber"/>
    <w:rsid w:val="005F0306"/>
    <w:pPr>
      <w:spacing w:before="120" w:after="120"/>
      <w:ind w:left="1418"/>
      <w:jc w:val="right"/>
    </w:pPr>
    <w:rPr>
      <w:b/>
      <w:bCs/>
    </w:rPr>
  </w:style>
  <w:style w:type="character" w:styleId="a8">
    <w:name w:val="endnote reference"/>
    <w:basedOn w:val="a0"/>
    <w:semiHidden/>
    <w:rsid w:val="005F0306"/>
    <w:rPr>
      <w:vertAlign w:val="superscript"/>
    </w:rPr>
  </w:style>
  <w:style w:type="paragraph" w:customStyle="1" w:styleId="TableBlockOutdent">
    <w:name w:val="Table BlockOutdent"/>
    <w:basedOn w:val="TableBlock"/>
    <w:rsid w:val="005F0306"/>
    <w:pPr>
      <w:ind w:left="624" w:hanging="624"/>
    </w:pPr>
  </w:style>
  <w:style w:type="paragraph" w:styleId="a9">
    <w:name w:val="header"/>
    <w:basedOn w:val="a"/>
    <w:link w:val="aa"/>
    <w:rsid w:val="005F0306"/>
    <w:pPr>
      <w:tabs>
        <w:tab w:val="center" w:pos="4153"/>
        <w:tab w:val="right" w:pos="8306"/>
      </w:tabs>
    </w:pPr>
  </w:style>
  <w:style w:type="character" w:customStyle="1" w:styleId="aa">
    <w:name w:val="כותרת עליונה תו"/>
    <w:basedOn w:val="a0"/>
    <w:link w:val="a9"/>
    <w:rsid w:val="005F0306"/>
    <w:rPr>
      <w:rFonts w:ascii="David" w:hAnsi="David" w:cs="David"/>
      <w:sz w:val="24"/>
      <w:szCs w:val="24"/>
    </w:rPr>
  </w:style>
  <w:style w:type="paragraph" w:styleId="ab">
    <w:name w:val="footer"/>
    <w:basedOn w:val="a"/>
    <w:link w:val="ac"/>
    <w:rsid w:val="005F0306"/>
    <w:pPr>
      <w:tabs>
        <w:tab w:val="center" w:pos="4153"/>
        <w:tab w:val="right" w:pos="8306"/>
      </w:tabs>
    </w:pPr>
  </w:style>
  <w:style w:type="character" w:customStyle="1" w:styleId="ac">
    <w:name w:val="כותרת תחתונה תו"/>
    <w:basedOn w:val="a0"/>
    <w:link w:val="ab"/>
    <w:rsid w:val="005F0306"/>
    <w:rPr>
      <w:rFonts w:ascii="David" w:hAnsi="David" w:cs="David"/>
      <w:sz w:val="24"/>
      <w:szCs w:val="24"/>
    </w:rPr>
  </w:style>
  <w:style w:type="character" w:styleId="ad">
    <w:name w:val="page number"/>
    <w:basedOn w:val="a0"/>
    <w:rsid w:val="005F0306"/>
  </w:style>
  <w:style w:type="paragraph" w:customStyle="1" w:styleId="Cover1-Reshumot">
    <w:name w:val="Cover 1-Reshumot"/>
    <w:basedOn w:val="a"/>
    <w:rsid w:val="005F0306"/>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5F0306"/>
    <w:rPr>
      <w:sz w:val="36"/>
      <w:szCs w:val="52"/>
    </w:rPr>
  </w:style>
  <w:style w:type="paragraph" w:customStyle="1" w:styleId="Cover3-Haknesset">
    <w:name w:val="Cover 3-Haknesset"/>
    <w:basedOn w:val="Cover1-Reshumot"/>
    <w:rsid w:val="005F0306"/>
    <w:rPr>
      <w:b/>
      <w:bCs/>
      <w:spacing w:val="60"/>
    </w:rPr>
  </w:style>
  <w:style w:type="paragraph" w:customStyle="1" w:styleId="Cover4-Date">
    <w:name w:val="Cover 4-Date"/>
    <w:basedOn w:val="a"/>
    <w:rsid w:val="005F0306"/>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5F0306"/>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5F0306"/>
    <w:pPr>
      <w:widowControl/>
      <w:spacing w:before="120" w:after="120"/>
      <w:outlineLvl w:val="9"/>
    </w:pPr>
    <w:rPr>
      <w:rtl/>
      <w:cs/>
    </w:rPr>
  </w:style>
  <w:style w:type="paragraph" w:styleId="TOC1">
    <w:name w:val="toc 1"/>
    <w:basedOn w:val="a"/>
    <w:next w:val="a"/>
    <w:autoRedefine/>
    <w:uiPriority w:val="39"/>
    <w:unhideWhenUsed/>
    <w:rsid w:val="005F0306"/>
    <w:pPr>
      <w:tabs>
        <w:tab w:val="right" w:leader="dot" w:pos="9629"/>
      </w:tabs>
      <w:spacing w:after="100"/>
    </w:pPr>
    <w:rPr>
      <w:bCs/>
      <w:szCs w:val="22"/>
    </w:rPr>
  </w:style>
  <w:style w:type="paragraph" w:styleId="TOC2">
    <w:name w:val="toc 2"/>
    <w:basedOn w:val="a"/>
    <w:next w:val="a"/>
    <w:uiPriority w:val="39"/>
    <w:unhideWhenUsed/>
    <w:rsid w:val="005F0306"/>
    <w:pPr>
      <w:tabs>
        <w:tab w:val="right" w:leader="dot" w:pos="9628"/>
      </w:tabs>
      <w:spacing w:after="100"/>
    </w:pPr>
    <w:rPr>
      <w:szCs w:val="22"/>
    </w:rPr>
  </w:style>
  <w:style w:type="character" w:styleId="Hyperlink">
    <w:name w:val="Hyperlink"/>
    <w:basedOn w:val="a0"/>
    <w:uiPriority w:val="99"/>
    <w:unhideWhenUsed/>
    <w:rsid w:val="005F0306"/>
    <w:rPr>
      <w:color w:val="0563C1" w:themeColor="hyperlink"/>
      <w:u w:val="single"/>
    </w:rPr>
  </w:style>
  <w:style w:type="paragraph" w:styleId="TOC3">
    <w:name w:val="toc 3"/>
    <w:basedOn w:val="a"/>
    <w:next w:val="a"/>
    <w:uiPriority w:val="39"/>
    <w:unhideWhenUsed/>
    <w:rsid w:val="005F0306"/>
    <w:pPr>
      <w:numPr>
        <w:numId w:val="19"/>
      </w:numPr>
      <w:tabs>
        <w:tab w:val="right" w:leader="dot" w:pos="9629"/>
      </w:tabs>
      <w:spacing w:after="100"/>
      <w:ind w:left="811" w:hanging="357"/>
    </w:pPr>
    <w:rPr>
      <w:szCs w:val="22"/>
    </w:rPr>
  </w:style>
  <w:style w:type="paragraph" w:styleId="TOC4">
    <w:name w:val="toc 4"/>
    <w:basedOn w:val="a"/>
    <w:next w:val="a"/>
    <w:autoRedefine/>
    <w:unhideWhenUsed/>
    <w:qFormat/>
    <w:rsid w:val="005F0306"/>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5F0306"/>
    <w:pPr>
      <w:tabs>
        <w:tab w:val="right" w:leader="dot" w:pos="9628"/>
      </w:tabs>
      <w:spacing w:after="100"/>
      <w:ind w:left="567"/>
    </w:pPr>
    <w:rPr>
      <w:szCs w:val="22"/>
    </w:rPr>
  </w:style>
  <w:style w:type="paragraph" w:styleId="TOC6">
    <w:name w:val="toc 6"/>
    <w:basedOn w:val="a"/>
    <w:next w:val="a"/>
    <w:autoRedefine/>
    <w:semiHidden/>
    <w:unhideWhenUsed/>
    <w:rsid w:val="005F0306"/>
    <w:pPr>
      <w:spacing w:after="100"/>
      <w:ind w:left="850"/>
    </w:pPr>
  </w:style>
  <w:style w:type="paragraph" w:styleId="TOC7">
    <w:name w:val="toc 7"/>
    <w:basedOn w:val="a"/>
    <w:next w:val="a"/>
    <w:autoRedefine/>
    <w:semiHidden/>
    <w:unhideWhenUsed/>
    <w:rsid w:val="005F0306"/>
    <w:pPr>
      <w:spacing w:after="100"/>
      <w:ind w:left="1020"/>
    </w:pPr>
  </w:style>
  <w:style w:type="paragraph" w:styleId="TOC8">
    <w:name w:val="toc 8"/>
    <w:basedOn w:val="a"/>
    <w:next w:val="a"/>
    <w:autoRedefine/>
    <w:semiHidden/>
    <w:unhideWhenUsed/>
    <w:rsid w:val="005F0306"/>
    <w:pPr>
      <w:spacing w:after="100"/>
      <w:ind w:left="1190"/>
    </w:pPr>
  </w:style>
  <w:style w:type="paragraph" w:styleId="TOC9">
    <w:name w:val="toc 9"/>
    <w:basedOn w:val="a"/>
    <w:next w:val="a"/>
    <w:autoRedefine/>
    <w:semiHidden/>
    <w:unhideWhenUsed/>
    <w:rsid w:val="005F0306"/>
    <w:pPr>
      <w:spacing w:after="100"/>
      <w:ind w:left="1360"/>
    </w:pPr>
  </w:style>
  <w:style w:type="paragraph" w:customStyle="1" w:styleId="TableHead2">
    <w:name w:val="Table Head2"/>
    <w:basedOn w:val="TableHead"/>
    <w:qFormat/>
    <w:rsid w:val="005F0306"/>
    <w:pPr>
      <w:outlineLvl w:val="9"/>
    </w:pPr>
  </w:style>
  <w:style w:type="paragraph" w:customStyle="1" w:styleId="TableSideHeading2">
    <w:name w:val="Table SideHeading2"/>
    <w:basedOn w:val="TableSideHeading"/>
    <w:autoRedefine/>
    <w:qFormat/>
    <w:rsid w:val="005F0306"/>
    <w:pPr>
      <w:keepLines w:val="0"/>
      <w:outlineLvl w:val="9"/>
    </w:pPr>
  </w:style>
  <w:style w:type="paragraph" w:customStyle="1" w:styleId="0">
    <w:name w:val="סגנון שורה ראשונה:  0  ס''מ"/>
    <w:basedOn w:val="2"/>
    <w:rsid w:val="005F0306"/>
    <w:rPr>
      <w:rFonts w:eastAsia="Times New Roman"/>
    </w:rPr>
  </w:style>
  <w:style w:type="paragraph" w:styleId="af">
    <w:name w:val="List Paragraph"/>
    <w:basedOn w:val="a"/>
    <w:uiPriority w:val="34"/>
    <w:qFormat/>
    <w:rsid w:val="005F0306"/>
    <w:pPr>
      <w:widowControl/>
      <w:spacing w:line="259" w:lineRule="auto"/>
    </w:pPr>
    <w:rPr>
      <w:rFonts w:asciiTheme="minorHAnsi" w:hAnsiTheme="minorHAnsi"/>
      <w:sz w:val="22"/>
    </w:rPr>
  </w:style>
  <w:style w:type="table" w:styleId="af0">
    <w:name w:val="Table Grid"/>
    <w:basedOn w:val="a1"/>
    <w:rsid w:val="005F0306"/>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5F0306"/>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5F0306"/>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5F0306"/>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5F0306"/>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character" w:customStyle="1" w:styleId="90">
    <w:name w:val="כותרת 9 תו"/>
    <w:basedOn w:val="a0"/>
    <w:link w:val="9"/>
    <w:rsid w:val="008236BD"/>
    <w:rPr>
      <w:rFonts w:asciiTheme="majorHAnsi" w:eastAsiaTheme="majorEastAsia" w:hAnsiTheme="majorHAnsi" w:cstheme="majorBidi"/>
      <w:i/>
      <w:iCs/>
      <w:color w:val="272727" w:themeColor="text1" w:themeTint="D8"/>
      <w:sz w:val="21"/>
      <w:szCs w:val="21"/>
    </w:rPr>
  </w:style>
  <w:style w:type="character" w:styleId="af2">
    <w:name w:val="Unresolved Mention"/>
    <w:basedOn w:val="a0"/>
    <w:uiPriority w:val="99"/>
    <w:semiHidden/>
    <w:unhideWhenUsed/>
    <w:rsid w:val="002077FE"/>
    <w:rPr>
      <w:color w:val="605E5C"/>
      <w:shd w:val="clear" w:color="auto" w:fill="E1DFDD"/>
    </w:rPr>
  </w:style>
  <w:style w:type="character" w:styleId="FollowedHyperlink">
    <w:name w:val="FollowedHyperlink"/>
    <w:basedOn w:val="a0"/>
    <w:uiPriority w:val="99"/>
    <w:semiHidden/>
    <w:unhideWhenUsed/>
    <w:rsid w:val="001C26FD"/>
    <w:rPr>
      <w:color w:val="954F72" w:themeColor="followedHyperlink"/>
      <w:u w:val="single"/>
    </w:rPr>
  </w:style>
  <w:style w:type="character" w:customStyle="1" w:styleId="default">
    <w:name w:val="default"/>
    <w:rsid w:val="00271EE3"/>
    <w:rPr>
      <w:rFonts w:ascii="Times New Roman" w:hAnsi="Times New Roman" w:cs="Times New Roman"/>
      <w:sz w:val="26"/>
      <w:szCs w:val="26"/>
    </w:rPr>
  </w:style>
  <w:style w:type="paragraph" w:styleId="af3">
    <w:name w:val="Balloon Text"/>
    <w:basedOn w:val="a"/>
    <w:link w:val="af4"/>
    <w:uiPriority w:val="99"/>
    <w:semiHidden/>
    <w:unhideWhenUsed/>
    <w:rsid w:val="00F4510B"/>
    <w:pPr>
      <w:spacing w:line="240" w:lineRule="auto"/>
    </w:pPr>
    <w:rPr>
      <w:rFonts w:ascii="Tahoma" w:hAnsi="Tahoma" w:cs="Tahoma"/>
      <w:sz w:val="18"/>
      <w:szCs w:val="18"/>
    </w:rPr>
  </w:style>
  <w:style w:type="character" w:customStyle="1" w:styleId="af4">
    <w:name w:val="טקסט בלונים תו"/>
    <w:basedOn w:val="a0"/>
    <w:link w:val="af3"/>
    <w:uiPriority w:val="99"/>
    <w:semiHidden/>
    <w:rsid w:val="00F4510B"/>
    <w:rPr>
      <w:rFonts w:ascii="Tahoma" w:hAnsi="Tahoma" w:cs="Tahoma"/>
      <w:sz w:val="18"/>
      <w:szCs w:val="18"/>
    </w:rPr>
  </w:style>
  <w:style w:type="character" w:styleId="af5">
    <w:name w:val="annotation reference"/>
    <w:basedOn w:val="a0"/>
    <w:uiPriority w:val="99"/>
    <w:semiHidden/>
    <w:unhideWhenUsed/>
    <w:rsid w:val="00785632"/>
    <w:rPr>
      <w:sz w:val="16"/>
      <w:szCs w:val="16"/>
    </w:rPr>
  </w:style>
  <w:style w:type="paragraph" w:styleId="af6">
    <w:name w:val="annotation text"/>
    <w:basedOn w:val="a"/>
    <w:link w:val="af7"/>
    <w:uiPriority w:val="99"/>
    <w:semiHidden/>
    <w:unhideWhenUsed/>
    <w:rsid w:val="00785632"/>
    <w:pPr>
      <w:spacing w:line="240" w:lineRule="auto"/>
    </w:pPr>
    <w:rPr>
      <w:sz w:val="20"/>
      <w:szCs w:val="20"/>
    </w:rPr>
  </w:style>
  <w:style w:type="character" w:customStyle="1" w:styleId="af7">
    <w:name w:val="טקסט הערה תו"/>
    <w:basedOn w:val="a0"/>
    <w:link w:val="af6"/>
    <w:uiPriority w:val="99"/>
    <w:semiHidden/>
    <w:rsid w:val="00785632"/>
    <w:rPr>
      <w:rFonts w:ascii="David" w:hAnsi="David" w:cs="David"/>
      <w:sz w:val="20"/>
      <w:szCs w:val="20"/>
    </w:rPr>
  </w:style>
  <w:style w:type="paragraph" w:styleId="af8">
    <w:name w:val="annotation subject"/>
    <w:basedOn w:val="af6"/>
    <w:next w:val="af6"/>
    <w:link w:val="af9"/>
    <w:uiPriority w:val="99"/>
    <w:semiHidden/>
    <w:unhideWhenUsed/>
    <w:rsid w:val="00785632"/>
    <w:rPr>
      <w:b/>
      <w:bCs/>
    </w:rPr>
  </w:style>
  <w:style w:type="character" w:customStyle="1" w:styleId="af9">
    <w:name w:val="נושא הערה תו"/>
    <w:basedOn w:val="af7"/>
    <w:link w:val="af8"/>
    <w:uiPriority w:val="99"/>
    <w:semiHidden/>
    <w:rsid w:val="00785632"/>
    <w:rPr>
      <w:rFonts w:ascii="David" w:hAnsi="David" w:cs="Davi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860</Words>
  <Characters>4305</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Ministry Of Construction And Housing</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YuvalS</dc:creator>
  <cp:keywords/>
  <dc:description/>
  <cp:lastModifiedBy>אילן רויזמן</cp:lastModifiedBy>
  <cp:revision>5</cp:revision>
  <cp:lastPrinted>2022-08-24T07:54:00Z</cp:lastPrinted>
  <dcterms:created xsi:type="dcterms:W3CDTF">2023-12-20T10:21:00Z</dcterms:created>
  <dcterms:modified xsi:type="dcterms:W3CDTF">2023-12-20T11:05:00Z</dcterms:modified>
</cp:coreProperties>
</file>