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BA576" w14:textId="77777777" w:rsidR="00C03A9B" w:rsidRDefault="00C03A9B" w:rsidP="00C03A9B">
      <w:pPr>
        <w:autoSpaceDE w:val="0"/>
        <w:autoSpaceDN w:val="0"/>
        <w:adjustRightInd w:val="0"/>
        <w:spacing w:after="0" w:line="240" w:lineRule="auto"/>
        <w:rPr>
          <w:rFonts w:ascii="Tms Rmn" w:hAnsi="Tms Rmn"/>
          <w:sz w:val="24"/>
          <w:szCs w:val="24"/>
        </w:rPr>
      </w:pPr>
    </w:p>
    <w:p w14:paraId="68D78E62"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מדינת</w:t>
      </w:r>
      <w:r>
        <w:rPr>
          <w:rFonts w:ascii="David" w:hAnsi="Tms Rmn" w:cs="David"/>
          <w:b/>
          <w:bCs/>
          <w:color w:val="000000"/>
          <w:sz w:val="28"/>
          <w:szCs w:val="28"/>
        </w:rPr>
        <w:t xml:space="preserve"> </w:t>
      </w:r>
      <w:r>
        <w:rPr>
          <w:rFonts w:ascii="David" w:hAnsi="Tms Rmn" w:cs="David" w:hint="cs"/>
          <w:b/>
          <w:bCs/>
          <w:color w:val="000000"/>
          <w:sz w:val="28"/>
          <w:szCs w:val="28"/>
          <w:rtl/>
        </w:rPr>
        <w:t>ישראל</w:t>
      </w:r>
    </w:p>
    <w:p w14:paraId="307E42BC" w14:textId="77777777" w:rsidR="00C03A9B" w:rsidRDefault="00C03A9B" w:rsidP="009479AF">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מחוז</w:t>
      </w:r>
      <w:r>
        <w:rPr>
          <w:rFonts w:ascii="David" w:hAnsi="Tms Rmn" w:cs="David"/>
          <w:b/>
          <w:bCs/>
          <w:color w:val="000000"/>
          <w:sz w:val="28"/>
          <w:szCs w:val="28"/>
        </w:rPr>
        <w:t xml:space="preserve"> </w:t>
      </w:r>
      <w:sdt>
        <w:sdtPr>
          <w:rPr>
            <w:rFonts w:ascii="David" w:hAnsi="Tms Rmn" w:cs="David"/>
            <w:b/>
            <w:bCs/>
            <w:color w:val="000000"/>
            <w:sz w:val="28"/>
            <w:szCs w:val="28"/>
            <w:rtl/>
          </w:rPr>
          <w:id w:val="-1937044745"/>
          <w:placeholder>
            <w:docPart w:val="DefaultPlaceholder_1081868574"/>
          </w:placeholder>
          <w:text/>
        </w:sdtPr>
        <w:sdtEndPr/>
        <w:sdtContent>
          <w:r w:rsidR="00BE17E9">
            <w:rPr>
              <w:rFonts w:ascii="David" w:hAnsi="Tms Rmn" w:cs="David" w:hint="cs"/>
              <w:b/>
              <w:bCs/>
              <w:color w:val="000000"/>
              <w:sz w:val="28"/>
              <w:szCs w:val="28"/>
              <w:rtl/>
            </w:rPr>
            <w:t>מרכז</w:t>
          </w:r>
        </w:sdtContent>
      </w:sdt>
    </w:p>
    <w:p w14:paraId="76D2E6CF"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ועדת</w:t>
      </w:r>
      <w:r>
        <w:rPr>
          <w:rFonts w:ascii="David" w:hAnsi="Tms Rmn" w:cs="David"/>
          <w:b/>
          <w:bCs/>
          <w:color w:val="000000"/>
          <w:sz w:val="28"/>
          <w:szCs w:val="28"/>
        </w:rPr>
        <w:t xml:space="preserve"> </w:t>
      </w:r>
      <w:r>
        <w:rPr>
          <w:rFonts w:ascii="David" w:hAnsi="Tms Rmn" w:cs="David" w:hint="cs"/>
          <w:b/>
          <w:bCs/>
          <w:color w:val="000000"/>
          <w:sz w:val="28"/>
          <w:szCs w:val="28"/>
          <w:rtl/>
        </w:rPr>
        <w:t>ערר</w:t>
      </w:r>
      <w:r>
        <w:rPr>
          <w:rFonts w:ascii="David" w:hAnsi="Tms Rmn" w:cs="David"/>
          <w:b/>
          <w:bCs/>
          <w:color w:val="000000"/>
          <w:sz w:val="28"/>
          <w:szCs w:val="28"/>
        </w:rPr>
        <w:t xml:space="preserve"> </w:t>
      </w:r>
      <w:r w:rsidR="00F55A55">
        <w:rPr>
          <w:rFonts w:ascii="David" w:hAnsi="Tms Rmn" w:cs="David" w:hint="cs"/>
          <w:b/>
          <w:bCs/>
          <w:color w:val="000000"/>
          <w:sz w:val="28"/>
          <w:szCs w:val="28"/>
          <w:rtl/>
        </w:rPr>
        <w:t xml:space="preserve">מחוזית </w:t>
      </w:r>
      <w:r>
        <w:rPr>
          <w:rFonts w:ascii="David" w:hAnsi="Tms Rmn" w:cs="David" w:hint="cs"/>
          <w:b/>
          <w:bCs/>
          <w:color w:val="000000"/>
          <w:sz w:val="28"/>
          <w:szCs w:val="28"/>
          <w:rtl/>
        </w:rPr>
        <w:t>לתכנון</w:t>
      </w:r>
      <w:r>
        <w:rPr>
          <w:rFonts w:ascii="David" w:hAnsi="Tms Rmn" w:cs="David"/>
          <w:b/>
          <w:bCs/>
          <w:color w:val="000000"/>
          <w:sz w:val="28"/>
          <w:szCs w:val="28"/>
        </w:rPr>
        <w:t xml:space="preserve"> </w:t>
      </w:r>
      <w:r>
        <w:rPr>
          <w:rFonts w:ascii="David" w:hAnsi="Tms Rmn" w:cs="David" w:hint="cs"/>
          <w:b/>
          <w:bCs/>
          <w:color w:val="000000"/>
          <w:sz w:val="28"/>
          <w:szCs w:val="28"/>
          <w:rtl/>
        </w:rPr>
        <w:t>ובניה</w:t>
      </w:r>
    </w:p>
    <w:p w14:paraId="13ED7C1A" w14:textId="77777777" w:rsidR="00C03A9B" w:rsidRDefault="00770D04" w:rsidP="00F55A55">
      <w:pPr>
        <w:spacing w:after="0" w:line="240" w:lineRule="auto"/>
        <w:ind w:left="2160" w:firstLine="720"/>
        <w:rPr>
          <w:rFonts w:ascii="Times New Roman" w:eastAsia="Times New Roman" w:hAnsi="Times New Roman" w:cs="David"/>
          <w:sz w:val="24"/>
          <w:szCs w:val="20"/>
          <w:rtl/>
          <w:lang w:eastAsia="he-IL"/>
        </w:rPr>
      </w:pPr>
      <w:r>
        <w:rPr>
          <w:rFonts w:ascii="David" w:hAnsi="Tms Rmn" w:cs="David" w:hint="cs"/>
          <w:b/>
          <w:bCs/>
          <w:color w:val="000000"/>
          <w:sz w:val="28"/>
          <w:szCs w:val="28"/>
          <w:rtl/>
        </w:rPr>
        <w:t xml:space="preserve">   </w:t>
      </w:r>
    </w:p>
    <w:p w14:paraId="18BEB050" w14:textId="77777777" w:rsidR="00C03A9B" w:rsidRDefault="00C03A9B" w:rsidP="00572066">
      <w:pPr>
        <w:spacing w:line="360" w:lineRule="auto"/>
        <w:jc w:val="center"/>
        <w:rPr>
          <w:rFonts w:cs="David"/>
          <w:b/>
          <w:bCs/>
          <w:sz w:val="28"/>
          <w:szCs w:val="28"/>
          <w:rtl/>
        </w:rPr>
      </w:pPr>
      <w:r>
        <w:rPr>
          <w:rFonts w:cs="David" w:hint="cs"/>
          <w:b/>
          <w:bCs/>
          <w:sz w:val="28"/>
          <w:szCs w:val="28"/>
          <w:rtl/>
        </w:rPr>
        <w:t>_____________________</w:t>
      </w:r>
      <w:r w:rsidR="00572066">
        <w:rPr>
          <w:rFonts w:cs="David" w:hint="cs"/>
          <w:b/>
          <w:bCs/>
          <w:sz w:val="28"/>
          <w:szCs w:val="28"/>
          <w:rtl/>
        </w:rPr>
        <w:t>___</w:t>
      </w:r>
      <w:r>
        <w:rPr>
          <w:rFonts w:cs="David" w:hint="cs"/>
          <w:b/>
          <w:bCs/>
          <w:sz w:val="28"/>
          <w:szCs w:val="28"/>
          <w:rtl/>
        </w:rPr>
        <w:t>_____________________________________</w:t>
      </w:r>
    </w:p>
    <w:p w14:paraId="667EAFBF" w14:textId="77777777" w:rsidR="005963B3" w:rsidRPr="00F6133D" w:rsidRDefault="005963B3" w:rsidP="00991D54">
      <w:pPr>
        <w:spacing w:after="120" w:line="360" w:lineRule="auto"/>
        <w:jc w:val="both"/>
        <w:rPr>
          <w:rFonts w:cs="David"/>
          <w:b/>
          <w:bCs/>
          <w:sz w:val="24"/>
          <w:szCs w:val="24"/>
          <w:rtl/>
        </w:rPr>
      </w:pPr>
      <w:r w:rsidRPr="00F6133D">
        <w:rPr>
          <w:rFonts w:cs="David" w:hint="cs"/>
          <w:b/>
          <w:bCs/>
          <w:sz w:val="24"/>
          <w:szCs w:val="24"/>
          <w:u w:val="single"/>
          <w:rtl/>
        </w:rPr>
        <w:t>בפני הוועדה</w:t>
      </w:r>
      <w:r w:rsidRPr="00F6133D">
        <w:rPr>
          <w:rFonts w:cs="David" w:hint="cs"/>
          <w:b/>
          <w:bCs/>
          <w:sz w:val="24"/>
          <w:szCs w:val="24"/>
          <w:rtl/>
        </w:rPr>
        <w:t>:</w:t>
      </w:r>
      <w:r w:rsidRPr="00F6133D">
        <w:rPr>
          <w:rFonts w:cs="David" w:hint="cs"/>
          <w:sz w:val="24"/>
          <w:szCs w:val="24"/>
          <w:rtl/>
        </w:rPr>
        <w:tab/>
      </w:r>
      <w:r w:rsidRPr="00F6133D">
        <w:rPr>
          <w:rFonts w:cs="David" w:hint="cs"/>
          <w:b/>
          <w:bCs/>
          <w:sz w:val="24"/>
          <w:szCs w:val="24"/>
          <w:rtl/>
        </w:rPr>
        <w:t>יו"ר:</w:t>
      </w:r>
      <w:r w:rsidRPr="00F6133D">
        <w:rPr>
          <w:rFonts w:cs="David" w:hint="cs"/>
          <w:b/>
          <w:bCs/>
          <w:sz w:val="24"/>
          <w:szCs w:val="24"/>
          <w:rtl/>
        </w:rPr>
        <w:tab/>
      </w:r>
      <w:r w:rsidR="009479AF" w:rsidRPr="00F6133D">
        <w:rPr>
          <w:rFonts w:cs="David" w:hint="cs"/>
          <w:b/>
          <w:bCs/>
          <w:sz w:val="24"/>
          <w:szCs w:val="24"/>
          <w:rtl/>
        </w:rPr>
        <w:tab/>
      </w:r>
      <w:r w:rsidR="009479AF" w:rsidRPr="00F6133D">
        <w:rPr>
          <w:rFonts w:cs="David" w:hint="cs"/>
          <w:b/>
          <w:bCs/>
          <w:sz w:val="24"/>
          <w:szCs w:val="24"/>
          <w:rtl/>
        </w:rPr>
        <w:tab/>
        <w:t xml:space="preserve">עו"ד </w:t>
      </w:r>
      <w:r w:rsidR="000D700B" w:rsidRPr="00F6133D">
        <w:rPr>
          <w:rFonts w:cs="David" w:hint="cs"/>
          <w:b/>
          <w:bCs/>
          <w:sz w:val="24"/>
          <w:szCs w:val="24"/>
          <w:rtl/>
        </w:rPr>
        <w:t>מאיה אשכנזי</w:t>
      </w:r>
      <w:r w:rsidRPr="00F6133D">
        <w:rPr>
          <w:rFonts w:cs="David" w:hint="cs"/>
          <w:b/>
          <w:bCs/>
          <w:sz w:val="24"/>
          <w:szCs w:val="24"/>
          <w:rtl/>
        </w:rPr>
        <w:tab/>
      </w:r>
      <w:r w:rsidRPr="00F6133D">
        <w:rPr>
          <w:rFonts w:cs="David" w:hint="cs"/>
          <w:b/>
          <w:bCs/>
          <w:sz w:val="24"/>
          <w:szCs w:val="24"/>
          <w:rtl/>
        </w:rPr>
        <w:tab/>
      </w:r>
    </w:p>
    <w:p w14:paraId="08024998" w14:textId="77777777" w:rsidR="00F6133D" w:rsidRPr="00F6133D" w:rsidRDefault="005963B3" w:rsidP="00F6133D">
      <w:pPr>
        <w:spacing w:line="360" w:lineRule="auto"/>
        <w:ind w:left="720" w:hanging="720"/>
        <w:rPr>
          <w:rFonts w:ascii="Arial" w:eastAsia="Times New Roman" w:hAnsi="Arial" w:cs="David"/>
          <w:sz w:val="24"/>
          <w:szCs w:val="24"/>
          <w:lang w:eastAsia="he-IL"/>
        </w:rPr>
      </w:pPr>
      <w:r w:rsidRPr="00F6133D">
        <w:rPr>
          <w:rFonts w:cs="David" w:hint="cs"/>
          <w:b/>
          <w:bCs/>
          <w:sz w:val="24"/>
          <w:szCs w:val="24"/>
          <w:rtl/>
        </w:rPr>
        <w:tab/>
      </w:r>
      <w:r w:rsidRPr="00F6133D">
        <w:rPr>
          <w:rFonts w:cs="David" w:hint="cs"/>
          <w:b/>
          <w:bCs/>
          <w:sz w:val="24"/>
          <w:szCs w:val="24"/>
          <w:rtl/>
        </w:rPr>
        <w:tab/>
        <w:t>חבר</w:t>
      </w:r>
      <w:r w:rsidR="00011C3C" w:rsidRPr="00F6133D">
        <w:rPr>
          <w:rFonts w:cs="David" w:hint="cs"/>
          <w:b/>
          <w:bCs/>
          <w:sz w:val="24"/>
          <w:szCs w:val="24"/>
          <w:rtl/>
        </w:rPr>
        <w:t>י</w:t>
      </w:r>
      <w:r w:rsidRPr="00F6133D">
        <w:rPr>
          <w:rFonts w:cs="David" w:hint="cs"/>
          <w:b/>
          <w:bCs/>
          <w:sz w:val="24"/>
          <w:szCs w:val="24"/>
          <w:rtl/>
        </w:rPr>
        <w:t xml:space="preserve"> </w:t>
      </w:r>
      <w:r w:rsidR="00011C3C" w:rsidRPr="00F6133D">
        <w:rPr>
          <w:rFonts w:cs="David" w:hint="cs"/>
          <w:b/>
          <w:bCs/>
          <w:sz w:val="24"/>
          <w:szCs w:val="24"/>
          <w:rtl/>
        </w:rPr>
        <w:t>ה</w:t>
      </w:r>
      <w:r w:rsidR="009479AF" w:rsidRPr="00F6133D">
        <w:rPr>
          <w:rFonts w:cs="David" w:hint="cs"/>
          <w:b/>
          <w:bCs/>
          <w:sz w:val="24"/>
          <w:szCs w:val="24"/>
          <w:rtl/>
        </w:rPr>
        <w:t>ועדה:</w:t>
      </w:r>
      <w:r w:rsidR="009479AF" w:rsidRPr="00F6133D">
        <w:rPr>
          <w:rFonts w:cs="David" w:hint="cs"/>
          <w:b/>
          <w:bCs/>
          <w:sz w:val="24"/>
          <w:szCs w:val="24"/>
          <w:rtl/>
        </w:rPr>
        <w:tab/>
      </w:r>
      <w:r w:rsidRPr="00F6133D">
        <w:rPr>
          <w:rFonts w:cs="David" w:hint="cs"/>
          <w:b/>
          <w:bCs/>
          <w:sz w:val="24"/>
          <w:szCs w:val="24"/>
          <w:rtl/>
        </w:rPr>
        <w:t xml:space="preserve">  </w:t>
      </w:r>
      <w:r w:rsidR="009479AF" w:rsidRPr="00F6133D">
        <w:rPr>
          <w:rFonts w:cs="David" w:hint="cs"/>
          <w:b/>
          <w:bCs/>
          <w:sz w:val="24"/>
          <w:szCs w:val="24"/>
          <w:rtl/>
        </w:rPr>
        <w:tab/>
      </w:r>
      <w:r w:rsidR="00F6133D" w:rsidRPr="00F6133D">
        <w:rPr>
          <w:rFonts w:cs="David"/>
          <w:b/>
          <w:bCs/>
          <w:sz w:val="24"/>
          <w:szCs w:val="24"/>
          <w:rtl/>
        </w:rPr>
        <w:t>אדריכל רשום ע"פ סעיף 12 א (13): מר שמואל חכים</w:t>
      </w:r>
    </w:p>
    <w:p w14:paraId="36927308" w14:textId="77777777" w:rsidR="009479AF" w:rsidRPr="00F6133D" w:rsidRDefault="009479AF" w:rsidP="00991D54">
      <w:pPr>
        <w:spacing w:after="120" w:line="360" w:lineRule="auto"/>
        <w:jc w:val="both"/>
        <w:rPr>
          <w:rFonts w:cs="David"/>
          <w:b/>
          <w:bCs/>
          <w:sz w:val="24"/>
          <w:szCs w:val="24"/>
          <w:rtl/>
        </w:rPr>
      </w:pPr>
      <w:r w:rsidRPr="00F6133D">
        <w:rPr>
          <w:rFonts w:cs="David" w:hint="cs"/>
          <w:b/>
          <w:bCs/>
          <w:sz w:val="24"/>
          <w:szCs w:val="24"/>
          <w:rtl/>
        </w:rPr>
        <w:tab/>
      </w:r>
      <w:r w:rsidRPr="00F6133D">
        <w:rPr>
          <w:rFonts w:cs="David" w:hint="cs"/>
          <w:b/>
          <w:bCs/>
          <w:sz w:val="24"/>
          <w:szCs w:val="24"/>
          <w:rtl/>
        </w:rPr>
        <w:tab/>
      </w:r>
      <w:r w:rsidRPr="00F6133D">
        <w:rPr>
          <w:rFonts w:cs="David" w:hint="cs"/>
          <w:b/>
          <w:bCs/>
          <w:sz w:val="24"/>
          <w:szCs w:val="24"/>
          <w:rtl/>
        </w:rPr>
        <w:tab/>
      </w:r>
      <w:r w:rsidRPr="00F6133D">
        <w:rPr>
          <w:rFonts w:cs="David" w:hint="cs"/>
          <w:b/>
          <w:bCs/>
          <w:sz w:val="24"/>
          <w:szCs w:val="24"/>
          <w:rtl/>
        </w:rPr>
        <w:tab/>
      </w:r>
      <w:r w:rsidRPr="00F6133D">
        <w:rPr>
          <w:rFonts w:cs="David" w:hint="cs"/>
          <w:b/>
          <w:bCs/>
          <w:sz w:val="24"/>
          <w:szCs w:val="24"/>
          <w:rtl/>
        </w:rPr>
        <w:tab/>
      </w:r>
      <w:r w:rsidR="00BE17E9" w:rsidRPr="00F6133D">
        <w:rPr>
          <w:rFonts w:cs="David" w:hint="cs"/>
          <w:b/>
          <w:bCs/>
          <w:sz w:val="24"/>
          <w:szCs w:val="24"/>
          <w:rtl/>
        </w:rPr>
        <w:t>מר דודו כהן</w:t>
      </w:r>
    </w:p>
    <w:p w14:paraId="2B53C775" w14:textId="77777777" w:rsidR="009479AF" w:rsidRPr="00F6133D" w:rsidRDefault="009479AF" w:rsidP="00991D54">
      <w:pPr>
        <w:spacing w:after="120" w:line="360" w:lineRule="auto"/>
        <w:jc w:val="both"/>
        <w:rPr>
          <w:rFonts w:cs="David"/>
          <w:b/>
          <w:bCs/>
          <w:sz w:val="24"/>
          <w:szCs w:val="24"/>
          <w:rtl/>
        </w:rPr>
      </w:pPr>
      <w:r w:rsidRPr="00F6133D">
        <w:rPr>
          <w:rFonts w:cs="David" w:hint="cs"/>
          <w:b/>
          <w:bCs/>
          <w:sz w:val="24"/>
          <w:szCs w:val="24"/>
          <w:rtl/>
        </w:rPr>
        <w:tab/>
      </w:r>
      <w:r w:rsidRPr="00F6133D">
        <w:rPr>
          <w:rFonts w:cs="David" w:hint="cs"/>
          <w:b/>
          <w:bCs/>
          <w:sz w:val="24"/>
          <w:szCs w:val="24"/>
          <w:rtl/>
        </w:rPr>
        <w:tab/>
      </w:r>
      <w:r w:rsidRPr="00F6133D">
        <w:rPr>
          <w:rFonts w:cs="David" w:hint="cs"/>
          <w:b/>
          <w:bCs/>
          <w:sz w:val="24"/>
          <w:szCs w:val="24"/>
          <w:rtl/>
        </w:rPr>
        <w:tab/>
      </w:r>
      <w:r w:rsidRPr="00F6133D">
        <w:rPr>
          <w:rFonts w:cs="David" w:hint="cs"/>
          <w:b/>
          <w:bCs/>
          <w:sz w:val="24"/>
          <w:szCs w:val="24"/>
          <w:rtl/>
        </w:rPr>
        <w:tab/>
      </w:r>
      <w:r w:rsidRPr="00F6133D">
        <w:rPr>
          <w:rFonts w:cs="David" w:hint="cs"/>
          <w:b/>
          <w:bCs/>
          <w:sz w:val="24"/>
          <w:szCs w:val="24"/>
          <w:rtl/>
        </w:rPr>
        <w:tab/>
      </w:r>
      <w:r w:rsidR="00BE17E9" w:rsidRPr="00F6133D">
        <w:rPr>
          <w:rFonts w:cs="David" w:hint="cs"/>
          <w:b/>
          <w:bCs/>
          <w:sz w:val="24"/>
          <w:szCs w:val="24"/>
          <w:rtl/>
        </w:rPr>
        <w:t xml:space="preserve">מר ראים </w:t>
      </w:r>
      <w:proofErr w:type="spellStart"/>
      <w:r w:rsidR="00BE17E9" w:rsidRPr="00F6133D">
        <w:rPr>
          <w:rFonts w:cs="David" w:hint="cs"/>
          <w:b/>
          <w:bCs/>
          <w:sz w:val="24"/>
          <w:szCs w:val="24"/>
          <w:rtl/>
        </w:rPr>
        <w:t>פאלח</w:t>
      </w:r>
      <w:proofErr w:type="spellEnd"/>
    </w:p>
    <w:p w14:paraId="4817AD45" w14:textId="77777777" w:rsidR="00FB5064" w:rsidRPr="00F6133D" w:rsidRDefault="005963B3" w:rsidP="00011C3C">
      <w:pPr>
        <w:spacing w:line="240" w:lineRule="auto"/>
        <w:ind w:left="720" w:firstLine="720"/>
        <w:jc w:val="both"/>
        <w:rPr>
          <w:rFonts w:cs="David"/>
          <w:sz w:val="24"/>
          <w:szCs w:val="24"/>
          <w:rtl/>
        </w:rPr>
      </w:pPr>
      <w:r w:rsidRPr="00F6133D">
        <w:rPr>
          <w:rFonts w:cs="David" w:hint="cs"/>
          <w:b/>
          <w:bCs/>
          <w:sz w:val="24"/>
          <w:szCs w:val="24"/>
          <w:rtl/>
        </w:rPr>
        <w:t>נ</w:t>
      </w:r>
      <w:r w:rsidR="00011C3C" w:rsidRPr="00F6133D">
        <w:rPr>
          <w:rFonts w:cs="David" w:hint="cs"/>
          <w:b/>
          <w:bCs/>
          <w:sz w:val="24"/>
          <w:szCs w:val="24"/>
          <w:rtl/>
        </w:rPr>
        <w:t>ציג</w:t>
      </w:r>
      <w:r w:rsidR="0012733C" w:rsidRPr="00F6133D">
        <w:rPr>
          <w:rFonts w:cs="David" w:hint="cs"/>
          <w:b/>
          <w:bCs/>
          <w:sz w:val="24"/>
          <w:szCs w:val="24"/>
          <w:rtl/>
        </w:rPr>
        <w:t>ת</w:t>
      </w:r>
      <w:r w:rsidRPr="00F6133D">
        <w:rPr>
          <w:rFonts w:cs="David" w:hint="cs"/>
          <w:b/>
          <w:bCs/>
          <w:sz w:val="24"/>
          <w:szCs w:val="24"/>
          <w:rtl/>
        </w:rPr>
        <w:t xml:space="preserve"> מתכננת המחוז:</w:t>
      </w:r>
      <w:r w:rsidRPr="00F6133D">
        <w:rPr>
          <w:rFonts w:cs="David" w:hint="cs"/>
          <w:b/>
          <w:bCs/>
          <w:sz w:val="24"/>
          <w:szCs w:val="24"/>
          <w:rtl/>
        </w:rPr>
        <w:tab/>
      </w:r>
      <w:r w:rsidR="0034399C" w:rsidRPr="00F6133D">
        <w:rPr>
          <w:rFonts w:cs="David" w:hint="cs"/>
          <w:b/>
          <w:bCs/>
          <w:sz w:val="24"/>
          <w:szCs w:val="24"/>
          <w:rtl/>
        </w:rPr>
        <w:t xml:space="preserve">גב' אביטל </w:t>
      </w:r>
      <w:proofErr w:type="spellStart"/>
      <w:r w:rsidR="0034399C" w:rsidRPr="00F6133D">
        <w:rPr>
          <w:rFonts w:cs="David" w:hint="cs"/>
          <w:b/>
          <w:bCs/>
          <w:sz w:val="24"/>
          <w:szCs w:val="24"/>
          <w:rtl/>
        </w:rPr>
        <w:t>דדון</w:t>
      </w:r>
      <w:proofErr w:type="spellEnd"/>
    </w:p>
    <w:p w14:paraId="4F5EFAC5" w14:textId="77777777" w:rsidR="003D074E" w:rsidRPr="00F6133D" w:rsidRDefault="003D074E" w:rsidP="00D273C7">
      <w:pPr>
        <w:spacing w:line="240" w:lineRule="auto"/>
        <w:rPr>
          <w:rFonts w:cs="David"/>
          <w:b/>
          <w:bCs/>
          <w:sz w:val="24"/>
          <w:szCs w:val="24"/>
          <w:rtl/>
        </w:rPr>
      </w:pPr>
    </w:p>
    <w:p w14:paraId="09C73515" w14:textId="77777777" w:rsidR="00F41DB8" w:rsidRPr="00F6133D" w:rsidRDefault="00F41DB8" w:rsidP="00D273C7">
      <w:pPr>
        <w:spacing w:line="240" w:lineRule="auto"/>
        <w:rPr>
          <w:rFonts w:cs="David"/>
          <w:b/>
          <w:bCs/>
          <w:sz w:val="24"/>
          <w:szCs w:val="24"/>
          <w:rtl/>
        </w:rPr>
      </w:pPr>
    </w:p>
    <w:p w14:paraId="3A4C0E1E" w14:textId="77777777" w:rsidR="003C3F9F" w:rsidRPr="00F6133D" w:rsidRDefault="003C3F9F" w:rsidP="003C3F9F">
      <w:pPr>
        <w:ind w:left="1440" w:hanging="1440"/>
        <w:rPr>
          <w:rFonts w:cs="David"/>
          <w:b/>
          <w:bCs/>
          <w:sz w:val="24"/>
          <w:szCs w:val="24"/>
          <w:rtl/>
        </w:rPr>
      </w:pPr>
      <w:r w:rsidRPr="00F6133D">
        <w:rPr>
          <w:rFonts w:cs="David" w:hint="cs"/>
          <w:b/>
          <w:bCs/>
          <w:sz w:val="24"/>
          <w:szCs w:val="24"/>
          <w:rtl/>
        </w:rPr>
        <w:t>העוררת:</w:t>
      </w:r>
      <w:r w:rsidRPr="00F6133D">
        <w:rPr>
          <w:rFonts w:cs="David" w:hint="cs"/>
          <w:b/>
          <w:bCs/>
          <w:sz w:val="24"/>
          <w:szCs w:val="24"/>
          <w:rtl/>
        </w:rPr>
        <w:tab/>
        <w:t>תדהר בני ברית בע"מ ח.פ 5154766166</w:t>
      </w:r>
    </w:p>
    <w:p w14:paraId="12C6642D" w14:textId="77777777" w:rsidR="003C3F9F" w:rsidRPr="00F6133D" w:rsidRDefault="003C3F9F" w:rsidP="004E74D5">
      <w:pPr>
        <w:ind w:left="1440" w:hanging="1440"/>
        <w:rPr>
          <w:rFonts w:cs="David"/>
          <w:i/>
          <w:iCs/>
          <w:sz w:val="24"/>
          <w:szCs w:val="24"/>
          <w:rtl/>
        </w:rPr>
      </w:pPr>
      <w:r w:rsidRPr="00F6133D">
        <w:rPr>
          <w:rFonts w:cs="David"/>
          <w:i/>
          <w:iCs/>
          <w:sz w:val="24"/>
          <w:szCs w:val="24"/>
          <w:rtl/>
        </w:rPr>
        <w:tab/>
      </w:r>
      <w:r w:rsidRPr="00F6133D">
        <w:rPr>
          <w:rFonts w:cs="David" w:hint="cs"/>
          <w:i/>
          <w:iCs/>
          <w:sz w:val="24"/>
          <w:szCs w:val="24"/>
          <w:rtl/>
        </w:rPr>
        <w:t>ע"י ב"כ</w:t>
      </w:r>
      <w:r w:rsidR="004E74D5" w:rsidRPr="00F6133D">
        <w:rPr>
          <w:rFonts w:cs="David" w:hint="cs"/>
          <w:i/>
          <w:iCs/>
          <w:sz w:val="24"/>
          <w:szCs w:val="24"/>
          <w:rtl/>
        </w:rPr>
        <w:t xml:space="preserve"> עו"ד</w:t>
      </w:r>
      <w:r w:rsidRPr="00F6133D">
        <w:rPr>
          <w:rFonts w:cs="David" w:hint="cs"/>
          <w:i/>
          <w:iCs/>
          <w:sz w:val="24"/>
          <w:szCs w:val="24"/>
          <w:rtl/>
        </w:rPr>
        <w:t xml:space="preserve"> נעה יגלה </w:t>
      </w:r>
    </w:p>
    <w:p w14:paraId="5FFDCC91" w14:textId="77777777" w:rsidR="003C3F9F" w:rsidRPr="00F6133D" w:rsidRDefault="003C3F9F" w:rsidP="003C3F9F">
      <w:pPr>
        <w:spacing w:line="240" w:lineRule="auto"/>
        <w:rPr>
          <w:rFonts w:cs="David"/>
          <w:b/>
          <w:bCs/>
          <w:sz w:val="24"/>
          <w:szCs w:val="24"/>
          <w:rtl/>
        </w:rPr>
      </w:pPr>
    </w:p>
    <w:p w14:paraId="269DB5B0" w14:textId="77777777" w:rsidR="003C3F9F" w:rsidRPr="00F6133D" w:rsidRDefault="003C3F9F" w:rsidP="003C3F9F">
      <w:pPr>
        <w:spacing w:line="240" w:lineRule="auto"/>
        <w:rPr>
          <w:rFonts w:cs="David"/>
          <w:b/>
          <w:bCs/>
          <w:sz w:val="24"/>
          <w:szCs w:val="24"/>
          <w:rtl/>
        </w:rPr>
      </w:pPr>
      <w:r w:rsidRPr="00F6133D">
        <w:rPr>
          <w:rFonts w:cs="David" w:hint="cs"/>
          <w:b/>
          <w:bCs/>
          <w:sz w:val="24"/>
          <w:szCs w:val="24"/>
          <w:rtl/>
        </w:rPr>
        <w:t xml:space="preserve">                                            -נגד-</w:t>
      </w:r>
    </w:p>
    <w:p w14:paraId="0B4FE0B4" w14:textId="77777777" w:rsidR="003C3F9F" w:rsidRPr="00F6133D" w:rsidRDefault="003C3F9F" w:rsidP="003C3F9F">
      <w:pPr>
        <w:spacing w:line="240" w:lineRule="auto"/>
        <w:rPr>
          <w:rFonts w:cs="David"/>
          <w:b/>
          <w:bCs/>
          <w:sz w:val="24"/>
          <w:szCs w:val="24"/>
          <w:rtl/>
        </w:rPr>
      </w:pPr>
    </w:p>
    <w:p w14:paraId="126C22F9" w14:textId="77777777" w:rsidR="003C3F9F" w:rsidRPr="00F6133D" w:rsidRDefault="003C3F9F" w:rsidP="003C3F9F">
      <w:pPr>
        <w:rPr>
          <w:rFonts w:cs="David"/>
          <w:b/>
          <w:bCs/>
          <w:sz w:val="24"/>
          <w:szCs w:val="24"/>
          <w:rtl/>
        </w:rPr>
      </w:pPr>
      <w:r w:rsidRPr="00F6133D">
        <w:rPr>
          <w:rFonts w:cs="David" w:hint="cs"/>
          <w:b/>
          <w:bCs/>
          <w:sz w:val="24"/>
          <w:szCs w:val="24"/>
          <w:rtl/>
        </w:rPr>
        <w:t>המשיבים:</w:t>
      </w:r>
      <w:r w:rsidRPr="00F6133D">
        <w:rPr>
          <w:rFonts w:cs="David" w:hint="cs"/>
          <w:sz w:val="24"/>
          <w:szCs w:val="24"/>
          <w:rtl/>
        </w:rPr>
        <w:tab/>
      </w:r>
      <w:r w:rsidRPr="00F6133D">
        <w:rPr>
          <w:rFonts w:cs="David" w:hint="cs"/>
          <w:b/>
          <w:bCs/>
          <w:sz w:val="24"/>
          <w:szCs w:val="24"/>
          <w:rtl/>
        </w:rPr>
        <w:t>1. הוועדה המקומית לתכנון ולבנייה הוד השרון</w:t>
      </w:r>
    </w:p>
    <w:p w14:paraId="59866C2B" w14:textId="77777777" w:rsidR="003C3F9F" w:rsidRPr="00F6133D" w:rsidRDefault="003C3F9F" w:rsidP="003C3F9F">
      <w:pPr>
        <w:ind w:left="720" w:firstLine="720"/>
        <w:rPr>
          <w:rFonts w:cs="David"/>
          <w:b/>
          <w:bCs/>
          <w:sz w:val="24"/>
          <w:szCs w:val="24"/>
          <w:rtl/>
        </w:rPr>
      </w:pPr>
      <w:r w:rsidRPr="00F6133D">
        <w:rPr>
          <w:rFonts w:cs="David" w:hint="cs"/>
          <w:i/>
          <w:iCs/>
          <w:sz w:val="24"/>
          <w:szCs w:val="24"/>
          <w:rtl/>
        </w:rPr>
        <w:t>ע"י ב"כ עוה"ד אווה לוי</w:t>
      </w:r>
    </w:p>
    <w:p w14:paraId="14F092ED" w14:textId="77777777" w:rsidR="003C3F9F" w:rsidRPr="00F6133D" w:rsidRDefault="003C3F9F" w:rsidP="004E74D5">
      <w:pPr>
        <w:ind w:left="1440" w:hanging="1440"/>
        <w:rPr>
          <w:rFonts w:cs="David"/>
          <w:b/>
          <w:bCs/>
          <w:sz w:val="24"/>
          <w:szCs w:val="24"/>
          <w:rtl/>
        </w:rPr>
      </w:pPr>
      <w:r w:rsidRPr="00F6133D">
        <w:rPr>
          <w:rFonts w:cs="David"/>
          <w:sz w:val="24"/>
          <w:szCs w:val="24"/>
          <w:rtl/>
        </w:rPr>
        <w:tab/>
      </w:r>
      <w:r w:rsidR="004E74D5" w:rsidRPr="00F6133D">
        <w:rPr>
          <w:rFonts w:cs="David" w:hint="cs"/>
          <w:b/>
          <w:bCs/>
          <w:sz w:val="24"/>
          <w:szCs w:val="24"/>
          <w:rtl/>
        </w:rPr>
        <w:t xml:space="preserve">2. שרה </w:t>
      </w:r>
      <w:proofErr w:type="spellStart"/>
      <w:r w:rsidR="004E74D5" w:rsidRPr="00F6133D">
        <w:rPr>
          <w:rFonts w:cs="David" w:hint="cs"/>
          <w:b/>
          <w:bCs/>
          <w:sz w:val="24"/>
          <w:szCs w:val="24"/>
          <w:rtl/>
        </w:rPr>
        <w:t>סופיקה</w:t>
      </w:r>
      <w:proofErr w:type="spellEnd"/>
      <w:r w:rsidR="004E74D5" w:rsidRPr="00F6133D">
        <w:rPr>
          <w:rFonts w:cs="David" w:hint="cs"/>
          <w:b/>
          <w:bCs/>
          <w:sz w:val="24"/>
          <w:szCs w:val="24"/>
          <w:rtl/>
        </w:rPr>
        <w:t xml:space="preserve"> </w:t>
      </w:r>
      <w:proofErr w:type="spellStart"/>
      <w:r w:rsidR="004E74D5" w:rsidRPr="00F6133D">
        <w:rPr>
          <w:rFonts w:cs="David" w:hint="cs"/>
          <w:b/>
          <w:bCs/>
          <w:sz w:val="24"/>
          <w:szCs w:val="24"/>
          <w:rtl/>
        </w:rPr>
        <w:t>ימברגר</w:t>
      </w:r>
      <w:proofErr w:type="spellEnd"/>
      <w:r w:rsidR="004E74D5" w:rsidRPr="00F6133D">
        <w:rPr>
          <w:rFonts w:cs="David" w:hint="cs"/>
          <w:b/>
          <w:bCs/>
          <w:sz w:val="24"/>
          <w:szCs w:val="24"/>
          <w:rtl/>
        </w:rPr>
        <w:t xml:space="preserve"> ו- 55 אחרים</w:t>
      </w:r>
    </w:p>
    <w:p w14:paraId="6C4157C0" w14:textId="77777777" w:rsidR="004E74D5" w:rsidRPr="00F6133D" w:rsidRDefault="004E74D5" w:rsidP="004E74D5">
      <w:pPr>
        <w:ind w:left="720" w:firstLine="720"/>
        <w:rPr>
          <w:rFonts w:cs="David"/>
          <w:i/>
          <w:iCs/>
          <w:sz w:val="24"/>
          <w:szCs w:val="24"/>
          <w:rtl/>
        </w:rPr>
      </w:pPr>
      <w:r w:rsidRPr="00F6133D">
        <w:rPr>
          <w:rFonts w:cs="David" w:hint="cs"/>
          <w:i/>
          <w:iCs/>
          <w:sz w:val="24"/>
          <w:szCs w:val="24"/>
          <w:rtl/>
        </w:rPr>
        <w:t xml:space="preserve">ע"י ב"כ עו"ד ניר </w:t>
      </w:r>
      <w:proofErr w:type="spellStart"/>
      <w:r w:rsidRPr="00F6133D">
        <w:rPr>
          <w:rFonts w:cs="David" w:hint="cs"/>
          <w:i/>
          <w:iCs/>
          <w:sz w:val="24"/>
          <w:szCs w:val="24"/>
          <w:rtl/>
        </w:rPr>
        <w:t>סברוב</w:t>
      </w:r>
      <w:proofErr w:type="spellEnd"/>
      <w:r w:rsidRPr="00F6133D">
        <w:rPr>
          <w:rFonts w:cs="David" w:hint="cs"/>
          <w:i/>
          <w:iCs/>
          <w:sz w:val="24"/>
          <w:szCs w:val="24"/>
          <w:rtl/>
        </w:rPr>
        <w:t xml:space="preserve">  ועו"ד חן גליק</w:t>
      </w:r>
    </w:p>
    <w:p w14:paraId="21D04FCC" w14:textId="77777777" w:rsidR="004E74D5" w:rsidRPr="00F6133D" w:rsidRDefault="004E74D5" w:rsidP="003C3F9F">
      <w:pPr>
        <w:rPr>
          <w:rFonts w:cs="David"/>
          <w:b/>
          <w:bCs/>
          <w:sz w:val="24"/>
          <w:szCs w:val="24"/>
          <w:rtl/>
        </w:rPr>
      </w:pPr>
      <w:r w:rsidRPr="00F6133D">
        <w:rPr>
          <w:rFonts w:cs="David"/>
          <w:b/>
          <w:bCs/>
          <w:sz w:val="24"/>
          <w:szCs w:val="24"/>
          <w:rtl/>
        </w:rPr>
        <w:tab/>
      </w:r>
      <w:r w:rsidRPr="00F6133D">
        <w:rPr>
          <w:rFonts w:cs="David"/>
          <w:b/>
          <w:bCs/>
          <w:sz w:val="24"/>
          <w:szCs w:val="24"/>
          <w:rtl/>
        </w:rPr>
        <w:tab/>
      </w:r>
      <w:r w:rsidRPr="00F6133D">
        <w:rPr>
          <w:rFonts w:cs="David" w:hint="cs"/>
          <w:b/>
          <w:bCs/>
          <w:sz w:val="24"/>
          <w:szCs w:val="24"/>
          <w:rtl/>
        </w:rPr>
        <w:t xml:space="preserve">58. רותי </w:t>
      </w:r>
      <w:proofErr w:type="spellStart"/>
      <w:r w:rsidRPr="00F6133D">
        <w:rPr>
          <w:rFonts w:cs="David" w:hint="cs"/>
          <w:b/>
          <w:bCs/>
          <w:sz w:val="24"/>
          <w:szCs w:val="24"/>
          <w:rtl/>
        </w:rPr>
        <w:t>זלוצקי</w:t>
      </w:r>
      <w:proofErr w:type="spellEnd"/>
    </w:p>
    <w:p w14:paraId="4F920014" w14:textId="77777777" w:rsidR="004E74D5" w:rsidRPr="00F6133D" w:rsidRDefault="004E74D5" w:rsidP="004E74D5">
      <w:pPr>
        <w:ind w:left="720" w:firstLine="720"/>
        <w:rPr>
          <w:rFonts w:cs="David"/>
          <w:b/>
          <w:bCs/>
          <w:sz w:val="24"/>
          <w:szCs w:val="24"/>
          <w:rtl/>
        </w:rPr>
      </w:pPr>
      <w:r w:rsidRPr="00F6133D">
        <w:rPr>
          <w:rFonts w:cs="David" w:hint="cs"/>
          <w:b/>
          <w:bCs/>
          <w:sz w:val="24"/>
          <w:szCs w:val="24"/>
          <w:rtl/>
        </w:rPr>
        <w:t xml:space="preserve">59. אורי </w:t>
      </w:r>
      <w:proofErr w:type="spellStart"/>
      <w:r w:rsidRPr="00F6133D">
        <w:rPr>
          <w:rFonts w:cs="David" w:hint="cs"/>
          <w:b/>
          <w:bCs/>
          <w:sz w:val="24"/>
          <w:szCs w:val="24"/>
          <w:rtl/>
        </w:rPr>
        <w:t>נאווי</w:t>
      </w:r>
      <w:proofErr w:type="spellEnd"/>
    </w:p>
    <w:p w14:paraId="2F19D73C" w14:textId="77777777" w:rsidR="004E74D5" w:rsidRPr="00F6133D" w:rsidRDefault="004E74D5" w:rsidP="004E74D5">
      <w:pPr>
        <w:ind w:left="720" w:firstLine="720"/>
        <w:rPr>
          <w:rFonts w:cs="David"/>
          <w:i/>
          <w:iCs/>
          <w:sz w:val="24"/>
          <w:szCs w:val="24"/>
          <w:rtl/>
        </w:rPr>
      </w:pPr>
      <w:r w:rsidRPr="00F6133D">
        <w:rPr>
          <w:rFonts w:cs="David" w:hint="cs"/>
          <w:i/>
          <w:iCs/>
          <w:sz w:val="24"/>
          <w:szCs w:val="24"/>
          <w:rtl/>
        </w:rPr>
        <w:t xml:space="preserve">המשיבים 58 ו- 59 ע"י ב"כ עו"ד רותי </w:t>
      </w:r>
      <w:proofErr w:type="spellStart"/>
      <w:r w:rsidRPr="00F6133D">
        <w:rPr>
          <w:rFonts w:cs="David" w:hint="cs"/>
          <w:i/>
          <w:iCs/>
          <w:sz w:val="24"/>
          <w:szCs w:val="24"/>
          <w:rtl/>
        </w:rPr>
        <w:t>ולוצקי</w:t>
      </w:r>
      <w:proofErr w:type="spellEnd"/>
    </w:p>
    <w:p w14:paraId="0D62D5B8" w14:textId="77777777" w:rsidR="004E74D5" w:rsidRPr="00F6133D" w:rsidRDefault="004E74D5" w:rsidP="003C3F9F">
      <w:pPr>
        <w:rPr>
          <w:rFonts w:cs="David"/>
          <w:b/>
          <w:bCs/>
          <w:sz w:val="24"/>
          <w:szCs w:val="24"/>
          <w:rtl/>
        </w:rPr>
      </w:pPr>
    </w:p>
    <w:p w14:paraId="23AD9ACF" w14:textId="77777777" w:rsidR="003C3F9F" w:rsidRPr="00F6133D" w:rsidRDefault="003C3F9F" w:rsidP="003C3F9F">
      <w:pPr>
        <w:rPr>
          <w:rFonts w:cs="David"/>
          <w:b/>
          <w:bCs/>
          <w:sz w:val="24"/>
          <w:szCs w:val="24"/>
          <w:rtl/>
        </w:rPr>
      </w:pPr>
      <w:r w:rsidRPr="00F6133D">
        <w:rPr>
          <w:rFonts w:cs="David" w:hint="cs"/>
          <w:b/>
          <w:bCs/>
          <w:sz w:val="24"/>
          <w:szCs w:val="24"/>
          <w:rtl/>
        </w:rPr>
        <w:t>כתובת הנכס:  רחוב בני ברית פינת רחוב הבנים, הוד השרון</w:t>
      </w:r>
    </w:p>
    <w:p w14:paraId="5618BC0F" w14:textId="77777777" w:rsidR="003C3F9F" w:rsidRPr="00F6133D" w:rsidRDefault="003C3F9F" w:rsidP="003C3F9F">
      <w:pPr>
        <w:rPr>
          <w:rFonts w:cs="David"/>
          <w:b/>
          <w:bCs/>
          <w:sz w:val="24"/>
          <w:szCs w:val="24"/>
          <w:rtl/>
        </w:rPr>
      </w:pPr>
      <w:r w:rsidRPr="00F6133D">
        <w:rPr>
          <w:rFonts w:cs="David" w:hint="cs"/>
          <w:b/>
          <w:bCs/>
          <w:sz w:val="24"/>
          <w:szCs w:val="24"/>
          <w:rtl/>
        </w:rPr>
        <w:t xml:space="preserve">גוש וחלקה: גוש 6456 חלקות 217-219, 227, 231-232, 237, 259, 511 </w:t>
      </w:r>
      <w:proofErr w:type="spellStart"/>
      <w:r w:rsidRPr="00F6133D">
        <w:rPr>
          <w:rFonts w:cs="David" w:hint="cs"/>
          <w:b/>
          <w:bCs/>
          <w:sz w:val="24"/>
          <w:szCs w:val="24"/>
          <w:rtl/>
        </w:rPr>
        <w:t>וח"ח</w:t>
      </w:r>
      <w:proofErr w:type="spellEnd"/>
      <w:r w:rsidRPr="00F6133D">
        <w:rPr>
          <w:rFonts w:cs="David" w:hint="cs"/>
          <w:b/>
          <w:bCs/>
          <w:sz w:val="24"/>
          <w:szCs w:val="24"/>
          <w:rtl/>
        </w:rPr>
        <w:t xml:space="preserve"> 276 </w:t>
      </w:r>
    </w:p>
    <w:p w14:paraId="0DF36285" w14:textId="77777777" w:rsidR="003C3F9F" w:rsidRPr="00F6133D" w:rsidRDefault="003C3F9F" w:rsidP="003C3F9F">
      <w:pPr>
        <w:rPr>
          <w:rFonts w:cs="David"/>
          <w:b/>
          <w:bCs/>
          <w:sz w:val="24"/>
          <w:szCs w:val="24"/>
          <w:rtl/>
        </w:rPr>
      </w:pPr>
      <w:r w:rsidRPr="00F6133D">
        <w:rPr>
          <w:rFonts w:cs="David" w:hint="cs"/>
          <w:b/>
          <w:bCs/>
          <w:sz w:val="24"/>
          <w:szCs w:val="24"/>
          <w:rtl/>
        </w:rPr>
        <w:t>תאריך הדיון: 28.12.2023</w:t>
      </w:r>
    </w:p>
    <w:p w14:paraId="4D173E57" w14:textId="77777777" w:rsidR="00F41DB8" w:rsidRDefault="00F41DB8" w:rsidP="003C3F9F">
      <w:pPr>
        <w:spacing w:line="360" w:lineRule="auto"/>
        <w:jc w:val="center"/>
        <w:rPr>
          <w:rFonts w:cs="David"/>
          <w:szCs w:val="24"/>
          <w:rtl/>
        </w:rPr>
      </w:pPr>
    </w:p>
    <w:p w14:paraId="0FBF6806" w14:textId="08401705" w:rsidR="00F41DB8" w:rsidRDefault="00F41DB8" w:rsidP="003C3F9F">
      <w:pPr>
        <w:spacing w:line="360" w:lineRule="auto"/>
        <w:jc w:val="center"/>
        <w:rPr>
          <w:rFonts w:cs="David"/>
          <w:szCs w:val="24"/>
          <w:rtl/>
        </w:rPr>
      </w:pPr>
    </w:p>
    <w:p w14:paraId="1DBFC0F5" w14:textId="77777777" w:rsidR="00074254" w:rsidRDefault="00074254" w:rsidP="003C3F9F">
      <w:pPr>
        <w:spacing w:line="360" w:lineRule="auto"/>
        <w:jc w:val="center"/>
        <w:rPr>
          <w:rFonts w:cs="David"/>
          <w:szCs w:val="24"/>
          <w:rtl/>
        </w:rPr>
      </w:pPr>
    </w:p>
    <w:p w14:paraId="3D066E8B" w14:textId="77777777" w:rsidR="00F41DB8" w:rsidRDefault="00F41DB8" w:rsidP="003C3F9F">
      <w:pPr>
        <w:spacing w:line="360" w:lineRule="auto"/>
        <w:jc w:val="center"/>
        <w:rPr>
          <w:rFonts w:cs="David"/>
          <w:szCs w:val="24"/>
          <w:rtl/>
        </w:rPr>
      </w:pPr>
    </w:p>
    <w:p w14:paraId="3ACBA576" w14:textId="77777777" w:rsidR="003C3F9F" w:rsidRPr="00F46766" w:rsidRDefault="003C3F9F" w:rsidP="003C3F9F">
      <w:pPr>
        <w:spacing w:line="360" w:lineRule="auto"/>
        <w:jc w:val="center"/>
        <w:rPr>
          <w:rFonts w:cs="David"/>
          <w:b/>
          <w:bCs/>
          <w:sz w:val="32"/>
          <w:szCs w:val="32"/>
          <w:u w:val="single"/>
          <w:rtl/>
        </w:rPr>
      </w:pPr>
      <w:r w:rsidRPr="00C66618">
        <w:rPr>
          <w:rFonts w:cs="David" w:hint="cs"/>
          <w:b/>
          <w:bCs/>
          <w:sz w:val="32"/>
          <w:szCs w:val="32"/>
          <w:u w:val="single"/>
          <w:rtl/>
        </w:rPr>
        <w:lastRenderedPageBreak/>
        <w:t>החלטה</w:t>
      </w:r>
    </w:p>
    <w:p w14:paraId="319766FA" w14:textId="77777777" w:rsidR="003C3F9F" w:rsidRPr="00F72B55" w:rsidRDefault="0084193E" w:rsidP="003C3F9F">
      <w:pPr>
        <w:spacing w:line="360" w:lineRule="auto"/>
        <w:ind w:firstLine="43"/>
        <w:jc w:val="both"/>
        <w:rPr>
          <w:rFonts w:cs="David"/>
          <w:b/>
          <w:bCs/>
          <w:sz w:val="26"/>
          <w:szCs w:val="26"/>
          <w:u w:val="single"/>
          <w:rtl/>
        </w:rPr>
      </w:pPr>
      <w:r>
        <w:rPr>
          <w:rFonts w:cs="David" w:hint="cs"/>
          <w:b/>
          <w:bCs/>
          <w:sz w:val="26"/>
          <w:szCs w:val="26"/>
          <w:u w:val="single"/>
          <w:rtl/>
        </w:rPr>
        <w:t>מהות הערר שבפנינו</w:t>
      </w:r>
    </w:p>
    <w:p w14:paraId="185646C3" w14:textId="77777777" w:rsidR="0084193E" w:rsidRDefault="0084193E"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ועדת המשנה של הוועדה המקומית לתכנון ולבנייה הוד השרון (להלן: "</w:t>
      </w:r>
      <w:r w:rsidRPr="0084193E">
        <w:rPr>
          <w:rFonts w:cs="David" w:hint="cs"/>
          <w:b/>
          <w:bCs/>
          <w:sz w:val="24"/>
          <w:szCs w:val="24"/>
          <w:rtl/>
        </w:rPr>
        <w:t>הוועדה המקומית</w:t>
      </w:r>
      <w:r>
        <w:rPr>
          <w:rFonts w:cs="David" w:hint="cs"/>
          <w:sz w:val="24"/>
          <w:szCs w:val="24"/>
          <w:rtl/>
        </w:rPr>
        <w:t>" ו"</w:t>
      </w:r>
      <w:r w:rsidRPr="0084193E">
        <w:rPr>
          <w:rFonts w:cs="David" w:hint="cs"/>
          <w:b/>
          <w:bCs/>
          <w:sz w:val="24"/>
          <w:szCs w:val="24"/>
          <w:rtl/>
        </w:rPr>
        <w:t>ועדת המשנה</w:t>
      </w:r>
      <w:r>
        <w:rPr>
          <w:rFonts w:cs="David" w:hint="cs"/>
          <w:sz w:val="24"/>
          <w:szCs w:val="24"/>
          <w:rtl/>
        </w:rPr>
        <w:t xml:space="preserve">", בהתאמה) החליטה ביום 21.5.2023 להפקיד להתנגדויות את התוכנית המפורטת הר/1/52/88 </w:t>
      </w:r>
      <w:r>
        <w:rPr>
          <w:rFonts w:cs="David"/>
          <w:sz w:val="24"/>
          <w:szCs w:val="24"/>
          <w:rtl/>
        </w:rPr>
        <w:t>–</w:t>
      </w:r>
      <w:r>
        <w:rPr>
          <w:rFonts w:cs="David" w:hint="cs"/>
          <w:sz w:val="24"/>
          <w:szCs w:val="24"/>
          <w:rtl/>
        </w:rPr>
        <w:t xml:space="preserve"> מתחם בני ברית בהוד השרון (להלן: "</w:t>
      </w:r>
      <w:r w:rsidRPr="00E81704">
        <w:rPr>
          <w:rFonts w:cs="David" w:hint="cs"/>
          <w:b/>
          <w:bCs/>
          <w:sz w:val="24"/>
          <w:szCs w:val="24"/>
          <w:rtl/>
        </w:rPr>
        <w:t>הת</w:t>
      </w:r>
      <w:r>
        <w:rPr>
          <w:rFonts w:cs="David" w:hint="cs"/>
          <w:b/>
          <w:bCs/>
          <w:sz w:val="24"/>
          <w:szCs w:val="24"/>
          <w:rtl/>
        </w:rPr>
        <w:t>ו</w:t>
      </w:r>
      <w:r w:rsidRPr="00E81704">
        <w:rPr>
          <w:rFonts w:cs="David" w:hint="cs"/>
          <w:b/>
          <w:bCs/>
          <w:sz w:val="24"/>
          <w:szCs w:val="24"/>
          <w:rtl/>
        </w:rPr>
        <w:t>כנית</w:t>
      </w:r>
      <w:r>
        <w:rPr>
          <w:rFonts w:cs="David" w:hint="cs"/>
          <w:b/>
          <w:bCs/>
          <w:sz w:val="24"/>
          <w:szCs w:val="24"/>
          <w:rtl/>
        </w:rPr>
        <w:t xml:space="preserve"> המפורטת</w:t>
      </w:r>
      <w:r>
        <w:rPr>
          <w:rFonts w:cs="David" w:hint="cs"/>
          <w:sz w:val="24"/>
          <w:szCs w:val="24"/>
          <w:rtl/>
        </w:rPr>
        <w:t>").</w:t>
      </w:r>
    </w:p>
    <w:p w14:paraId="40E55452" w14:textId="77777777" w:rsidR="0084193E" w:rsidRDefault="0084193E"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החלטת ועדת המשנה הובאה לדיון חוזר בפני מליאת הוועדה המקומית, וזו החליטה ביום 11.6.2023</w:t>
      </w:r>
      <w:r w:rsidR="00E23949">
        <w:rPr>
          <w:rFonts w:cs="David" w:hint="cs"/>
          <w:sz w:val="24"/>
          <w:szCs w:val="24"/>
          <w:rtl/>
        </w:rPr>
        <w:t>, ברוב של 7 חברים לעומת 6 חברים,</w:t>
      </w:r>
      <w:r>
        <w:rPr>
          <w:rFonts w:cs="David" w:hint="cs"/>
          <w:sz w:val="24"/>
          <w:szCs w:val="24"/>
          <w:rtl/>
        </w:rPr>
        <w:t xml:space="preserve"> לבטל את החלטת ועדת המשנה, בנימוק הבא:</w:t>
      </w:r>
    </w:p>
    <w:p w14:paraId="38E0B172" w14:textId="77777777" w:rsidR="00E23949" w:rsidRPr="00E23949" w:rsidRDefault="00E23949" w:rsidP="00E23949">
      <w:pPr>
        <w:pStyle w:val="af1"/>
        <w:spacing w:after="120" w:line="240" w:lineRule="auto"/>
        <w:ind w:left="1179" w:right="992"/>
        <w:rPr>
          <w:rtl/>
        </w:rPr>
      </w:pPr>
      <w:r w:rsidRPr="00E23949">
        <w:rPr>
          <w:rFonts w:hint="cs"/>
          <w:rtl/>
        </w:rPr>
        <w:t>"</w:t>
      </w:r>
      <w:r w:rsidRPr="00E23949">
        <w:rPr>
          <w:rFonts w:hint="cs"/>
          <w:b/>
          <w:bCs/>
          <w:u w:val="single"/>
          <w:rtl/>
        </w:rPr>
        <w:t>החלטה</w:t>
      </w:r>
      <w:r w:rsidRPr="00E23949">
        <w:rPr>
          <w:rFonts w:hint="cs"/>
          <w:rtl/>
        </w:rPr>
        <w:t>:</w:t>
      </w:r>
    </w:p>
    <w:p w14:paraId="1F042C39" w14:textId="77777777" w:rsidR="00E23949" w:rsidRPr="00E23949" w:rsidRDefault="00E23949" w:rsidP="00E23949">
      <w:pPr>
        <w:pStyle w:val="af1"/>
        <w:spacing w:after="240" w:line="240" w:lineRule="auto"/>
        <w:ind w:left="1179" w:right="992"/>
        <w:rPr>
          <w:rtl/>
        </w:rPr>
      </w:pPr>
      <w:r w:rsidRPr="00E23949">
        <w:rPr>
          <w:rFonts w:hint="cs"/>
          <w:b/>
          <w:bCs/>
          <w:rtl/>
        </w:rPr>
        <w:t>מליאת הועדה אינה מאשרת את החלטת ועדת המשנה מיום 21.5.2023 להפקדת התכנית.</w:t>
      </w:r>
      <w:r w:rsidRPr="00E23949">
        <w:rPr>
          <w:rFonts w:hint="cs"/>
          <w:rtl/>
        </w:rPr>
        <w:t>"</w:t>
      </w:r>
    </w:p>
    <w:p w14:paraId="7E2136F5" w14:textId="77777777" w:rsidR="00E23949" w:rsidRDefault="00E23949"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משמעות החלטת הוועדה המקומית הינה למעשה ביטולה של התוכנית המפורטת.</w:t>
      </w:r>
    </w:p>
    <w:p w14:paraId="5B46544E" w14:textId="77777777" w:rsidR="00CB78EF" w:rsidRDefault="003C3F9F"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הערר</w:t>
      </w:r>
      <w:r w:rsidR="0084193E">
        <w:rPr>
          <w:rFonts w:cs="David" w:hint="cs"/>
          <w:sz w:val="24"/>
          <w:szCs w:val="24"/>
          <w:rtl/>
        </w:rPr>
        <w:t xml:space="preserve"> על החלטת הוועדה המקומית הוגש על ידי העוררת, יזמת התוכנית המפורטת, </w:t>
      </w:r>
      <w:r>
        <w:rPr>
          <w:rFonts w:cs="David" w:hint="cs"/>
          <w:sz w:val="24"/>
          <w:szCs w:val="24"/>
          <w:rtl/>
        </w:rPr>
        <w:t>בהתאם לסעיף 112(א)(5) לחוק התכנון והבניה, תשכ"ה-1965 (להלן: "</w:t>
      </w:r>
      <w:r w:rsidRPr="00095D09">
        <w:rPr>
          <w:rFonts w:cs="David" w:hint="cs"/>
          <w:b/>
          <w:bCs/>
          <w:sz w:val="24"/>
          <w:szCs w:val="24"/>
          <w:rtl/>
        </w:rPr>
        <w:t>החוק</w:t>
      </w:r>
      <w:r>
        <w:rPr>
          <w:rFonts w:cs="David" w:hint="cs"/>
          <w:sz w:val="24"/>
          <w:szCs w:val="24"/>
          <w:rtl/>
        </w:rPr>
        <w:t>")</w:t>
      </w:r>
      <w:r w:rsidR="0084193E">
        <w:rPr>
          <w:rFonts w:cs="David" w:hint="cs"/>
          <w:sz w:val="24"/>
          <w:szCs w:val="24"/>
          <w:rtl/>
        </w:rPr>
        <w:t>.</w:t>
      </w:r>
      <w:r>
        <w:rPr>
          <w:rFonts w:cs="David" w:hint="cs"/>
          <w:sz w:val="24"/>
          <w:szCs w:val="24"/>
          <w:rtl/>
        </w:rPr>
        <w:t xml:space="preserve"> </w:t>
      </w:r>
    </w:p>
    <w:p w14:paraId="341D258E" w14:textId="77777777" w:rsidR="0084193E" w:rsidRDefault="0084193E"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יצוין, כי הוועדה המקומית הינה ועדה עצמאית, אך במועד הגשת הערר טרם נכנס לתוקף סעיף 112(א1) לחוק, המחייב קבלת רשות להגשת ערר על החלטת ועדה מקומית עצמאית בעניין </w:t>
      </w:r>
      <w:proofErr w:type="spellStart"/>
      <w:r>
        <w:rPr>
          <w:rFonts w:cs="David" w:hint="cs"/>
          <w:sz w:val="24"/>
          <w:szCs w:val="24"/>
          <w:rtl/>
        </w:rPr>
        <w:t>תוכנית</w:t>
      </w:r>
      <w:proofErr w:type="spellEnd"/>
      <w:r>
        <w:rPr>
          <w:rFonts w:cs="David" w:hint="cs"/>
          <w:sz w:val="24"/>
          <w:szCs w:val="24"/>
          <w:rtl/>
        </w:rPr>
        <w:t xml:space="preserve"> שבסמכותה. על כן עמדה לעוררת זכות ערר על החלטת הוועדה המקומית.</w:t>
      </w:r>
    </w:p>
    <w:p w14:paraId="5D367DAB" w14:textId="77777777" w:rsidR="0084193E" w:rsidRPr="0084193E" w:rsidRDefault="0084193E" w:rsidP="0084193E">
      <w:pPr>
        <w:spacing w:line="360" w:lineRule="auto"/>
        <w:ind w:right="-142"/>
        <w:jc w:val="both"/>
        <w:rPr>
          <w:rFonts w:cs="David"/>
          <w:sz w:val="24"/>
          <w:szCs w:val="24"/>
          <w:rtl/>
        </w:rPr>
      </w:pPr>
    </w:p>
    <w:p w14:paraId="0E7FF519" w14:textId="77777777" w:rsidR="0084193E" w:rsidRPr="0084193E" w:rsidRDefault="0084193E" w:rsidP="0084193E">
      <w:pPr>
        <w:spacing w:line="360" w:lineRule="auto"/>
        <w:ind w:firstLine="43"/>
        <w:jc w:val="both"/>
        <w:rPr>
          <w:rFonts w:cs="David"/>
          <w:b/>
          <w:bCs/>
          <w:sz w:val="26"/>
          <w:szCs w:val="26"/>
          <w:u w:val="single"/>
        </w:rPr>
      </w:pPr>
      <w:r w:rsidRPr="0084193E">
        <w:rPr>
          <w:rFonts w:cs="David" w:hint="cs"/>
          <w:b/>
          <w:bCs/>
          <w:sz w:val="26"/>
          <w:szCs w:val="26"/>
          <w:u w:val="single"/>
          <w:rtl/>
        </w:rPr>
        <w:t>רקע כללי</w:t>
      </w:r>
      <w:r>
        <w:rPr>
          <w:rFonts w:cs="David" w:hint="cs"/>
          <w:b/>
          <w:bCs/>
          <w:sz w:val="26"/>
          <w:szCs w:val="26"/>
          <w:u w:val="single"/>
          <w:rtl/>
        </w:rPr>
        <w:t xml:space="preserve"> על אודות המקרקעין, התוכנית המפורטת והליכי התכנון הרלבנטיים</w:t>
      </w:r>
    </w:p>
    <w:p w14:paraId="5DEA69BE" w14:textId="77777777" w:rsidR="003C3F9F" w:rsidRDefault="00CB78EF"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w:t>
      </w:r>
      <w:r w:rsidR="003C3F9F">
        <w:rPr>
          <w:rFonts w:cs="David" w:hint="cs"/>
          <w:sz w:val="24"/>
          <w:szCs w:val="24"/>
          <w:rtl/>
        </w:rPr>
        <w:t>ת</w:t>
      </w:r>
      <w:r>
        <w:rPr>
          <w:rFonts w:cs="David" w:hint="cs"/>
          <w:sz w:val="24"/>
          <w:szCs w:val="24"/>
          <w:rtl/>
        </w:rPr>
        <w:t>ו</w:t>
      </w:r>
      <w:r w:rsidR="003C3F9F">
        <w:rPr>
          <w:rFonts w:cs="David" w:hint="cs"/>
          <w:sz w:val="24"/>
          <w:szCs w:val="24"/>
          <w:rtl/>
        </w:rPr>
        <w:t>כנית</w:t>
      </w:r>
      <w:r>
        <w:rPr>
          <w:rFonts w:cs="David" w:hint="cs"/>
          <w:sz w:val="24"/>
          <w:szCs w:val="24"/>
          <w:rtl/>
        </w:rPr>
        <w:t xml:space="preserve"> המפורטת</w:t>
      </w:r>
      <w:r w:rsidR="003C3F9F">
        <w:rPr>
          <w:rFonts w:cs="David" w:hint="cs"/>
          <w:sz w:val="24"/>
          <w:szCs w:val="24"/>
          <w:rtl/>
        </w:rPr>
        <w:t xml:space="preserve"> </w:t>
      </w:r>
      <w:r w:rsidR="0084193E">
        <w:rPr>
          <w:rFonts w:cs="David" w:hint="cs"/>
          <w:sz w:val="24"/>
          <w:szCs w:val="24"/>
          <w:rtl/>
        </w:rPr>
        <w:t>מתייחסת ל</w:t>
      </w:r>
      <w:r w:rsidR="003C3F9F">
        <w:rPr>
          <w:rFonts w:cs="David" w:hint="cs"/>
          <w:sz w:val="24"/>
          <w:szCs w:val="24"/>
          <w:rtl/>
        </w:rPr>
        <w:t xml:space="preserve">מקרקעין בשטח כולל של 10.699 דונם הידועים כגוש 6456 חלקות 217-219, 227, 231-232, 237, 259, 511 </w:t>
      </w:r>
      <w:proofErr w:type="spellStart"/>
      <w:r w:rsidR="003C3F9F">
        <w:rPr>
          <w:rFonts w:cs="David" w:hint="cs"/>
          <w:sz w:val="24"/>
          <w:szCs w:val="24"/>
          <w:rtl/>
        </w:rPr>
        <w:t>וח"ח</w:t>
      </w:r>
      <w:proofErr w:type="spellEnd"/>
      <w:r w:rsidR="003C3F9F">
        <w:rPr>
          <w:rFonts w:cs="David" w:hint="cs"/>
          <w:sz w:val="24"/>
          <w:szCs w:val="24"/>
          <w:rtl/>
        </w:rPr>
        <w:t xml:space="preserve"> 276 </w:t>
      </w:r>
      <w:r w:rsidR="0084193E">
        <w:rPr>
          <w:rFonts w:cs="David" w:hint="cs"/>
          <w:sz w:val="24"/>
          <w:szCs w:val="24"/>
          <w:rtl/>
        </w:rPr>
        <w:t>ו</w:t>
      </w:r>
      <w:r w:rsidR="003C3F9F">
        <w:rPr>
          <w:rFonts w:cs="David" w:hint="cs"/>
          <w:sz w:val="24"/>
          <w:szCs w:val="24"/>
          <w:rtl/>
        </w:rPr>
        <w:t>ממוקמים בצומת הרחובות הבנים ובני ברית בהוד השרון (להלן: "</w:t>
      </w:r>
      <w:r w:rsidR="003C3F9F" w:rsidRPr="00A76D08">
        <w:rPr>
          <w:rFonts w:cs="David" w:hint="cs"/>
          <w:b/>
          <w:bCs/>
          <w:sz w:val="24"/>
          <w:szCs w:val="24"/>
          <w:rtl/>
        </w:rPr>
        <w:t>המקרקעין</w:t>
      </w:r>
      <w:r w:rsidR="003C3F9F">
        <w:rPr>
          <w:rFonts w:cs="David" w:hint="cs"/>
          <w:sz w:val="24"/>
          <w:szCs w:val="24"/>
          <w:rtl/>
        </w:rPr>
        <w:t>"</w:t>
      </w:r>
      <w:r w:rsidR="00690031">
        <w:rPr>
          <w:rFonts w:cs="David" w:hint="cs"/>
          <w:sz w:val="24"/>
          <w:szCs w:val="24"/>
          <w:rtl/>
        </w:rPr>
        <w:t xml:space="preserve"> או "</w:t>
      </w:r>
      <w:r w:rsidR="00690031" w:rsidRPr="00690031">
        <w:rPr>
          <w:rFonts w:cs="David" w:hint="cs"/>
          <w:b/>
          <w:bCs/>
          <w:sz w:val="24"/>
          <w:szCs w:val="24"/>
          <w:rtl/>
        </w:rPr>
        <w:t>המתחם</w:t>
      </w:r>
      <w:r w:rsidR="00690031">
        <w:rPr>
          <w:rFonts w:cs="David" w:hint="cs"/>
          <w:sz w:val="24"/>
          <w:szCs w:val="24"/>
          <w:rtl/>
        </w:rPr>
        <w:t>"</w:t>
      </w:r>
      <w:r w:rsidR="003C3F9F">
        <w:rPr>
          <w:rFonts w:cs="David" w:hint="cs"/>
          <w:sz w:val="24"/>
          <w:szCs w:val="24"/>
          <w:rtl/>
        </w:rPr>
        <w:t>).</w:t>
      </w:r>
    </w:p>
    <w:p w14:paraId="04E77791" w14:textId="77777777" w:rsidR="0084193E" w:rsidRDefault="0084193E" w:rsidP="0084193E">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המתחם הוכרז ביום 10.10.2005, על ידי משרד הבינוי והשיכון, כמתחם להתחדשות עירונית.</w:t>
      </w:r>
    </w:p>
    <w:p w14:paraId="3EE2AB7A" w14:textId="0689788E" w:rsidR="00C704A4" w:rsidRDefault="003B5D0A"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בעקבות זאת א</w:t>
      </w:r>
      <w:r w:rsidR="0084193E">
        <w:rPr>
          <w:rFonts w:cs="David" w:hint="cs"/>
          <w:sz w:val="24"/>
          <w:szCs w:val="24"/>
          <w:rtl/>
        </w:rPr>
        <w:t>י</w:t>
      </w:r>
      <w:r>
        <w:rPr>
          <w:rFonts w:cs="David" w:hint="cs"/>
          <w:sz w:val="24"/>
          <w:szCs w:val="24"/>
          <w:rtl/>
        </w:rPr>
        <w:t>שרה</w:t>
      </w:r>
      <w:r w:rsidR="0084193E">
        <w:rPr>
          <w:rFonts w:cs="David" w:hint="cs"/>
          <w:sz w:val="24"/>
          <w:szCs w:val="24"/>
          <w:rtl/>
        </w:rPr>
        <w:t xml:space="preserve"> הוועדה המחוזית את </w:t>
      </w:r>
      <w:proofErr w:type="spellStart"/>
      <w:r w:rsidR="00CB78EF">
        <w:rPr>
          <w:rFonts w:cs="David" w:hint="cs"/>
          <w:sz w:val="24"/>
          <w:szCs w:val="24"/>
          <w:rtl/>
        </w:rPr>
        <w:t>תוכנית</w:t>
      </w:r>
      <w:proofErr w:type="spellEnd"/>
      <w:r w:rsidR="00CB78EF">
        <w:rPr>
          <w:rFonts w:cs="David" w:hint="cs"/>
          <w:sz w:val="24"/>
          <w:szCs w:val="24"/>
          <w:rtl/>
        </w:rPr>
        <w:t xml:space="preserve"> </w:t>
      </w:r>
      <w:r w:rsidR="0084193E">
        <w:rPr>
          <w:rFonts w:cs="David" w:hint="cs"/>
          <w:sz w:val="24"/>
          <w:szCs w:val="24"/>
          <w:rtl/>
        </w:rPr>
        <w:t>ה</w:t>
      </w:r>
      <w:r w:rsidR="00CB78EF">
        <w:rPr>
          <w:rFonts w:cs="David" w:hint="cs"/>
          <w:sz w:val="24"/>
          <w:szCs w:val="24"/>
          <w:rtl/>
        </w:rPr>
        <w:t xml:space="preserve">מתאר </w:t>
      </w:r>
      <w:r w:rsidR="0084193E">
        <w:rPr>
          <w:rFonts w:cs="David" w:hint="cs"/>
          <w:sz w:val="24"/>
          <w:szCs w:val="24"/>
          <w:rtl/>
        </w:rPr>
        <w:t>ה</w:t>
      </w:r>
      <w:r w:rsidR="00CB78EF">
        <w:rPr>
          <w:rFonts w:cs="David" w:hint="cs"/>
          <w:sz w:val="24"/>
          <w:szCs w:val="24"/>
          <w:rtl/>
        </w:rPr>
        <w:t>מקומית הר/52/88</w:t>
      </w:r>
      <w:r w:rsidR="00C704A4">
        <w:rPr>
          <w:rFonts w:cs="David" w:hint="cs"/>
          <w:sz w:val="24"/>
          <w:szCs w:val="24"/>
          <w:rtl/>
        </w:rPr>
        <w:t xml:space="preserve"> </w:t>
      </w:r>
      <w:r w:rsidR="00C704A4">
        <w:rPr>
          <w:rFonts w:cs="David"/>
          <w:sz w:val="24"/>
          <w:szCs w:val="24"/>
          <w:rtl/>
        </w:rPr>
        <w:t>–</w:t>
      </w:r>
      <w:r w:rsidR="00C704A4">
        <w:rPr>
          <w:rFonts w:cs="David" w:hint="cs"/>
          <w:sz w:val="24"/>
          <w:szCs w:val="24"/>
          <w:rtl/>
        </w:rPr>
        <w:t xml:space="preserve"> "מתחם בני ברית, פרויקט פינוי בינוי"</w:t>
      </w:r>
      <w:r w:rsidR="00CB78EF">
        <w:rPr>
          <w:rFonts w:cs="David" w:hint="cs"/>
          <w:sz w:val="24"/>
          <w:szCs w:val="24"/>
          <w:rtl/>
        </w:rPr>
        <w:t>,</w:t>
      </w:r>
      <w:r w:rsidR="00551B73">
        <w:rPr>
          <w:rFonts w:cs="David" w:hint="cs"/>
          <w:sz w:val="24"/>
          <w:szCs w:val="24"/>
          <w:rtl/>
        </w:rPr>
        <w:t xml:space="preserve"> שפורסמה למתן תוקף ביום 3.4.2015 (להלן: "</w:t>
      </w:r>
      <w:r w:rsidR="00551B73" w:rsidRPr="00CB78EF">
        <w:rPr>
          <w:rFonts w:cs="David" w:hint="cs"/>
          <w:b/>
          <w:bCs/>
          <w:sz w:val="24"/>
          <w:szCs w:val="24"/>
          <w:rtl/>
        </w:rPr>
        <w:t xml:space="preserve">התוכנית </w:t>
      </w:r>
      <w:proofErr w:type="spellStart"/>
      <w:r w:rsidR="00551B73" w:rsidRPr="00CB78EF">
        <w:rPr>
          <w:rFonts w:cs="David" w:hint="cs"/>
          <w:b/>
          <w:bCs/>
          <w:sz w:val="24"/>
          <w:szCs w:val="24"/>
          <w:rtl/>
        </w:rPr>
        <w:t>המתארית</w:t>
      </w:r>
      <w:proofErr w:type="spellEnd"/>
      <w:r w:rsidR="00551B73">
        <w:rPr>
          <w:rFonts w:cs="David" w:hint="cs"/>
          <w:sz w:val="24"/>
          <w:szCs w:val="24"/>
          <w:rtl/>
        </w:rPr>
        <w:t>").</w:t>
      </w:r>
    </w:p>
    <w:p w14:paraId="18D92AD5" w14:textId="77777777" w:rsidR="00551B73" w:rsidRDefault="00551B73" w:rsidP="003C3F9F">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בדברי ההסבר לתוכנית </w:t>
      </w:r>
      <w:proofErr w:type="spellStart"/>
      <w:r>
        <w:rPr>
          <w:rFonts w:cs="David" w:hint="cs"/>
          <w:sz w:val="24"/>
          <w:szCs w:val="24"/>
          <w:rtl/>
        </w:rPr>
        <w:t>המתארית</w:t>
      </w:r>
      <w:proofErr w:type="spellEnd"/>
      <w:r>
        <w:rPr>
          <w:rFonts w:cs="David" w:hint="cs"/>
          <w:sz w:val="24"/>
          <w:szCs w:val="24"/>
          <w:rtl/>
        </w:rPr>
        <w:t xml:space="preserve"> צוין:</w:t>
      </w:r>
    </w:p>
    <w:p w14:paraId="5E4CFA1B" w14:textId="77777777" w:rsidR="00551B73" w:rsidRDefault="00551B73" w:rsidP="00551B73">
      <w:pPr>
        <w:pStyle w:val="af1"/>
        <w:spacing w:after="120" w:line="240" w:lineRule="auto"/>
        <w:ind w:left="1179" w:right="992"/>
        <w:rPr>
          <w:rtl/>
        </w:rPr>
      </w:pPr>
      <w:r>
        <w:rPr>
          <w:rFonts w:hint="cs"/>
          <w:rtl/>
        </w:rPr>
        <w:t xml:space="preserve">"שטח התכנית נמצא בצומת רחובות הבנים ובני ברית. בתחום התכנית </w:t>
      </w:r>
      <w:r>
        <w:rPr>
          <w:rtl/>
        </w:rPr>
        <w:t>–</w:t>
      </w:r>
      <w:r>
        <w:rPr>
          <w:rFonts w:hint="cs"/>
          <w:rtl/>
        </w:rPr>
        <w:t xml:space="preserve"> מרכז מסחרי, המכיל בתי מלאכה, חנויות ובתי קפה, מוסדות ציבור (גן ילדים ובנין בני ברית), חניה ציבורית וגינה קטנה. המרכז המסחרי הינו ביעוד מלאכה ותעשיה קלה. </w:t>
      </w:r>
    </w:p>
    <w:p w14:paraId="4A23B7A6" w14:textId="77777777" w:rsidR="00551B73" w:rsidRDefault="00551B73" w:rsidP="00551B73">
      <w:pPr>
        <w:pStyle w:val="af1"/>
        <w:spacing w:after="120" w:line="240" w:lineRule="auto"/>
        <w:ind w:left="1179" w:right="992"/>
        <w:rPr>
          <w:rtl/>
        </w:rPr>
      </w:pPr>
      <w:r>
        <w:rPr>
          <w:rFonts w:hint="cs"/>
          <w:rtl/>
        </w:rPr>
        <w:t>המרכז המסחרי בנוי בצפיפות נמוכה ומהווה מטרד סביבתי וחזותי.</w:t>
      </w:r>
    </w:p>
    <w:p w14:paraId="57492CFA" w14:textId="77777777" w:rsidR="00551B73" w:rsidRDefault="00551B73" w:rsidP="00551B73">
      <w:pPr>
        <w:pStyle w:val="af1"/>
        <w:spacing w:after="120" w:line="240" w:lineRule="auto"/>
        <w:ind w:left="1179" w:right="992"/>
        <w:rPr>
          <w:rtl/>
        </w:rPr>
      </w:pPr>
      <w:r>
        <w:rPr>
          <w:rFonts w:hint="cs"/>
          <w:rtl/>
        </w:rPr>
        <w:t xml:space="preserve">שטח המרכז המסחרי הינו בבעלות פרטית </w:t>
      </w:r>
      <w:r>
        <w:rPr>
          <w:rtl/>
        </w:rPr>
        <w:t>–</w:t>
      </w:r>
      <w:r>
        <w:rPr>
          <w:rFonts w:hint="cs"/>
          <w:rtl/>
        </w:rPr>
        <w:t xml:space="preserve"> מדובר במספר רב של הבעלים, השטחים הציבוריים </w:t>
      </w:r>
      <w:r>
        <w:rPr>
          <w:rtl/>
        </w:rPr>
        <w:t>–</w:t>
      </w:r>
      <w:r>
        <w:rPr>
          <w:rFonts w:hint="cs"/>
          <w:rtl/>
        </w:rPr>
        <w:t xml:space="preserve"> בבעלות עיריית הוד השרון.</w:t>
      </w:r>
    </w:p>
    <w:p w14:paraId="2D4F4C36" w14:textId="77777777" w:rsidR="00551B73" w:rsidRDefault="00551B73" w:rsidP="00551B73">
      <w:pPr>
        <w:pStyle w:val="af1"/>
        <w:spacing w:after="120" w:line="240" w:lineRule="auto"/>
        <w:ind w:left="1179" w:right="992"/>
        <w:rPr>
          <w:rtl/>
        </w:rPr>
      </w:pPr>
      <w:r>
        <w:rPr>
          <w:rFonts w:hint="cs"/>
          <w:rtl/>
        </w:rPr>
        <w:t xml:space="preserve">מטרת התכנית </w:t>
      </w:r>
      <w:r>
        <w:rPr>
          <w:rtl/>
        </w:rPr>
        <w:t>–</w:t>
      </w:r>
      <w:r>
        <w:rPr>
          <w:rFonts w:hint="cs"/>
          <w:rtl/>
        </w:rPr>
        <w:t xml:space="preserve"> ליצור מנגנון של פינוי השטח מהיעודים, המהווים מטרד, והכשר הקרקע לבניית מבני המגורים בצפיפות ההולמת את מרכז העיר ובאיכות גבוהה, וכמו כן, יצירת </w:t>
      </w:r>
      <w:r>
        <w:rPr>
          <w:rFonts w:hint="cs"/>
          <w:rtl/>
        </w:rPr>
        <w:lastRenderedPageBreak/>
        <w:t>גינה ציבורית גדולה לרווחת התושבים, המלווה בחניה ציבורית. המבנים שפונים לרחוב הבנים הינם בעלי החזית המסחרית ומשלבים בקומת הקרקע שלהם שטחי מסחר.</w:t>
      </w:r>
    </w:p>
    <w:p w14:paraId="562B81D7" w14:textId="77777777" w:rsidR="00551B73" w:rsidRPr="00551B73" w:rsidRDefault="00551B73" w:rsidP="00551B73">
      <w:pPr>
        <w:pStyle w:val="af1"/>
        <w:spacing w:after="240" w:line="240" w:lineRule="auto"/>
        <w:ind w:left="1179" w:right="992"/>
      </w:pPr>
      <w:r>
        <w:rPr>
          <w:rFonts w:hint="cs"/>
          <w:rtl/>
        </w:rPr>
        <w:t>שטחים אלה מהווים המשך טבעי לפונקציות המאפיינות את רחוב הבנים."</w:t>
      </w:r>
    </w:p>
    <w:p w14:paraId="5E210738" w14:textId="35B58AB7" w:rsidR="00551B73" w:rsidRDefault="008F23E3" w:rsidP="008F23E3">
      <w:pPr>
        <w:pStyle w:val="af"/>
        <w:spacing w:line="360" w:lineRule="auto"/>
        <w:ind w:left="470" w:right="-142"/>
        <w:contextualSpacing w:val="0"/>
        <w:jc w:val="both"/>
        <w:rPr>
          <w:rFonts w:cs="David"/>
          <w:sz w:val="24"/>
          <w:szCs w:val="24"/>
          <w:rtl/>
        </w:rPr>
      </w:pPr>
      <w:r>
        <w:rPr>
          <w:rFonts w:cs="David" w:hint="cs"/>
          <w:sz w:val="24"/>
          <w:szCs w:val="24"/>
          <w:rtl/>
        </w:rPr>
        <w:t>תצלו</w:t>
      </w:r>
      <w:r w:rsidR="00DB0C5E">
        <w:rPr>
          <w:rFonts w:cs="David" w:hint="cs"/>
          <w:sz w:val="24"/>
          <w:szCs w:val="24"/>
          <w:rtl/>
        </w:rPr>
        <w:t>מי</w:t>
      </w:r>
      <w:r>
        <w:rPr>
          <w:rFonts w:cs="David" w:hint="cs"/>
          <w:sz w:val="24"/>
          <w:szCs w:val="24"/>
          <w:rtl/>
        </w:rPr>
        <w:t xml:space="preserve"> אוויר של המתחם</w:t>
      </w:r>
      <w:r w:rsidR="00DB0C5E">
        <w:rPr>
          <w:rFonts w:cs="David" w:hint="cs"/>
          <w:sz w:val="24"/>
          <w:szCs w:val="24"/>
          <w:rtl/>
        </w:rPr>
        <w:t xml:space="preserve"> על רקע סביבתו, ומקרוב, </w:t>
      </w:r>
      <w:r>
        <w:rPr>
          <w:rFonts w:cs="David" w:hint="cs"/>
          <w:sz w:val="24"/>
          <w:szCs w:val="24"/>
          <w:rtl/>
        </w:rPr>
        <w:t xml:space="preserve">מיום 15.4.2023 </w:t>
      </w:r>
      <w:r w:rsidR="00DB0C5E">
        <w:rPr>
          <w:rFonts w:cs="David" w:hint="cs"/>
          <w:sz w:val="24"/>
          <w:szCs w:val="24"/>
          <w:rtl/>
        </w:rPr>
        <w:t>הלקוחים</w:t>
      </w:r>
      <w:r>
        <w:rPr>
          <w:rFonts w:cs="David" w:hint="cs"/>
          <w:sz w:val="24"/>
          <w:szCs w:val="24"/>
          <w:rtl/>
        </w:rPr>
        <w:t xml:space="preserve"> </w:t>
      </w:r>
      <w:r w:rsidR="00DB0C5E">
        <w:rPr>
          <w:rFonts w:cs="David" w:hint="cs"/>
          <w:sz w:val="24"/>
          <w:szCs w:val="24"/>
          <w:rtl/>
        </w:rPr>
        <w:t>מ</w:t>
      </w:r>
      <w:r>
        <w:rPr>
          <w:rFonts w:cs="David" w:hint="cs"/>
          <w:sz w:val="24"/>
          <w:szCs w:val="24"/>
          <w:rtl/>
        </w:rPr>
        <w:t>אתר "</w:t>
      </w:r>
      <w:proofErr w:type="spellStart"/>
      <w:r>
        <w:rPr>
          <w:rFonts w:cs="David" w:hint="cs"/>
          <w:sz w:val="24"/>
          <w:szCs w:val="24"/>
          <w:rtl/>
        </w:rPr>
        <w:t>סימפלקס</w:t>
      </w:r>
      <w:proofErr w:type="spellEnd"/>
      <w:r>
        <w:rPr>
          <w:rFonts w:cs="David" w:hint="cs"/>
          <w:sz w:val="24"/>
          <w:szCs w:val="24"/>
          <w:rtl/>
        </w:rPr>
        <w:t>":</w:t>
      </w:r>
    </w:p>
    <w:p w14:paraId="04CE8291" w14:textId="729FD837" w:rsidR="00DB0C5E" w:rsidRDefault="00DB0C5E" w:rsidP="00DB0C5E">
      <w:pPr>
        <w:pStyle w:val="af"/>
        <w:spacing w:line="360" w:lineRule="auto"/>
        <w:ind w:left="470" w:right="-142"/>
        <w:contextualSpacing w:val="0"/>
        <w:jc w:val="center"/>
        <w:rPr>
          <w:rFonts w:cs="David"/>
          <w:sz w:val="24"/>
          <w:szCs w:val="24"/>
          <w:rtl/>
        </w:rPr>
      </w:pPr>
      <w:r w:rsidRPr="00DB0C5E">
        <w:rPr>
          <w:rFonts w:cs="David"/>
          <w:noProof/>
          <w:sz w:val="24"/>
          <w:szCs w:val="24"/>
          <w:rtl/>
        </w:rPr>
        <w:drawing>
          <wp:inline distT="0" distB="0" distL="0" distR="0" wp14:anchorId="7936B5CE" wp14:editId="2FDEC861">
            <wp:extent cx="3282950" cy="1725343"/>
            <wp:effectExtent l="0" t="0" r="0" b="8255"/>
            <wp:docPr id="34492585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5850" name=""/>
                    <pic:cNvPicPr/>
                  </pic:nvPicPr>
                  <pic:blipFill>
                    <a:blip r:embed="rId8"/>
                    <a:stretch>
                      <a:fillRect/>
                    </a:stretch>
                  </pic:blipFill>
                  <pic:spPr>
                    <a:xfrm>
                      <a:off x="0" y="0"/>
                      <a:ext cx="3306871" cy="1737914"/>
                    </a:xfrm>
                    <a:prstGeom prst="rect">
                      <a:avLst/>
                    </a:prstGeom>
                  </pic:spPr>
                </pic:pic>
              </a:graphicData>
            </a:graphic>
          </wp:inline>
        </w:drawing>
      </w:r>
    </w:p>
    <w:p w14:paraId="341EE1AF" w14:textId="77777777" w:rsidR="008F23E3" w:rsidRPr="00B075C0" w:rsidRDefault="008F23E3" w:rsidP="008F23E3">
      <w:pPr>
        <w:pStyle w:val="af"/>
        <w:spacing w:line="360" w:lineRule="auto"/>
        <w:ind w:left="470" w:right="-142"/>
        <w:contextualSpacing w:val="0"/>
        <w:jc w:val="center"/>
        <w:rPr>
          <w:rFonts w:cs="David"/>
          <w:sz w:val="24"/>
          <w:szCs w:val="24"/>
        </w:rPr>
      </w:pPr>
      <w:r w:rsidRPr="008F23E3">
        <w:rPr>
          <w:rFonts w:cs="David"/>
          <w:noProof/>
          <w:sz w:val="24"/>
          <w:szCs w:val="24"/>
          <w:rtl/>
        </w:rPr>
        <w:drawing>
          <wp:inline distT="0" distB="0" distL="0" distR="0" wp14:anchorId="52FB9B03" wp14:editId="330376F1">
            <wp:extent cx="3270250" cy="1830813"/>
            <wp:effectExtent l="0" t="0" r="6350" b="0"/>
            <wp:docPr id="195665533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55333" name=""/>
                    <pic:cNvPicPr/>
                  </pic:nvPicPr>
                  <pic:blipFill>
                    <a:blip r:embed="rId9"/>
                    <a:stretch>
                      <a:fillRect/>
                    </a:stretch>
                  </pic:blipFill>
                  <pic:spPr>
                    <a:xfrm>
                      <a:off x="0" y="0"/>
                      <a:ext cx="3280182" cy="1836373"/>
                    </a:xfrm>
                    <a:prstGeom prst="rect">
                      <a:avLst/>
                    </a:prstGeom>
                  </pic:spPr>
                </pic:pic>
              </a:graphicData>
            </a:graphic>
          </wp:inline>
        </w:drawing>
      </w:r>
    </w:p>
    <w:p w14:paraId="1FC4D775" w14:textId="77777777" w:rsidR="008F23E3" w:rsidRDefault="0084193E" w:rsidP="00DB0C5E">
      <w:pPr>
        <w:pStyle w:val="af"/>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התוכנית </w:t>
      </w:r>
      <w:proofErr w:type="spellStart"/>
      <w:r>
        <w:rPr>
          <w:rFonts w:cs="David" w:hint="cs"/>
          <w:sz w:val="24"/>
          <w:szCs w:val="24"/>
          <w:rtl/>
        </w:rPr>
        <w:t>המתארית</w:t>
      </w:r>
      <w:proofErr w:type="spellEnd"/>
      <w:r>
        <w:rPr>
          <w:rFonts w:cs="David" w:hint="cs"/>
          <w:sz w:val="24"/>
          <w:szCs w:val="24"/>
          <w:rtl/>
        </w:rPr>
        <w:t xml:space="preserve"> שינתה את ייעוד הקרקע </w:t>
      </w:r>
      <w:r w:rsidR="00462CAA">
        <w:rPr>
          <w:rFonts w:cs="David" w:hint="cs"/>
          <w:sz w:val="24"/>
          <w:szCs w:val="24"/>
          <w:rtl/>
        </w:rPr>
        <w:t xml:space="preserve">העיקרי, </w:t>
      </w:r>
      <w:r>
        <w:rPr>
          <w:rFonts w:cs="David" w:hint="cs"/>
          <w:sz w:val="24"/>
          <w:szCs w:val="24"/>
          <w:rtl/>
        </w:rPr>
        <w:t>ממלאכה ותעשייה למגורים ומסחר</w:t>
      </w:r>
      <w:r w:rsidR="00462CAA">
        <w:rPr>
          <w:rFonts w:cs="David" w:hint="cs"/>
          <w:sz w:val="24"/>
          <w:szCs w:val="24"/>
          <w:rtl/>
        </w:rPr>
        <w:t>,</w:t>
      </w:r>
      <w:r>
        <w:rPr>
          <w:rFonts w:cs="David" w:hint="cs"/>
          <w:sz w:val="24"/>
          <w:szCs w:val="24"/>
          <w:rtl/>
        </w:rPr>
        <w:t xml:space="preserve"> וקבעה </w:t>
      </w:r>
      <w:r w:rsidR="003B5D0A">
        <w:rPr>
          <w:rFonts w:cs="David" w:hint="cs"/>
          <w:sz w:val="24"/>
          <w:szCs w:val="24"/>
          <w:rtl/>
        </w:rPr>
        <w:t>הוראות להוצאת היתר בנייה ושלביות</w:t>
      </w:r>
      <w:r w:rsidR="008F23E3">
        <w:rPr>
          <w:rFonts w:cs="David" w:hint="cs"/>
          <w:sz w:val="24"/>
          <w:szCs w:val="24"/>
          <w:rtl/>
        </w:rPr>
        <w:t>, כמפורט להלן:</w:t>
      </w:r>
    </w:p>
    <w:p w14:paraId="5D8A7806" w14:textId="77777777" w:rsidR="008F23E3" w:rsidRDefault="008F23E3" w:rsidP="00DB0C5E">
      <w:pPr>
        <w:pStyle w:val="af"/>
        <w:spacing w:after="120" w:line="360" w:lineRule="auto"/>
        <w:ind w:left="471" w:right="-142"/>
        <w:contextualSpacing w:val="0"/>
        <w:jc w:val="both"/>
        <w:rPr>
          <w:rFonts w:cs="David"/>
          <w:sz w:val="24"/>
          <w:szCs w:val="24"/>
          <w:rtl/>
        </w:rPr>
      </w:pPr>
      <w:r>
        <w:rPr>
          <w:rFonts w:cs="David" w:hint="cs"/>
          <w:sz w:val="24"/>
          <w:szCs w:val="24"/>
          <w:rtl/>
        </w:rPr>
        <w:t xml:space="preserve">סעיף 6.5 לתוכנית </w:t>
      </w:r>
      <w:proofErr w:type="spellStart"/>
      <w:r>
        <w:rPr>
          <w:rFonts w:cs="David" w:hint="cs"/>
          <w:sz w:val="24"/>
          <w:szCs w:val="24"/>
          <w:rtl/>
        </w:rPr>
        <w:t>המתארית</w:t>
      </w:r>
      <w:proofErr w:type="spellEnd"/>
      <w:r>
        <w:rPr>
          <w:rFonts w:cs="David" w:hint="cs"/>
          <w:sz w:val="24"/>
          <w:szCs w:val="24"/>
          <w:rtl/>
        </w:rPr>
        <w:t xml:space="preserve"> קובע תנאים להוצאת היתרי בנייה, וביניהם:</w:t>
      </w:r>
    </w:p>
    <w:tbl>
      <w:tblPr>
        <w:tblStyle w:val="af0"/>
        <w:bidiVisual/>
        <w:tblW w:w="6951" w:type="dxa"/>
        <w:tblInd w:w="1002" w:type="dxa"/>
        <w:tblCellMar>
          <w:left w:w="397" w:type="dxa"/>
        </w:tblCellMar>
        <w:tblLook w:val="04A0" w:firstRow="1" w:lastRow="0" w:firstColumn="1" w:lastColumn="0" w:noHBand="0" w:noVBand="1"/>
      </w:tblPr>
      <w:tblGrid>
        <w:gridCol w:w="964"/>
        <w:gridCol w:w="5987"/>
      </w:tblGrid>
      <w:tr w:rsidR="008F23E3" w:rsidRPr="00A374CC" w14:paraId="70277AF2" w14:textId="77777777" w:rsidTr="0079583F">
        <w:tc>
          <w:tcPr>
            <w:tcW w:w="822" w:type="dxa"/>
            <w:tcBorders>
              <w:bottom w:val="single" w:sz="4" w:space="0" w:color="auto"/>
            </w:tcBorders>
          </w:tcPr>
          <w:p w14:paraId="242B53D3" w14:textId="77777777" w:rsidR="008F23E3" w:rsidRPr="00A374CC" w:rsidRDefault="008F23E3" w:rsidP="00A374CC">
            <w:pPr>
              <w:pStyle w:val="af"/>
              <w:spacing w:after="120"/>
              <w:ind w:left="0" w:right="-142"/>
              <w:contextualSpacing w:val="0"/>
              <w:jc w:val="both"/>
              <w:rPr>
                <w:rFonts w:ascii="FrankRuehl" w:hAnsi="FrankRuehl" w:cs="FrankRuehl"/>
                <w:sz w:val="24"/>
                <w:szCs w:val="24"/>
                <w:rtl/>
              </w:rPr>
            </w:pPr>
            <w:r w:rsidRPr="00A374CC">
              <w:rPr>
                <w:rFonts w:ascii="FrankRuehl" w:hAnsi="FrankRuehl" w:cs="FrankRuehl"/>
                <w:sz w:val="24"/>
                <w:szCs w:val="24"/>
                <w:rtl/>
              </w:rPr>
              <w:t>6.5.4.</w:t>
            </w:r>
          </w:p>
        </w:tc>
        <w:tc>
          <w:tcPr>
            <w:tcW w:w="6129" w:type="dxa"/>
            <w:tcBorders>
              <w:bottom w:val="single" w:sz="4" w:space="0" w:color="auto"/>
            </w:tcBorders>
          </w:tcPr>
          <w:p w14:paraId="2D3B90BB" w14:textId="77777777" w:rsidR="008F23E3" w:rsidRPr="00A374CC" w:rsidRDefault="008F23E3" w:rsidP="00A374CC">
            <w:pPr>
              <w:pStyle w:val="af"/>
              <w:spacing w:after="120"/>
              <w:ind w:left="0" w:right="-142"/>
              <w:contextualSpacing w:val="0"/>
              <w:jc w:val="both"/>
              <w:rPr>
                <w:rFonts w:ascii="FrankRuehl" w:hAnsi="FrankRuehl" w:cs="FrankRuehl"/>
                <w:sz w:val="24"/>
                <w:szCs w:val="24"/>
                <w:rtl/>
              </w:rPr>
            </w:pPr>
            <w:r w:rsidRPr="00A374CC">
              <w:rPr>
                <w:rFonts w:ascii="FrankRuehl" w:hAnsi="FrankRuehl" w:cs="FrankRuehl"/>
                <w:sz w:val="24"/>
                <w:szCs w:val="24"/>
                <w:rtl/>
              </w:rPr>
              <w:t xml:space="preserve">א. לא יוצאו היתרי בניה על מגרשים בהם מסומנים מבנים להריסה, טרם הריסה בפועל ופינוי כל המבנים להריסה המסומנים </w:t>
            </w:r>
            <w:proofErr w:type="spellStart"/>
            <w:r w:rsidRPr="00A374CC">
              <w:rPr>
                <w:rFonts w:ascii="FrankRuehl" w:hAnsi="FrankRuehl" w:cs="FrankRuehl"/>
                <w:sz w:val="24"/>
                <w:szCs w:val="24"/>
                <w:rtl/>
              </w:rPr>
              <w:t>בתשריט</w:t>
            </w:r>
            <w:proofErr w:type="spellEnd"/>
            <w:r w:rsidRPr="00A374CC">
              <w:rPr>
                <w:rFonts w:ascii="FrankRuehl" w:hAnsi="FrankRuehl" w:cs="FrankRuehl"/>
                <w:sz w:val="24"/>
                <w:szCs w:val="24"/>
                <w:rtl/>
              </w:rPr>
              <w:t>.</w:t>
            </w:r>
          </w:p>
          <w:p w14:paraId="612C2FEC" w14:textId="77777777" w:rsidR="008F23E3" w:rsidRPr="00A374CC" w:rsidRDefault="008F23E3" w:rsidP="00A374CC">
            <w:pPr>
              <w:pStyle w:val="af"/>
              <w:spacing w:after="120"/>
              <w:ind w:left="0" w:right="-142"/>
              <w:contextualSpacing w:val="0"/>
              <w:jc w:val="both"/>
              <w:rPr>
                <w:rFonts w:ascii="FrankRuehl" w:hAnsi="FrankRuehl" w:cs="FrankRuehl"/>
                <w:sz w:val="24"/>
                <w:szCs w:val="24"/>
                <w:rtl/>
              </w:rPr>
            </w:pPr>
            <w:r w:rsidRPr="00A374CC">
              <w:rPr>
                <w:rFonts w:ascii="FrankRuehl" w:hAnsi="FrankRuehl" w:cs="FrankRuehl"/>
                <w:sz w:val="24"/>
                <w:szCs w:val="24"/>
                <w:rtl/>
              </w:rPr>
              <w:t xml:space="preserve">ב. תנאי להיתר בניה ראשון יהיה הריסה בפועל של כל המבנים ומסירת השטחים המיועדים </w:t>
            </w:r>
            <w:proofErr w:type="spellStart"/>
            <w:r w:rsidRPr="00A374CC">
              <w:rPr>
                <w:rFonts w:ascii="FrankRuehl" w:hAnsi="FrankRuehl" w:cs="FrankRuehl"/>
                <w:sz w:val="24"/>
                <w:szCs w:val="24"/>
                <w:rtl/>
              </w:rPr>
              <w:t>לשב"צ</w:t>
            </w:r>
            <w:proofErr w:type="spellEnd"/>
            <w:r w:rsidRPr="00A374CC">
              <w:rPr>
                <w:rFonts w:ascii="FrankRuehl" w:hAnsi="FrankRuehl" w:cs="FrankRuehl"/>
                <w:sz w:val="24"/>
                <w:szCs w:val="24"/>
                <w:rtl/>
              </w:rPr>
              <w:t xml:space="preserve"> </w:t>
            </w:r>
            <w:proofErr w:type="spellStart"/>
            <w:r w:rsidRPr="00A374CC">
              <w:rPr>
                <w:rFonts w:ascii="FrankRuehl" w:hAnsi="FrankRuehl" w:cs="FrankRuehl"/>
                <w:sz w:val="24"/>
                <w:szCs w:val="24"/>
                <w:rtl/>
              </w:rPr>
              <w:t>לעיריה</w:t>
            </w:r>
            <w:proofErr w:type="spellEnd"/>
            <w:r w:rsidRPr="00A374CC">
              <w:rPr>
                <w:rFonts w:ascii="FrankRuehl" w:hAnsi="FrankRuehl" w:cs="FrankRuehl"/>
                <w:sz w:val="24"/>
                <w:szCs w:val="24"/>
                <w:rtl/>
              </w:rPr>
              <w:t xml:space="preserve"> כאשר הם פנויים מכל בניה, וביצוע בפועל של גן הילדים ומבנה העמותה. </w:t>
            </w:r>
          </w:p>
          <w:p w14:paraId="77375057" w14:textId="77777777" w:rsidR="008F23E3" w:rsidRPr="00A374CC" w:rsidRDefault="008F23E3" w:rsidP="00A374CC">
            <w:pPr>
              <w:pStyle w:val="af"/>
              <w:spacing w:after="120"/>
              <w:ind w:left="0" w:right="-142"/>
              <w:contextualSpacing w:val="0"/>
              <w:jc w:val="both"/>
              <w:rPr>
                <w:rFonts w:ascii="FrankRuehl" w:hAnsi="FrankRuehl" w:cs="FrankRuehl"/>
                <w:sz w:val="24"/>
                <w:szCs w:val="24"/>
                <w:rtl/>
              </w:rPr>
            </w:pPr>
            <w:r w:rsidRPr="00A374CC">
              <w:rPr>
                <w:rFonts w:ascii="FrankRuehl" w:hAnsi="FrankRuehl" w:cs="FrankRuehl"/>
                <w:sz w:val="24"/>
                <w:szCs w:val="24"/>
                <w:rtl/>
              </w:rPr>
              <w:t xml:space="preserve">ג. היתר בניה ליתרת השטח יתקבל בהינף אחד לאחר השלמת יתר התנאים ויכלול את </w:t>
            </w:r>
            <w:proofErr w:type="spellStart"/>
            <w:r w:rsidRPr="00A374CC">
              <w:rPr>
                <w:rFonts w:ascii="FrankRuehl" w:hAnsi="FrankRuehl" w:cs="FrankRuehl"/>
                <w:sz w:val="24"/>
                <w:szCs w:val="24"/>
                <w:rtl/>
              </w:rPr>
              <w:t>הפרוייקט</w:t>
            </w:r>
            <w:proofErr w:type="spellEnd"/>
            <w:r w:rsidRPr="00A374CC">
              <w:rPr>
                <w:rFonts w:ascii="FrankRuehl" w:hAnsi="FrankRuehl" w:cs="FrankRuehl"/>
                <w:sz w:val="24"/>
                <w:szCs w:val="24"/>
                <w:rtl/>
              </w:rPr>
              <w:t xml:space="preserve"> המסחרי ואת הכיכר הציבורית.</w:t>
            </w:r>
          </w:p>
          <w:p w14:paraId="2012111E" w14:textId="77777777" w:rsidR="008F23E3" w:rsidRPr="00A374CC" w:rsidRDefault="008F23E3" w:rsidP="00A374CC">
            <w:pPr>
              <w:pStyle w:val="af"/>
              <w:spacing w:after="120"/>
              <w:ind w:left="0" w:right="-142"/>
              <w:contextualSpacing w:val="0"/>
              <w:jc w:val="both"/>
              <w:rPr>
                <w:rFonts w:ascii="FrankRuehl" w:hAnsi="FrankRuehl" w:cs="FrankRuehl"/>
                <w:sz w:val="24"/>
                <w:szCs w:val="24"/>
                <w:rtl/>
              </w:rPr>
            </w:pPr>
            <w:r w:rsidRPr="00A374CC">
              <w:rPr>
                <w:rFonts w:ascii="FrankRuehl" w:hAnsi="FrankRuehl" w:cs="FrankRuehl"/>
                <w:sz w:val="24"/>
                <w:szCs w:val="24"/>
                <w:rtl/>
              </w:rPr>
              <w:t xml:space="preserve">ד. תנאי להיתר בניה </w:t>
            </w:r>
            <w:proofErr w:type="spellStart"/>
            <w:r w:rsidRPr="00A374CC">
              <w:rPr>
                <w:rFonts w:ascii="FrankRuehl" w:hAnsi="FrankRuehl" w:cs="FrankRuehl"/>
                <w:sz w:val="24"/>
                <w:szCs w:val="24"/>
                <w:rtl/>
              </w:rPr>
              <w:t>בפרוייקט</w:t>
            </w:r>
            <w:proofErr w:type="spellEnd"/>
            <w:r w:rsidRPr="00A374CC">
              <w:rPr>
                <w:rFonts w:ascii="FrankRuehl" w:hAnsi="FrankRuehl" w:cs="FrankRuehl"/>
                <w:sz w:val="24"/>
                <w:szCs w:val="24"/>
                <w:rtl/>
              </w:rPr>
              <w:t xml:space="preserve"> המסחרי הוא בניה בפועל של 600 מ"ר בשטח </w:t>
            </w:r>
            <w:proofErr w:type="spellStart"/>
            <w:r w:rsidRPr="00A374CC">
              <w:rPr>
                <w:rFonts w:ascii="FrankRuehl" w:hAnsi="FrankRuehl" w:cs="FrankRuehl"/>
                <w:sz w:val="24"/>
                <w:szCs w:val="24"/>
                <w:rtl/>
              </w:rPr>
              <w:t>השב"צ</w:t>
            </w:r>
            <w:proofErr w:type="spellEnd"/>
            <w:r w:rsidRPr="00A374CC">
              <w:rPr>
                <w:rFonts w:ascii="FrankRuehl" w:hAnsi="FrankRuehl" w:cs="FrankRuehl"/>
                <w:sz w:val="24"/>
                <w:szCs w:val="24"/>
                <w:rtl/>
              </w:rPr>
              <w:t>.</w:t>
            </w:r>
          </w:p>
        </w:tc>
      </w:tr>
      <w:tr w:rsidR="0079583F" w:rsidRPr="00A374CC" w14:paraId="234E22D6" w14:textId="77777777" w:rsidTr="0079583F">
        <w:tc>
          <w:tcPr>
            <w:tcW w:w="822" w:type="dxa"/>
            <w:tcBorders>
              <w:left w:val="nil"/>
              <w:right w:val="nil"/>
            </w:tcBorders>
          </w:tcPr>
          <w:p w14:paraId="35A487F5" w14:textId="77777777" w:rsidR="0079583F" w:rsidRPr="00A374CC" w:rsidRDefault="0079583F" w:rsidP="00A374CC">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w:t>
            </w:r>
          </w:p>
        </w:tc>
        <w:tc>
          <w:tcPr>
            <w:tcW w:w="6129" w:type="dxa"/>
            <w:tcBorders>
              <w:left w:val="nil"/>
              <w:right w:val="nil"/>
            </w:tcBorders>
          </w:tcPr>
          <w:p w14:paraId="0400872B" w14:textId="77777777" w:rsidR="0079583F" w:rsidRPr="00A374CC" w:rsidRDefault="0079583F" w:rsidP="00A374CC">
            <w:pPr>
              <w:pStyle w:val="af"/>
              <w:spacing w:after="120"/>
              <w:ind w:left="0" w:right="-142"/>
              <w:contextualSpacing w:val="0"/>
              <w:jc w:val="both"/>
              <w:rPr>
                <w:rFonts w:ascii="FrankRuehl" w:hAnsi="FrankRuehl" w:cs="FrankRuehl"/>
                <w:sz w:val="24"/>
                <w:szCs w:val="24"/>
                <w:rtl/>
              </w:rPr>
            </w:pPr>
          </w:p>
        </w:tc>
      </w:tr>
      <w:tr w:rsidR="00776172" w:rsidRPr="00A374CC" w14:paraId="251F4033" w14:textId="77777777" w:rsidTr="00A374CC">
        <w:tc>
          <w:tcPr>
            <w:tcW w:w="822" w:type="dxa"/>
          </w:tcPr>
          <w:p w14:paraId="079B37A6" w14:textId="77777777" w:rsidR="00776172" w:rsidRPr="00A374CC" w:rsidRDefault="0079583F" w:rsidP="00A374CC">
            <w:pPr>
              <w:pStyle w:val="af"/>
              <w:spacing w:after="120"/>
              <w:ind w:left="0" w:right="-142"/>
              <w:contextualSpacing w:val="0"/>
              <w:jc w:val="both"/>
              <w:rPr>
                <w:rFonts w:ascii="FrankRuehl" w:hAnsi="FrankRuehl" w:cs="FrankRuehl"/>
                <w:sz w:val="24"/>
                <w:szCs w:val="24"/>
              </w:rPr>
            </w:pPr>
            <w:r>
              <w:rPr>
                <w:rFonts w:ascii="FrankRuehl" w:hAnsi="FrankRuehl" w:cs="FrankRuehl" w:hint="cs"/>
                <w:sz w:val="24"/>
                <w:szCs w:val="24"/>
                <w:rtl/>
              </w:rPr>
              <w:t>6.5.8</w:t>
            </w:r>
          </w:p>
        </w:tc>
        <w:tc>
          <w:tcPr>
            <w:tcW w:w="6129" w:type="dxa"/>
          </w:tcPr>
          <w:p w14:paraId="68B28EDA" w14:textId="77777777" w:rsidR="00776172" w:rsidRPr="00A374CC" w:rsidRDefault="0079583F" w:rsidP="00A374CC">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 xml:space="preserve">סיום ביצוע המטלות הציבוריות בתכנית (העתקת מבני ציבור והקמת החניה הציבורית וביצוע </w:t>
            </w:r>
            <w:proofErr w:type="spellStart"/>
            <w:r>
              <w:rPr>
                <w:rFonts w:ascii="FrankRuehl" w:hAnsi="FrankRuehl" w:cs="FrankRuehl" w:hint="cs"/>
                <w:sz w:val="24"/>
                <w:szCs w:val="24"/>
                <w:rtl/>
              </w:rPr>
              <w:t>השצ"פ</w:t>
            </w:r>
            <w:proofErr w:type="spellEnd"/>
            <w:r>
              <w:rPr>
                <w:rFonts w:ascii="FrankRuehl" w:hAnsi="FrankRuehl" w:cs="FrankRuehl" w:hint="cs"/>
                <w:sz w:val="24"/>
                <w:szCs w:val="24"/>
                <w:rtl/>
              </w:rPr>
              <w:t>) הינו תנאי למתן היתר בנייה למבני המגורים והמסחר.</w:t>
            </w:r>
          </w:p>
        </w:tc>
      </w:tr>
    </w:tbl>
    <w:p w14:paraId="3AEEB9CC" w14:textId="77777777" w:rsidR="00A374CC" w:rsidRDefault="00A374CC" w:rsidP="00A374CC">
      <w:pPr>
        <w:pStyle w:val="af"/>
        <w:spacing w:after="120" w:line="240" w:lineRule="auto"/>
        <w:ind w:left="471" w:right="-142"/>
        <w:contextualSpacing w:val="0"/>
        <w:jc w:val="both"/>
        <w:rPr>
          <w:rFonts w:cs="David"/>
          <w:sz w:val="24"/>
          <w:szCs w:val="24"/>
          <w:rtl/>
        </w:rPr>
      </w:pPr>
    </w:p>
    <w:p w14:paraId="17BAC9C1" w14:textId="66E7B5C4" w:rsidR="00DB0C5E" w:rsidRDefault="00DB0C5E" w:rsidP="00A374CC">
      <w:pPr>
        <w:pStyle w:val="af"/>
        <w:spacing w:line="360" w:lineRule="auto"/>
        <w:ind w:left="470" w:right="-142"/>
        <w:contextualSpacing w:val="0"/>
        <w:jc w:val="both"/>
        <w:rPr>
          <w:rFonts w:cs="David"/>
          <w:sz w:val="24"/>
          <w:szCs w:val="24"/>
          <w:rtl/>
        </w:rPr>
      </w:pPr>
    </w:p>
    <w:p w14:paraId="62351E4E" w14:textId="2D59AB99" w:rsidR="00F6133D" w:rsidRDefault="00F6133D" w:rsidP="00A374CC">
      <w:pPr>
        <w:pStyle w:val="af"/>
        <w:spacing w:line="360" w:lineRule="auto"/>
        <w:ind w:left="470" w:right="-142"/>
        <w:contextualSpacing w:val="0"/>
        <w:jc w:val="both"/>
        <w:rPr>
          <w:rFonts w:cs="David"/>
          <w:sz w:val="24"/>
          <w:szCs w:val="24"/>
          <w:rtl/>
        </w:rPr>
      </w:pPr>
    </w:p>
    <w:p w14:paraId="6418D88F" w14:textId="77777777" w:rsidR="00F6133D" w:rsidRDefault="00F6133D" w:rsidP="00A374CC">
      <w:pPr>
        <w:pStyle w:val="af"/>
        <w:spacing w:line="360" w:lineRule="auto"/>
        <w:ind w:left="470" w:right="-142"/>
        <w:contextualSpacing w:val="0"/>
        <w:jc w:val="both"/>
        <w:rPr>
          <w:rFonts w:cs="David"/>
          <w:sz w:val="24"/>
          <w:szCs w:val="24"/>
          <w:rtl/>
        </w:rPr>
      </w:pPr>
    </w:p>
    <w:p w14:paraId="735A95B5" w14:textId="0896AEC1" w:rsidR="00A374CC" w:rsidRDefault="00A374CC" w:rsidP="00A374CC">
      <w:pPr>
        <w:pStyle w:val="af"/>
        <w:spacing w:line="360" w:lineRule="auto"/>
        <w:ind w:left="470" w:right="-142"/>
        <w:contextualSpacing w:val="0"/>
        <w:jc w:val="both"/>
        <w:rPr>
          <w:rFonts w:cs="David"/>
          <w:sz w:val="24"/>
          <w:szCs w:val="24"/>
          <w:rtl/>
        </w:rPr>
      </w:pPr>
      <w:r>
        <w:rPr>
          <w:rFonts w:cs="David" w:hint="cs"/>
          <w:sz w:val="24"/>
          <w:szCs w:val="24"/>
          <w:rtl/>
        </w:rPr>
        <w:t xml:space="preserve">סעיף 7.1 לתוכנית </w:t>
      </w:r>
      <w:proofErr w:type="spellStart"/>
      <w:r>
        <w:rPr>
          <w:rFonts w:cs="David" w:hint="cs"/>
          <w:sz w:val="24"/>
          <w:szCs w:val="24"/>
          <w:rtl/>
        </w:rPr>
        <w:t>המתארית</w:t>
      </w:r>
      <w:proofErr w:type="spellEnd"/>
      <w:r>
        <w:rPr>
          <w:rFonts w:cs="David" w:hint="cs"/>
          <w:sz w:val="24"/>
          <w:szCs w:val="24"/>
          <w:rtl/>
        </w:rPr>
        <w:t xml:space="preserve"> קובע את שלבי הביצוע של התוכנית:</w:t>
      </w:r>
    </w:p>
    <w:tbl>
      <w:tblPr>
        <w:tblStyle w:val="af0"/>
        <w:bidiVisual/>
        <w:tblW w:w="6951" w:type="dxa"/>
        <w:tblInd w:w="726" w:type="dxa"/>
        <w:tblLook w:val="04A0" w:firstRow="1" w:lastRow="0" w:firstColumn="1" w:lastColumn="0" w:noHBand="0" w:noVBand="1"/>
      </w:tblPr>
      <w:tblGrid>
        <w:gridCol w:w="822"/>
        <w:gridCol w:w="3064"/>
        <w:gridCol w:w="3065"/>
      </w:tblGrid>
      <w:tr w:rsidR="00A374CC" w:rsidRPr="00A374CC" w14:paraId="02423A03" w14:textId="77777777" w:rsidTr="00A374CC">
        <w:tc>
          <w:tcPr>
            <w:tcW w:w="822" w:type="dxa"/>
          </w:tcPr>
          <w:p w14:paraId="752E2F58" w14:textId="77777777" w:rsidR="00A374CC" w:rsidRPr="00A374CC" w:rsidRDefault="00A374CC" w:rsidP="00312F3F">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7.1</w:t>
            </w:r>
          </w:p>
        </w:tc>
        <w:tc>
          <w:tcPr>
            <w:tcW w:w="6129" w:type="dxa"/>
            <w:gridSpan w:val="2"/>
          </w:tcPr>
          <w:p w14:paraId="07DB4712" w14:textId="77777777" w:rsidR="00A374CC" w:rsidRPr="00A374CC" w:rsidRDefault="00A374CC" w:rsidP="00312F3F">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שלבי ביצוע</w:t>
            </w:r>
          </w:p>
        </w:tc>
      </w:tr>
      <w:tr w:rsidR="00A374CC" w:rsidRPr="00A374CC" w14:paraId="3B6E5B8A" w14:textId="77777777" w:rsidTr="00AB7BCC">
        <w:tc>
          <w:tcPr>
            <w:tcW w:w="822" w:type="dxa"/>
          </w:tcPr>
          <w:p w14:paraId="41B8289B" w14:textId="77777777" w:rsidR="00A374CC" w:rsidRPr="00A374CC" w:rsidRDefault="00A374CC" w:rsidP="00312F3F">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מספר שלב</w:t>
            </w:r>
          </w:p>
        </w:tc>
        <w:tc>
          <w:tcPr>
            <w:tcW w:w="3064" w:type="dxa"/>
          </w:tcPr>
          <w:p w14:paraId="50FA9FE5" w14:textId="77777777" w:rsidR="00A374CC" w:rsidRPr="00A374CC" w:rsidRDefault="00A374CC" w:rsidP="00312F3F">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תיאור שלב</w:t>
            </w:r>
          </w:p>
        </w:tc>
        <w:tc>
          <w:tcPr>
            <w:tcW w:w="3065" w:type="dxa"/>
          </w:tcPr>
          <w:p w14:paraId="39D50004" w14:textId="77777777" w:rsidR="00A374CC" w:rsidRPr="00A374CC" w:rsidRDefault="00A374CC" w:rsidP="00312F3F">
            <w:pPr>
              <w:pStyle w:val="af"/>
              <w:spacing w:after="120"/>
              <w:ind w:left="0" w:right="-142"/>
              <w:contextualSpacing w:val="0"/>
              <w:jc w:val="both"/>
              <w:rPr>
                <w:rFonts w:ascii="FrankRuehl" w:hAnsi="FrankRuehl" w:cs="FrankRuehl"/>
                <w:b/>
                <w:bCs/>
                <w:sz w:val="24"/>
                <w:szCs w:val="24"/>
                <w:rtl/>
              </w:rPr>
            </w:pPr>
            <w:proofErr w:type="spellStart"/>
            <w:r w:rsidRPr="00A374CC">
              <w:rPr>
                <w:rFonts w:ascii="FrankRuehl" w:hAnsi="FrankRuehl" w:cs="FrankRuehl" w:hint="cs"/>
                <w:b/>
                <w:bCs/>
                <w:sz w:val="24"/>
                <w:szCs w:val="24"/>
                <w:rtl/>
              </w:rPr>
              <w:t>התנייה</w:t>
            </w:r>
            <w:proofErr w:type="spellEnd"/>
          </w:p>
        </w:tc>
      </w:tr>
      <w:tr w:rsidR="00A374CC" w:rsidRPr="00A374CC" w14:paraId="7798EC07" w14:textId="77777777" w:rsidTr="00AB7BCC">
        <w:tblPrEx>
          <w:tblCellMar>
            <w:left w:w="397" w:type="dxa"/>
          </w:tblCellMar>
        </w:tblPrEx>
        <w:tc>
          <w:tcPr>
            <w:tcW w:w="822" w:type="dxa"/>
          </w:tcPr>
          <w:p w14:paraId="13BA9EEB" w14:textId="77777777" w:rsidR="00A374CC" w:rsidRPr="00A374CC" w:rsidRDefault="00A374CC" w:rsidP="00312F3F">
            <w:pPr>
              <w:pStyle w:val="af"/>
              <w:spacing w:after="120"/>
              <w:ind w:left="0" w:right="-142"/>
              <w:contextualSpacing w:val="0"/>
              <w:jc w:val="center"/>
              <w:rPr>
                <w:rFonts w:ascii="FrankRuehl" w:hAnsi="FrankRuehl" w:cs="FrankRuehl"/>
                <w:sz w:val="24"/>
                <w:szCs w:val="24"/>
                <w:rtl/>
              </w:rPr>
            </w:pPr>
            <w:r>
              <w:rPr>
                <w:rFonts w:ascii="FrankRuehl" w:hAnsi="FrankRuehl" w:cs="FrankRuehl" w:hint="cs"/>
                <w:sz w:val="24"/>
                <w:szCs w:val="24"/>
                <w:rtl/>
              </w:rPr>
              <w:t>1</w:t>
            </w:r>
          </w:p>
        </w:tc>
        <w:tc>
          <w:tcPr>
            <w:tcW w:w="3064" w:type="dxa"/>
          </w:tcPr>
          <w:p w14:paraId="796F526B" w14:textId="77777777" w:rsidR="00A374CC" w:rsidRPr="00A374CC" w:rsidRDefault="00A374CC" w:rsidP="00312F3F">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בניית המבנים, החניות הציבוריים ומוסדות הציבור המוצעים בתכנית.</w:t>
            </w:r>
          </w:p>
        </w:tc>
        <w:tc>
          <w:tcPr>
            <w:tcW w:w="3065" w:type="dxa"/>
          </w:tcPr>
          <w:p w14:paraId="3EB9C3CA" w14:textId="77777777" w:rsidR="00A374CC" w:rsidRPr="00A374CC" w:rsidRDefault="00A374CC" w:rsidP="00312F3F">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לא יהרסו את המבנים הציבוריים הקיימים בשטח ללא מתן פתרון להעברת המוסדות הנ"ל למקומם החדש בהתאם לסעיף 6.5.4 בהוראות התכנית.</w:t>
            </w:r>
          </w:p>
        </w:tc>
      </w:tr>
      <w:tr w:rsidR="00A374CC" w:rsidRPr="00A374CC" w14:paraId="6200ABD4" w14:textId="77777777" w:rsidTr="00AB7BCC">
        <w:tblPrEx>
          <w:tblCellMar>
            <w:left w:w="397" w:type="dxa"/>
          </w:tblCellMar>
        </w:tblPrEx>
        <w:tc>
          <w:tcPr>
            <w:tcW w:w="822" w:type="dxa"/>
          </w:tcPr>
          <w:p w14:paraId="40A3CBF8" w14:textId="77777777" w:rsidR="00A374CC" w:rsidRPr="00A374CC" w:rsidRDefault="00A374CC" w:rsidP="00312F3F">
            <w:pPr>
              <w:pStyle w:val="af"/>
              <w:spacing w:after="120"/>
              <w:ind w:left="0" w:right="-142"/>
              <w:contextualSpacing w:val="0"/>
              <w:jc w:val="center"/>
              <w:rPr>
                <w:rFonts w:ascii="FrankRuehl" w:hAnsi="FrankRuehl" w:cs="FrankRuehl"/>
                <w:sz w:val="24"/>
                <w:szCs w:val="24"/>
                <w:rtl/>
              </w:rPr>
            </w:pPr>
            <w:r>
              <w:rPr>
                <w:rFonts w:ascii="FrankRuehl" w:hAnsi="FrankRuehl" w:cs="FrankRuehl" w:hint="cs"/>
                <w:sz w:val="24"/>
                <w:szCs w:val="24"/>
                <w:rtl/>
              </w:rPr>
              <w:t>ח</w:t>
            </w:r>
          </w:p>
        </w:tc>
        <w:tc>
          <w:tcPr>
            <w:tcW w:w="3064" w:type="dxa"/>
          </w:tcPr>
          <w:p w14:paraId="66D4B3A5" w14:textId="77777777" w:rsidR="00A374CC" w:rsidRPr="00A374CC" w:rsidRDefault="00A374CC" w:rsidP="00312F3F">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בניית מבני מגורים ומסחר</w:t>
            </w:r>
          </w:p>
        </w:tc>
        <w:tc>
          <w:tcPr>
            <w:tcW w:w="3065" w:type="dxa"/>
          </w:tcPr>
          <w:p w14:paraId="08FCB6E2" w14:textId="77777777" w:rsidR="00A374CC" w:rsidRPr="00A374CC" w:rsidRDefault="00A374CC" w:rsidP="00312F3F">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 xml:space="preserve">השלב יתבצע לאחר בניית המבנים ומוסדות ציבור המוצעים בתכנית, חניה ציבורית וביצוע </w:t>
            </w:r>
            <w:proofErr w:type="spellStart"/>
            <w:r>
              <w:rPr>
                <w:rFonts w:ascii="FrankRuehl" w:hAnsi="FrankRuehl" w:cs="FrankRuehl" w:hint="cs"/>
                <w:sz w:val="24"/>
                <w:szCs w:val="24"/>
                <w:rtl/>
              </w:rPr>
              <w:t>שצ"פ</w:t>
            </w:r>
            <w:proofErr w:type="spellEnd"/>
            <w:r>
              <w:rPr>
                <w:rFonts w:ascii="FrankRuehl" w:hAnsi="FrankRuehl" w:cs="FrankRuehl" w:hint="cs"/>
                <w:sz w:val="24"/>
                <w:szCs w:val="24"/>
                <w:rtl/>
              </w:rPr>
              <w:t xml:space="preserve"> בהתאם לסעיף 6.5.4 בהוראות התכנית.</w:t>
            </w:r>
          </w:p>
        </w:tc>
      </w:tr>
    </w:tbl>
    <w:p w14:paraId="4ECCD8E7" w14:textId="77777777" w:rsidR="00A374CC" w:rsidRDefault="00A374CC" w:rsidP="008F23E3">
      <w:pPr>
        <w:pStyle w:val="af"/>
        <w:spacing w:line="360" w:lineRule="auto"/>
        <w:ind w:left="470" w:right="-142"/>
        <w:contextualSpacing w:val="0"/>
        <w:jc w:val="both"/>
        <w:rPr>
          <w:rFonts w:cs="David"/>
          <w:sz w:val="24"/>
          <w:szCs w:val="24"/>
          <w:rtl/>
        </w:rPr>
      </w:pPr>
    </w:p>
    <w:p w14:paraId="23A9FD8C" w14:textId="77777777" w:rsidR="00650388" w:rsidRDefault="0084193E" w:rsidP="00650388">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העוררת היא חברה שנוסדה לצורך ייזום הפרויקט במתחם והתקשרה בהסכמים עם בעלי 87% מהזכויות במקרקעין הפרטיים במתחם, המהווים 51% מהמתחם. עיריית הוד השרון </w:t>
      </w:r>
      <w:r w:rsidR="00CC37ED">
        <w:rPr>
          <w:rFonts w:cs="David" w:hint="cs"/>
          <w:sz w:val="24"/>
          <w:szCs w:val="24"/>
          <w:rtl/>
        </w:rPr>
        <w:t>(להלן גם:</w:t>
      </w:r>
      <w:r w:rsidR="00CC37ED">
        <w:rPr>
          <w:rFonts w:cs="David" w:hint="cs"/>
          <w:sz w:val="24"/>
          <w:szCs w:val="24"/>
        </w:rPr>
        <w:t xml:space="preserve"> </w:t>
      </w:r>
      <w:r w:rsidR="00CC37ED">
        <w:rPr>
          <w:rFonts w:cs="David" w:hint="cs"/>
          <w:sz w:val="24"/>
          <w:szCs w:val="24"/>
          <w:rtl/>
        </w:rPr>
        <w:t>"</w:t>
      </w:r>
      <w:r w:rsidR="00CC37ED" w:rsidRPr="00CC37ED">
        <w:rPr>
          <w:rFonts w:cs="David" w:hint="cs"/>
          <w:b/>
          <w:bCs/>
          <w:sz w:val="24"/>
          <w:szCs w:val="24"/>
          <w:rtl/>
        </w:rPr>
        <w:t>העירייה</w:t>
      </w:r>
      <w:r w:rsidR="00CC37ED">
        <w:rPr>
          <w:rFonts w:cs="David" w:hint="cs"/>
          <w:sz w:val="24"/>
          <w:szCs w:val="24"/>
          <w:rtl/>
        </w:rPr>
        <w:t>")</w:t>
      </w:r>
      <w:r w:rsidR="00CC37ED">
        <w:rPr>
          <w:rFonts w:cs="David" w:hint="cs"/>
          <w:sz w:val="24"/>
          <w:szCs w:val="24"/>
        </w:rPr>
        <w:t xml:space="preserve"> </w:t>
      </w:r>
      <w:r>
        <w:rPr>
          <w:rFonts w:cs="David" w:hint="cs"/>
          <w:sz w:val="24"/>
          <w:szCs w:val="24"/>
          <w:rtl/>
        </w:rPr>
        <w:t xml:space="preserve">הינה בעלים של 49% מהזכויות במתחם. </w:t>
      </w:r>
    </w:p>
    <w:p w14:paraId="4B709F5A" w14:textId="77777777" w:rsidR="00E76AB7" w:rsidRPr="00E76AB7" w:rsidRDefault="0079583F" w:rsidP="00FB763B">
      <w:pPr>
        <w:pStyle w:val="af"/>
        <w:numPr>
          <w:ilvl w:val="0"/>
          <w:numId w:val="1"/>
        </w:numPr>
        <w:spacing w:line="360" w:lineRule="auto"/>
        <w:ind w:right="-142"/>
        <w:contextualSpacing w:val="0"/>
        <w:jc w:val="both"/>
        <w:rPr>
          <w:rFonts w:cs="David"/>
          <w:sz w:val="24"/>
          <w:szCs w:val="24"/>
        </w:rPr>
      </w:pPr>
      <w:r w:rsidRPr="00E76AB7">
        <w:rPr>
          <w:rFonts w:cs="David" w:hint="cs"/>
          <w:sz w:val="24"/>
          <w:szCs w:val="24"/>
          <w:rtl/>
        </w:rPr>
        <w:t xml:space="preserve">לאחר אישור התוכנית </w:t>
      </w:r>
      <w:proofErr w:type="spellStart"/>
      <w:r w:rsidRPr="00E76AB7">
        <w:rPr>
          <w:rFonts w:cs="David" w:hint="cs"/>
          <w:sz w:val="24"/>
          <w:szCs w:val="24"/>
          <w:rtl/>
        </w:rPr>
        <w:t>המתארית</w:t>
      </w:r>
      <w:proofErr w:type="spellEnd"/>
      <w:r w:rsidRPr="00E76AB7">
        <w:rPr>
          <w:rFonts w:cs="David" w:hint="cs"/>
          <w:sz w:val="24"/>
          <w:szCs w:val="24"/>
          <w:rtl/>
        </w:rPr>
        <w:t xml:space="preserve"> </w:t>
      </w:r>
      <w:r w:rsidR="00E407FC" w:rsidRPr="00E76AB7">
        <w:rPr>
          <w:rFonts w:cs="David" w:hint="cs"/>
          <w:sz w:val="24"/>
          <w:szCs w:val="24"/>
          <w:rtl/>
        </w:rPr>
        <w:t>הוחל</w:t>
      </w:r>
      <w:r w:rsidRPr="00E76AB7">
        <w:rPr>
          <w:rFonts w:cs="David" w:hint="cs"/>
          <w:sz w:val="24"/>
          <w:szCs w:val="24"/>
          <w:rtl/>
        </w:rPr>
        <w:t xml:space="preserve"> בקידום הכנת התוכנית המפורטת</w:t>
      </w:r>
      <w:r w:rsidR="00E407FC" w:rsidRPr="00E76AB7">
        <w:rPr>
          <w:rFonts w:cs="David" w:hint="cs"/>
          <w:sz w:val="24"/>
          <w:szCs w:val="24"/>
          <w:rtl/>
        </w:rPr>
        <w:t xml:space="preserve">, תוך שינוי הוראות השלביות שנקבעו בתוכנית </w:t>
      </w:r>
      <w:proofErr w:type="spellStart"/>
      <w:r w:rsidR="00E407FC" w:rsidRPr="00E76AB7">
        <w:rPr>
          <w:rFonts w:cs="David" w:hint="cs"/>
          <w:sz w:val="24"/>
          <w:szCs w:val="24"/>
          <w:rtl/>
        </w:rPr>
        <w:t>המתארית</w:t>
      </w:r>
      <w:proofErr w:type="spellEnd"/>
      <w:r w:rsidRPr="00E76AB7">
        <w:rPr>
          <w:rFonts w:cs="David" w:hint="cs"/>
          <w:sz w:val="24"/>
          <w:szCs w:val="24"/>
          <w:rtl/>
        </w:rPr>
        <w:t xml:space="preserve">. </w:t>
      </w:r>
      <w:r w:rsidR="00E76AB7" w:rsidRPr="00E76AB7">
        <w:rPr>
          <w:rFonts w:cs="David" w:hint="cs"/>
          <w:sz w:val="24"/>
          <w:szCs w:val="24"/>
          <w:rtl/>
        </w:rPr>
        <w:t>בשל שינוי זה הוגשה התוכנית המפורטת במקור כתוכנית בסמכות ועדה מחוזית</w:t>
      </w:r>
      <w:r w:rsidR="00E76AB7">
        <w:rPr>
          <w:rFonts w:cs="David" w:hint="cs"/>
          <w:sz w:val="24"/>
          <w:szCs w:val="24"/>
          <w:rtl/>
        </w:rPr>
        <w:t>.</w:t>
      </w:r>
    </w:p>
    <w:p w14:paraId="3A9E2214" w14:textId="77777777" w:rsidR="00E407FC" w:rsidRDefault="00E407FC" w:rsidP="008A2521">
      <w:pPr>
        <w:pStyle w:val="af"/>
        <w:numPr>
          <w:ilvl w:val="0"/>
          <w:numId w:val="1"/>
        </w:numPr>
        <w:spacing w:line="360" w:lineRule="auto"/>
        <w:ind w:right="-142"/>
        <w:contextualSpacing w:val="0"/>
        <w:jc w:val="both"/>
        <w:rPr>
          <w:rFonts w:cs="David"/>
          <w:sz w:val="24"/>
          <w:szCs w:val="24"/>
        </w:rPr>
      </w:pPr>
      <w:proofErr w:type="spellStart"/>
      <w:r>
        <w:rPr>
          <w:rFonts w:cs="David" w:hint="cs"/>
          <w:sz w:val="24"/>
          <w:szCs w:val="24"/>
          <w:rtl/>
        </w:rPr>
        <w:t>גירסה</w:t>
      </w:r>
      <w:proofErr w:type="spellEnd"/>
      <w:r>
        <w:rPr>
          <w:rFonts w:cs="David" w:hint="cs"/>
          <w:sz w:val="24"/>
          <w:szCs w:val="24"/>
          <w:rtl/>
        </w:rPr>
        <w:t xml:space="preserve"> ראשונה של </w:t>
      </w:r>
      <w:proofErr w:type="spellStart"/>
      <w:r>
        <w:rPr>
          <w:rFonts w:cs="David" w:hint="cs"/>
          <w:sz w:val="24"/>
          <w:szCs w:val="24"/>
          <w:rtl/>
        </w:rPr>
        <w:t>תוכנית</w:t>
      </w:r>
      <w:proofErr w:type="spellEnd"/>
      <w:r>
        <w:rPr>
          <w:rFonts w:cs="David" w:hint="cs"/>
          <w:sz w:val="24"/>
          <w:szCs w:val="24"/>
          <w:rtl/>
        </w:rPr>
        <w:t xml:space="preserve"> מפורטת הובאה לדיון בוועדת המשנה של הוועדה המקומית ביום 10.12.2017. בדיון זה החליטה ועדת המשנה להצטרף כמגישת התוכנית המפורטת לאחר שייחתם הסכם בין העוררת לעיריית הוד השרון כדלקמן:</w:t>
      </w:r>
    </w:p>
    <w:p w14:paraId="5F8E1FB2" w14:textId="77777777" w:rsidR="00E407FC" w:rsidRPr="00174575" w:rsidRDefault="00E407FC" w:rsidP="00174575">
      <w:pPr>
        <w:pStyle w:val="af1"/>
        <w:spacing w:after="120" w:line="240" w:lineRule="auto"/>
        <w:ind w:left="1179" w:right="992"/>
        <w:rPr>
          <w:rtl/>
        </w:rPr>
      </w:pPr>
      <w:r w:rsidRPr="00174575">
        <w:rPr>
          <w:rFonts w:hint="cs"/>
          <w:rtl/>
        </w:rPr>
        <w:t>"החלטה:</w:t>
      </w:r>
    </w:p>
    <w:p w14:paraId="6A62E5F9" w14:textId="77777777" w:rsidR="00E407FC" w:rsidRPr="00174575" w:rsidRDefault="00E407FC" w:rsidP="00174575">
      <w:pPr>
        <w:pStyle w:val="af1"/>
        <w:spacing w:after="120" w:line="240" w:lineRule="auto"/>
        <w:ind w:left="1179" w:right="992"/>
        <w:rPr>
          <w:rtl/>
        </w:rPr>
      </w:pPr>
      <w:r w:rsidRPr="00174575">
        <w:rPr>
          <w:rFonts w:hint="cs"/>
          <w:rtl/>
        </w:rPr>
        <w:t>1. הוועדה המקומית רואה בחיוב הצטרפותה כמגישת התכנית, וזאת כיוון שהתכנית עומדת בתנאי הסף והקריטריונים שנקבעו להצטרפות הוועדה כמגישת התכנית.</w:t>
      </w:r>
    </w:p>
    <w:p w14:paraId="6F1D7A64" w14:textId="77777777" w:rsidR="00E407FC" w:rsidRPr="00174575" w:rsidRDefault="00E407FC" w:rsidP="00174575">
      <w:pPr>
        <w:pStyle w:val="af1"/>
        <w:spacing w:after="120" w:line="240" w:lineRule="auto"/>
        <w:ind w:left="1179" w:right="992"/>
        <w:rPr>
          <w:rtl/>
        </w:rPr>
      </w:pPr>
      <w:r w:rsidRPr="00174575">
        <w:rPr>
          <w:rFonts w:hint="cs"/>
          <w:rtl/>
        </w:rPr>
        <w:t xml:space="preserve">2. הוועדה תחליט על הצטרפותה כמגישת תכנית רק לאחר שיחתם הסכם בין הצדדים על הפרטים הכרוכים </w:t>
      </w:r>
      <w:r w:rsidR="00174575" w:rsidRPr="00174575">
        <w:rPr>
          <w:rFonts w:hint="cs"/>
          <w:rtl/>
        </w:rPr>
        <w:t xml:space="preserve">בהצטרפותה כמגישת תכנית, ובהתאם לתנאים והמטלות המפורטות בתכנית </w:t>
      </w:r>
      <w:proofErr w:type="spellStart"/>
      <w:r w:rsidR="00174575" w:rsidRPr="00174575">
        <w:rPr>
          <w:rFonts w:hint="cs"/>
          <w:rtl/>
        </w:rPr>
        <w:t>המתארית</w:t>
      </w:r>
      <w:proofErr w:type="spellEnd"/>
      <w:r w:rsidR="00174575" w:rsidRPr="00174575">
        <w:rPr>
          <w:rFonts w:hint="cs"/>
          <w:rtl/>
        </w:rPr>
        <w:t xml:space="preserve"> הר/52/88 המאושרת למתחם בני ברית.</w:t>
      </w:r>
    </w:p>
    <w:p w14:paraId="58ED2E9C" w14:textId="77777777" w:rsidR="00174575" w:rsidRPr="00174575" w:rsidRDefault="00174575" w:rsidP="00174575">
      <w:pPr>
        <w:pStyle w:val="af1"/>
        <w:spacing w:after="240" w:line="240" w:lineRule="auto"/>
        <w:ind w:left="1179" w:right="992"/>
      </w:pPr>
      <w:r w:rsidRPr="00174575">
        <w:rPr>
          <w:rFonts w:hint="cs"/>
          <w:rtl/>
        </w:rPr>
        <w:t>ההחלטה התקבלה פה אחד."</w:t>
      </w:r>
    </w:p>
    <w:p w14:paraId="1E220040" w14:textId="77777777" w:rsidR="008767CB" w:rsidRPr="00E76AB7" w:rsidRDefault="0079583F" w:rsidP="00702BDF">
      <w:pPr>
        <w:pStyle w:val="af"/>
        <w:numPr>
          <w:ilvl w:val="0"/>
          <w:numId w:val="1"/>
        </w:numPr>
        <w:spacing w:after="120" w:line="360" w:lineRule="auto"/>
        <w:ind w:left="470" w:right="-142" w:hanging="425"/>
        <w:contextualSpacing w:val="0"/>
        <w:jc w:val="both"/>
        <w:rPr>
          <w:rFonts w:cs="David"/>
          <w:sz w:val="24"/>
          <w:szCs w:val="24"/>
        </w:rPr>
      </w:pPr>
      <w:r w:rsidRPr="00E76AB7">
        <w:rPr>
          <w:rFonts w:cs="David" w:hint="cs"/>
          <w:sz w:val="24"/>
          <w:szCs w:val="24"/>
          <w:rtl/>
        </w:rPr>
        <w:t xml:space="preserve">ביום 30.5.2021 </w:t>
      </w:r>
      <w:r w:rsidR="00E407FC" w:rsidRPr="00E76AB7">
        <w:rPr>
          <w:rFonts w:cs="David" w:hint="cs"/>
          <w:sz w:val="24"/>
          <w:szCs w:val="24"/>
          <w:rtl/>
        </w:rPr>
        <w:t xml:space="preserve">הובאה </w:t>
      </w:r>
      <w:proofErr w:type="spellStart"/>
      <w:r w:rsidR="00174575" w:rsidRPr="00E76AB7">
        <w:rPr>
          <w:rFonts w:cs="David" w:hint="cs"/>
          <w:sz w:val="24"/>
          <w:szCs w:val="24"/>
          <w:rtl/>
        </w:rPr>
        <w:t>גירסה</w:t>
      </w:r>
      <w:proofErr w:type="spellEnd"/>
      <w:r w:rsidR="00174575" w:rsidRPr="00E76AB7">
        <w:rPr>
          <w:rFonts w:cs="David" w:hint="cs"/>
          <w:sz w:val="24"/>
          <w:szCs w:val="24"/>
          <w:rtl/>
        </w:rPr>
        <w:t xml:space="preserve"> מעודכנת של </w:t>
      </w:r>
      <w:r w:rsidR="00E407FC" w:rsidRPr="00E76AB7">
        <w:rPr>
          <w:rFonts w:cs="David" w:hint="cs"/>
          <w:sz w:val="24"/>
          <w:szCs w:val="24"/>
          <w:rtl/>
        </w:rPr>
        <w:t>ה</w:t>
      </w:r>
      <w:r w:rsidRPr="00E76AB7">
        <w:rPr>
          <w:rFonts w:cs="David" w:hint="cs"/>
          <w:sz w:val="24"/>
          <w:szCs w:val="24"/>
          <w:rtl/>
        </w:rPr>
        <w:t>תוכנית המפורטת לדיון בפני הוועדה המקומית</w:t>
      </w:r>
      <w:r w:rsidR="00FD7007" w:rsidRPr="00E76AB7">
        <w:rPr>
          <w:rFonts w:cs="David" w:hint="cs"/>
          <w:sz w:val="24"/>
          <w:szCs w:val="24"/>
          <w:rtl/>
        </w:rPr>
        <w:t>.</w:t>
      </w:r>
      <w:r w:rsidR="00E76AB7" w:rsidRPr="00E76AB7">
        <w:rPr>
          <w:rFonts w:cs="David" w:hint="cs"/>
          <w:sz w:val="24"/>
          <w:szCs w:val="24"/>
          <w:rtl/>
        </w:rPr>
        <w:t xml:space="preserve"> </w:t>
      </w:r>
      <w:r w:rsidR="008767CB" w:rsidRPr="00E76AB7">
        <w:rPr>
          <w:rFonts w:cs="David" w:hint="cs"/>
          <w:sz w:val="24"/>
          <w:szCs w:val="24"/>
          <w:rtl/>
        </w:rPr>
        <w:t>כך נרשם בדברי ההסבר של התוכנית המפורטת:</w:t>
      </w:r>
    </w:p>
    <w:p w14:paraId="1970481B" w14:textId="77777777" w:rsidR="008767CB" w:rsidRDefault="008767CB" w:rsidP="008767CB">
      <w:pPr>
        <w:pStyle w:val="af1"/>
        <w:spacing w:after="120" w:line="240" w:lineRule="auto"/>
        <w:ind w:left="1179" w:right="992"/>
        <w:rPr>
          <w:rtl/>
        </w:rPr>
      </w:pPr>
      <w:r>
        <w:rPr>
          <w:rFonts w:hint="cs"/>
          <w:rtl/>
        </w:rPr>
        <w:t>"מתחם בני ברית ממוקם בצומת הרחובות הבנים ובני ברית. כיום קיימים במתחם מבני ציבור, הכוללים גני ילדים ואת משרדי עמותת בני ברית, וכן מרכז מסחרי, חניה ציבורית וגינה.</w:t>
      </w:r>
    </w:p>
    <w:p w14:paraId="038AF7C6" w14:textId="77777777" w:rsidR="008767CB" w:rsidRDefault="008767CB" w:rsidP="008767CB">
      <w:pPr>
        <w:pStyle w:val="af1"/>
        <w:spacing w:after="120" w:line="240" w:lineRule="auto"/>
        <w:ind w:left="1179" w:right="992"/>
        <w:rPr>
          <w:rtl/>
        </w:rPr>
      </w:pPr>
      <w:r>
        <w:rPr>
          <w:rFonts w:hint="cs"/>
          <w:rtl/>
        </w:rPr>
        <w:lastRenderedPageBreak/>
        <w:t xml:space="preserve">בשנת 2015 אושרה תכנית מתאר מקומית במתחם (הר/52/88), אשר שינתה את </w:t>
      </w:r>
      <w:proofErr w:type="spellStart"/>
      <w:r>
        <w:rPr>
          <w:rFonts w:hint="cs"/>
          <w:rtl/>
        </w:rPr>
        <w:t>יעודי</w:t>
      </w:r>
      <w:proofErr w:type="spellEnd"/>
      <w:r>
        <w:rPr>
          <w:rFonts w:hint="cs"/>
          <w:rtl/>
        </w:rPr>
        <w:t xml:space="preserve"> הקרקע במתחם ואת מיקומם. בתכנית זו נקבע </w:t>
      </w:r>
      <w:proofErr w:type="spellStart"/>
      <w:r>
        <w:rPr>
          <w:rFonts w:hint="cs"/>
          <w:rtl/>
        </w:rPr>
        <w:t>שצ"פ</w:t>
      </w:r>
      <w:proofErr w:type="spellEnd"/>
      <w:r>
        <w:rPr>
          <w:rFonts w:hint="cs"/>
          <w:rtl/>
        </w:rPr>
        <w:t xml:space="preserve"> בפינה הצפון מזרחית (בצמוד לצומת), סביבו אזור מגורים ומסחר, ובחלק הדרומי של התכנית חניון ושטחי ציבור.</w:t>
      </w:r>
    </w:p>
    <w:p w14:paraId="055010BE" w14:textId="77777777" w:rsidR="008767CB" w:rsidRDefault="008767CB" w:rsidP="008767CB">
      <w:pPr>
        <w:pStyle w:val="af1"/>
        <w:spacing w:line="240" w:lineRule="auto"/>
      </w:pPr>
      <w:r>
        <w:rPr>
          <w:rFonts w:hint="cs"/>
          <w:rtl/>
        </w:rPr>
        <w:t>תכנית המתאר המקומית קבעה הוראות להכנת תכנית מפורטת לאיחוד וחלוקה. תכנית זו הינה התכנית המפורטת, אשר מטרתה הינה פירוט תכנית המתאר המקומית לעניין איחוד וחלוקת השטח, כולל טבלאות איזון וחלוקה, וכן פירוט הוראות הבינוי והתנאים להוצאת היתרי בניה ואכלוס. לפחות 20% מתוך 140 יח"ד תהיינה דירות ששטחן הכולל (עיקרי + שירות) לא יעלה על 75 מ"ר לדירה."</w:t>
      </w:r>
    </w:p>
    <w:p w14:paraId="6B9F0A22" w14:textId="77777777" w:rsidR="008767CB" w:rsidRPr="00312F3F" w:rsidRDefault="008767CB" w:rsidP="008767CB">
      <w:pPr>
        <w:pStyle w:val="af"/>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התוכנית המפורטת כוללת,</w:t>
      </w:r>
      <w:r w:rsidRPr="00312F3F">
        <w:rPr>
          <w:rFonts w:cs="David" w:hint="cs"/>
          <w:sz w:val="24"/>
          <w:szCs w:val="24"/>
          <w:rtl/>
        </w:rPr>
        <w:t xml:space="preserve"> בין השאר, </w:t>
      </w:r>
      <w:r>
        <w:rPr>
          <w:rFonts w:cs="David" w:hint="cs"/>
          <w:sz w:val="24"/>
          <w:szCs w:val="24"/>
          <w:rtl/>
        </w:rPr>
        <w:t>את ה</w:t>
      </w:r>
      <w:r w:rsidRPr="00312F3F">
        <w:rPr>
          <w:rFonts w:cs="David" w:hint="cs"/>
          <w:sz w:val="24"/>
          <w:szCs w:val="24"/>
          <w:rtl/>
        </w:rPr>
        <w:t>שינויים הבאים</w:t>
      </w:r>
      <w:r>
        <w:rPr>
          <w:rFonts w:cs="David" w:hint="cs"/>
          <w:sz w:val="24"/>
          <w:szCs w:val="24"/>
          <w:rtl/>
        </w:rPr>
        <w:t xml:space="preserve"> ביחס לתוכנית </w:t>
      </w:r>
      <w:proofErr w:type="spellStart"/>
      <w:r>
        <w:rPr>
          <w:rFonts w:cs="David" w:hint="cs"/>
          <w:sz w:val="24"/>
          <w:szCs w:val="24"/>
          <w:rtl/>
        </w:rPr>
        <w:t>המתארית</w:t>
      </w:r>
      <w:proofErr w:type="spellEnd"/>
      <w:r w:rsidRPr="00312F3F">
        <w:rPr>
          <w:rFonts w:cs="David" w:hint="cs"/>
          <w:sz w:val="24"/>
          <w:szCs w:val="24"/>
          <w:rtl/>
        </w:rPr>
        <w:t>:</w:t>
      </w:r>
    </w:p>
    <w:p w14:paraId="4F54B4A2" w14:textId="77777777" w:rsidR="008767CB" w:rsidRDefault="008767CB" w:rsidP="008767CB">
      <w:pPr>
        <w:pStyle w:val="af"/>
        <w:numPr>
          <w:ilvl w:val="1"/>
          <w:numId w:val="1"/>
        </w:numPr>
        <w:spacing w:after="120" w:line="360" w:lineRule="auto"/>
        <w:ind w:left="1035" w:right="-142" w:hanging="630"/>
        <w:contextualSpacing w:val="0"/>
        <w:jc w:val="both"/>
        <w:rPr>
          <w:rFonts w:cs="David"/>
          <w:sz w:val="24"/>
          <w:szCs w:val="24"/>
        </w:rPr>
      </w:pPr>
      <w:r>
        <w:rPr>
          <w:rFonts w:cs="David" w:hint="cs"/>
          <w:sz w:val="24"/>
          <w:szCs w:val="24"/>
          <w:rtl/>
        </w:rPr>
        <w:t>הגדלת השטח המיועד למבנים ומוסדות ציבור על חשבון החניון הציבורי.</w:t>
      </w:r>
    </w:p>
    <w:p w14:paraId="7FA29579" w14:textId="77777777" w:rsidR="008767CB" w:rsidRDefault="008767CB" w:rsidP="008767CB">
      <w:pPr>
        <w:pStyle w:val="af"/>
        <w:numPr>
          <w:ilvl w:val="1"/>
          <w:numId w:val="1"/>
        </w:numPr>
        <w:spacing w:after="120" w:line="360" w:lineRule="auto"/>
        <w:ind w:left="1035" w:right="-142" w:hanging="630"/>
        <w:contextualSpacing w:val="0"/>
        <w:jc w:val="both"/>
        <w:rPr>
          <w:rFonts w:cs="David"/>
          <w:sz w:val="24"/>
          <w:szCs w:val="24"/>
        </w:rPr>
      </w:pPr>
      <w:r>
        <w:rPr>
          <w:rFonts w:cs="David" w:hint="cs"/>
          <w:sz w:val="24"/>
          <w:szCs w:val="24"/>
          <w:rtl/>
        </w:rPr>
        <w:t>תוספת קומות למבני ציבור ותוספת קומות לשטח בייעוד מגורים ומסחר.</w:t>
      </w:r>
    </w:p>
    <w:p w14:paraId="1B4D2F02" w14:textId="77777777" w:rsidR="008767CB" w:rsidRDefault="008767CB" w:rsidP="008767CB">
      <w:pPr>
        <w:pStyle w:val="af"/>
        <w:numPr>
          <w:ilvl w:val="1"/>
          <w:numId w:val="1"/>
        </w:numPr>
        <w:spacing w:after="120" w:line="360" w:lineRule="auto"/>
        <w:ind w:left="1035" w:right="-142" w:hanging="630"/>
        <w:contextualSpacing w:val="0"/>
        <w:jc w:val="both"/>
        <w:rPr>
          <w:rFonts w:cs="David"/>
          <w:sz w:val="24"/>
          <w:szCs w:val="24"/>
        </w:rPr>
      </w:pPr>
      <w:r>
        <w:rPr>
          <w:rFonts w:cs="David" w:hint="cs"/>
          <w:sz w:val="24"/>
          <w:szCs w:val="24"/>
          <w:rtl/>
        </w:rPr>
        <w:t>תוספת שטחי מסחר, הגדלת זכויות הבנייה העיקריות ושטחי השירות התת קרקעיים במבני הציבור</w:t>
      </w:r>
    </w:p>
    <w:p w14:paraId="7B111080" w14:textId="77777777" w:rsidR="008767CB" w:rsidRDefault="008767CB" w:rsidP="008767CB">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בנוסף כוללת התוכנית המפורטת שינוי של הוראות הבנייה ושל הוראות השלביות, כך שהקמת מבני הציבור והשטחים הסחירים במתחם 1 תוכל להתבצע במקביל ובהינף אחד. סעיף 7.1 להוראות התוכנית המפורטת קובע כך בהקשר זה:</w:t>
      </w:r>
    </w:p>
    <w:tbl>
      <w:tblPr>
        <w:tblStyle w:val="af0"/>
        <w:bidiVisual/>
        <w:tblW w:w="6951" w:type="dxa"/>
        <w:tblInd w:w="726" w:type="dxa"/>
        <w:tblLook w:val="04A0" w:firstRow="1" w:lastRow="0" w:firstColumn="1" w:lastColumn="0" w:noHBand="0" w:noVBand="1"/>
      </w:tblPr>
      <w:tblGrid>
        <w:gridCol w:w="822"/>
        <w:gridCol w:w="3064"/>
        <w:gridCol w:w="3065"/>
      </w:tblGrid>
      <w:tr w:rsidR="008767CB" w:rsidRPr="00A374CC" w14:paraId="61A9B40E" w14:textId="77777777" w:rsidTr="00D63D78">
        <w:tc>
          <w:tcPr>
            <w:tcW w:w="822" w:type="dxa"/>
          </w:tcPr>
          <w:p w14:paraId="58B30838" w14:textId="77777777" w:rsidR="008767CB" w:rsidRPr="00A374CC" w:rsidRDefault="008767CB" w:rsidP="00D63D78">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7.1</w:t>
            </w:r>
          </w:p>
        </w:tc>
        <w:tc>
          <w:tcPr>
            <w:tcW w:w="6129" w:type="dxa"/>
            <w:gridSpan w:val="2"/>
          </w:tcPr>
          <w:p w14:paraId="674F20C9" w14:textId="77777777" w:rsidR="008767CB" w:rsidRPr="00A374CC" w:rsidRDefault="008767CB" w:rsidP="00D63D78">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שלבי ביצוע</w:t>
            </w:r>
          </w:p>
        </w:tc>
      </w:tr>
      <w:tr w:rsidR="008767CB" w:rsidRPr="00A374CC" w14:paraId="27DC0154" w14:textId="77777777" w:rsidTr="00D63D78">
        <w:tc>
          <w:tcPr>
            <w:tcW w:w="822" w:type="dxa"/>
          </w:tcPr>
          <w:p w14:paraId="466D72A6" w14:textId="77777777" w:rsidR="008767CB" w:rsidRPr="00A374CC" w:rsidRDefault="008767CB" w:rsidP="00D63D78">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מספר שלב</w:t>
            </w:r>
          </w:p>
        </w:tc>
        <w:tc>
          <w:tcPr>
            <w:tcW w:w="3064" w:type="dxa"/>
          </w:tcPr>
          <w:p w14:paraId="6FD423EB" w14:textId="77777777" w:rsidR="008767CB" w:rsidRPr="00A374CC" w:rsidRDefault="008767CB" w:rsidP="00D63D78">
            <w:pPr>
              <w:pStyle w:val="af"/>
              <w:spacing w:after="120"/>
              <w:ind w:left="0" w:right="-142"/>
              <w:contextualSpacing w:val="0"/>
              <w:jc w:val="both"/>
              <w:rPr>
                <w:rFonts w:ascii="FrankRuehl" w:hAnsi="FrankRuehl" w:cs="FrankRuehl"/>
                <w:b/>
                <w:bCs/>
                <w:sz w:val="24"/>
                <w:szCs w:val="24"/>
                <w:rtl/>
              </w:rPr>
            </w:pPr>
            <w:r w:rsidRPr="00A374CC">
              <w:rPr>
                <w:rFonts w:ascii="FrankRuehl" w:hAnsi="FrankRuehl" w:cs="FrankRuehl" w:hint="cs"/>
                <w:b/>
                <w:bCs/>
                <w:sz w:val="24"/>
                <w:szCs w:val="24"/>
                <w:rtl/>
              </w:rPr>
              <w:t>תיאור שלב</w:t>
            </w:r>
          </w:p>
        </w:tc>
        <w:tc>
          <w:tcPr>
            <w:tcW w:w="3065" w:type="dxa"/>
          </w:tcPr>
          <w:p w14:paraId="3872D181" w14:textId="77777777" w:rsidR="008767CB" w:rsidRPr="00A374CC" w:rsidRDefault="008767CB" w:rsidP="00D63D78">
            <w:pPr>
              <w:pStyle w:val="af"/>
              <w:spacing w:after="120"/>
              <w:ind w:left="0" w:right="-142"/>
              <w:contextualSpacing w:val="0"/>
              <w:jc w:val="both"/>
              <w:rPr>
                <w:rFonts w:ascii="FrankRuehl" w:hAnsi="FrankRuehl" w:cs="FrankRuehl"/>
                <w:b/>
                <w:bCs/>
                <w:sz w:val="24"/>
                <w:szCs w:val="24"/>
                <w:rtl/>
              </w:rPr>
            </w:pPr>
            <w:proofErr w:type="spellStart"/>
            <w:r w:rsidRPr="00A374CC">
              <w:rPr>
                <w:rFonts w:ascii="FrankRuehl" w:hAnsi="FrankRuehl" w:cs="FrankRuehl" w:hint="cs"/>
                <w:b/>
                <w:bCs/>
                <w:sz w:val="24"/>
                <w:szCs w:val="24"/>
                <w:rtl/>
              </w:rPr>
              <w:t>התנייה</w:t>
            </w:r>
            <w:proofErr w:type="spellEnd"/>
          </w:p>
        </w:tc>
      </w:tr>
      <w:tr w:rsidR="008767CB" w:rsidRPr="00A374CC" w14:paraId="4D8436C4" w14:textId="77777777" w:rsidTr="00D63D78">
        <w:tblPrEx>
          <w:tblCellMar>
            <w:left w:w="397" w:type="dxa"/>
          </w:tblCellMar>
        </w:tblPrEx>
        <w:tc>
          <w:tcPr>
            <w:tcW w:w="822" w:type="dxa"/>
          </w:tcPr>
          <w:p w14:paraId="3E2BC796" w14:textId="77777777" w:rsidR="008767CB" w:rsidRPr="00A374CC" w:rsidRDefault="008767CB" w:rsidP="00D63D78">
            <w:pPr>
              <w:pStyle w:val="af"/>
              <w:spacing w:after="120"/>
              <w:ind w:left="0" w:right="-142"/>
              <w:contextualSpacing w:val="0"/>
              <w:jc w:val="center"/>
              <w:rPr>
                <w:rFonts w:ascii="FrankRuehl" w:hAnsi="FrankRuehl" w:cs="FrankRuehl"/>
                <w:sz w:val="24"/>
                <w:szCs w:val="24"/>
                <w:rtl/>
              </w:rPr>
            </w:pPr>
            <w:r>
              <w:rPr>
                <w:rFonts w:ascii="FrankRuehl" w:hAnsi="FrankRuehl" w:cs="FrankRuehl" w:hint="cs"/>
                <w:sz w:val="24"/>
                <w:szCs w:val="24"/>
                <w:rtl/>
              </w:rPr>
              <w:t>1</w:t>
            </w:r>
          </w:p>
        </w:tc>
        <w:tc>
          <w:tcPr>
            <w:tcW w:w="3064" w:type="dxa"/>
          </w:tcPr>
          <w:p w14:paraId="309497B1" w14:textId="77777777" w:rsidR="008767CB" w:rsidRPr="00A374CC" w:rsidRDefault="008767CB" w:rsidP="00D63D78">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הוצאת היתר הריסה לכלל המבנים בתחום התכנית והריסת כלל המבנים בפועל.</w:t>
            </w:r>
          </w:p>
        </w:tc>
        <w:tc>
          <w:tcPr>
            <w:tcW w:w="3065" w:type="dxa"/>
          </w:tcPr>
          <w:p w14:paraId="4F8C1EBE" w14:textId="77777777" w:rsidR="008767CB" w:rsidRPr="00A374CC" w:rsidRDefault="008767CB" w:rsidP="00D63D78">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מציאת פתרון למבני הציבור המתפנים.</w:t>
            </w:r>
          </w:p>
        </w:tc>
      </w:tr>
      <w:tr w:rsidR="008767CB" w:rsidRPr="00A374CC" w14:paraId="24B017CB" w14:textId="77777777" w:rsidTr="00D63D78">
        <w:tblPrEx>
          <w:tblCellMar>
            <w:left w:w="397" w:type="dxa"/>
          </w:tblCellMar>
        </w:tblPrEx>
        <w:tc>
          <w:tcPr>
            <w:tcW w:w="822" w:type="dxa"/>
          </w:tcPr>
          <w:p w14:paraId="6435CB94" w14:textId="77777777" w:rsidR="008767CB" w:rsidRPr="00A374CC" w:rsidRDefault="008767CB" w:rsidP="00D63D78">
            <w:pPr>
              <w:pStyle w:val="af"/>
              <w:spacing w:after="120"/>
              <w:ind w:left="0" w:right="-142"/>
              <w:contextualSpacing w:val="0"/>
              <w:jc w:val="center"/>
              <w:rPr>
                <w:rFonts w:ascii="FrankRuehl" w:hAnsi="FrankRuehl" w:cs="FrankRuehl"/>
                <w:sz w:val="24"/>
                <w:szCs w:val="24"/>
                <w:rtl/>
              </w:rPr>
            </w:pPr>
            <w:r>
              <w:rPr>
                <w:rFonts w:ascii="FrankRuehl" w:hAnsi="FrankRuehl" w:cs="FrankRuehl" w:hint="cs"/>
                <w:sz w:val="24"/>
                <w:szCs w:val="24"/>
                <w:rtl/>
              </w:rPr>
              <w:t>2</w:t>
            </w:r>
          </w:p>
        </w:tc>
        <w:tc>
          <w:tcPr>
            <w:tcW w:w="3064" w:type="dxa"/>
          </w:tcPr>
          <w:p w14:paraId="7ECFC674" w14:textId="77777777" w:rsidR="008767CB" w:rsidRPr="00A374CC" w:rsidRDefault="008767CB" w:rsidP="00D63D78">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 xml:space="preserve">קבלת היתר בנייה למגורים ומסחר יחד עם היתר למבני ציבור והחניון העילי במתחם 1 (600 מ"ר מבנה ציבור וחניון עילי) ובכל מקרה לא </w:t>
            </w:r>
            <w:proofErr w:type="spellStart"/>
            <w:r>
              <w:rPr>
                <w:rFonts w:ascii="FrankRuehl" w:hAnsi="FrankRuehl" w:cs="FrankRuehl" w:hint="cs"/>
                <w:sz w:val="24"/>
                <w:szCs w:val="24"/>
                <w:rtl/>
              </w:rPr>
              <w:t>ינתן</w:t>
            </w:r>
            <w:proofErr w:type="spellEnd"/>
            <w:r>
              <w:rPr>
                <w:rFonts w:ascii="FrankRuehl" w:hAnsi="FrankRuehl" w:cs="FrankRuehl" w:hint="cs"/>
                <w:sz w:val="24"/>
                <w:szCs w:val="24"/>
                <w:rtl/>
              </w:rPr>
              <w:t xml:space="preserve"> היתר למגורים לפני ההיתר למבני הציבור.</w:t>
            </w:r>
          </w:p>
        </w:tc>
        <w:tc>
          <w:tcPr>
            <w:tcW w:w="3065" w:type="dxa"/>
          </w:tcPr>
          <w:p w14:paraId="03FD3A3E" w14:textId="77777777" w:rsidR="008767CB" w:rsidRPr="00A374CC" w:rsidRDefault="008767CB" w:rsidP="00D63D78">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סיום מבני הציבור שבהיתר בתוך 18 חודש. תנאי לסיום שלב מעטפת מבני המגורים (אלומיניום) יהיה סיום מבנה הציבור שבמתחם 1 ומסירתו לידי העירייה.</w:t>
            </w:r>
          </w:p>
        </w:tc>
      </w:tr>
      <w:tr w:rsidR="008767CB" w:rsidRPr="00A374CC" w14:paraId="1BD8DD13" w14:textId="77777777" w:rsidTr="00D63D78">
        <w:tblPrEx>
          <w:tblCellMar>
            <w:left w:w="397" w:type="dxa"/>
          </w:tblCellMar>
        </w:tblPrEx>
        <w:tc>
          <w:tcPr>
            <w:tcW w:w="822" w:type="dxa"/>
          </w:tcPr>
          <w:p w14:paraId="128D943A" w14:textId="77777777" w:rsidR="008767CB" w:rsidRDefault="008767CB" w:rsidP="00D63D78">
            <w:pPr>
              <w:pStyle w:val="af"/>
              <w:spacing w:after="120"/>
              <w:ind w:left="0" w:right="-142"/>
              <w:contextualSpacing w:val="0"/>
              <w:jc w:val="both"/>
              <w:rPr>
                <w:rFonts w:ascii="FrankRuehl" w:hAnsi="FrankRuehl" w:cs="FrankRuehl"/>
                <w:sz w:val="24"/>
                <w:szCs w:val="24"/>
              </w:rPr>
            </w:pPr>
            <w:r>
              <w:rPr>
                <w:rFonts w:ascii="FrankRuehl" w:hAnsi="FrankRuehl" w:cs="FrankRuehl"/>
                <w:sz w:val="24"/>
                <w:szCs w:val="24"/>
              </w:rPr>
              <w:t>3</w:t>
            </w:r>
          </w:p>
        </w:tc>
        <w:tc>
          <w:tcPr>
            <w:tcW w:w="3064" w:type="dxa"/>
          </w:tcPr>
          <w:p w14:paraId="5C7C2180" w14:textId="77777777" w:rsidR="008767CB" w:rsidRDefault="008767CB" w:rsidP="00D63D78">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הקמת מבני הציבור והחניון התת קרקעי ומימוש יתרת הזכויות של העירייה במתחם 2.</w:t>
            </w:r>
          </w:p>
        </w:tc>
        <w:tc>
          <w:tcPr>
            <w:tcW w:w="3065" w:type="dxa"/>
          </w:tcPr>
          <w:p w14:paraId="211E20B1" w14:textId="77777777" w:rsidR="008767CB" w:rsidRDefault="008767CB" w:rsidP="00D63D78">
            <w:pPr>
              <w:pStyle w:val="af"/>
              <w:spacing w:after="120"/>
              <w:ind w:left="0" w:right="-142"/>
              <w:contextualSpacing w:val="0"/>
              <w:jc w:val="both"/>
              <w:rPr>
                <w:rFonts w:ascii="FrankRuehl" w:hAnsi="FrankRuehl" w:cs="FrankRuehl"/>
                <w:sz w:val="24"/>
                <w:szCs w:val="24"/>
                <w:rtl/>
              </w:rPr>
            </w:pPr>
            <w:r>
              <w:rPr>
                <w:rFonts w:ascii="FrankRuehl" w:hAnsi="FrankRuehl" w:cs="FrankRuehl" w:hint="cs"/>
                <w:sz w:val="24"/>
                <w:szCs w:val="24"/>
                <w:rtl/>
              </w:rPr>
              <w:t>יבוצע בהתאם להסכם שיחתם בין היזם והעירייה.</w:t>
            </w:r>
          </w:p>
        </w:tc>
      </w:tr>
    </w:tbl>
    <w:p w14:paraId="69A5F346" w14:textId="77777777" w:rsidR="008767CB" w:rsidRDefault="008767CB" w:rsidP="008767CB">
      <w:pPr>
        <w:pStyle w:val="af"/>
        <w:spacing w:line="360" w:lineRule="auto"/>
        <w:ind w:left="360" w:right="-142"/>
        <w:contextualSpacing w:val="0"/>
        <w:jc w:val="both"/>
        <w:rPr>
          <w:rFonts w:cs="David"/>
          <w:sz w:val="24"/>
          <w:szCs w:val="24"/>
        </w:rPr>
      </w:pPr>
    </w:p>
    <w:p w14:paraId="1E72A850" w14:textId="77777777" w:rsidR="00776172" w:rsidRPr="00592FAB" w:rsidRDefault="00776172" w:rsidP="008767CB">
      <w:pPr>
        <w:pStyle w:val="af"/>
        <w:numPr>
          <w:ilvl w:val="0"/>
          <w:numId w:val="1"/>
        </w:numPr>
        <w:spacing w:line="360" w:lineRule="auto"/>
        <w:ind w:right="-142"/>
        <w:contextualSpacing w:val="0"/>
        <w:jc w:val="both"/>
        <w:rPr>
          <w:rFonts w:cs="David"/>
          <w:sz w:val="24"/>
          <w:szCs w:val="24"/>
        </w:rPr>
      </w:pPr>
      <w:r w:rsidRPr="00592FAB">
        <w:rPr>
          <w:rFonts w:cs="David" w:hint="cs"/>
          <w:sz w:val="24"/>
          <w:szCs w:val="24"/>
          <w:rtl/>
        </w:rPr>
        <w:t>ביום 30.5.2021</w:t>
      </w:r>
      <w:r w:rsidR="008767CB">
        <w:rPr>
          <w:rFonts w:cs="David" w:hint="cs"/>
          <w:sz w:val="24"/>
          <w:szCs w:val="24"/>
          <w:rtl/>
        </w:rPr>
        <w:t xml:space="preserve"> החליטה הוועדה המקומית</w:t>
      </w:r>
      <w:r w:rsidR="00592FAB">
        <w:rPr>
          <w:rFonts w:cs="David" w:hint="cs"/>
          <w:sz w:val="24"/>
          <w:szCs w:val="24"/>
          <w:rtl/>
        </w:rPr>
        <w:t>,</w:t>
      </w:r>
      <w:r w:rsidRPr="00592FAB">
        <w:rPr>
          <w:rFonts w:cs="David" w:hint="cs"/>
          <w:sz w:val="24"/>
          <w:szCs w:val="24"/>
          <w:rtl/>
        </w:rPr>
        <w:t xml:space="preserve"> ברוב קולות</w:t>
      </w:r>
      <w:r w:rsidR="00592FAB">
        <w:rPr>
          <w:rFonts w:cs="David" w:hint="cs"/>
          <w:sz w:val="24"/>
          <w:szCs w:val="24"/>
          <w:rtl/>
        </w:rPr>
        <w:t>,</w:t>
      </w:r>
      <w:r w:rsidRPr="00592FAB">
        <w:rPr>
          <w:rFonts w:cs="David" w:hint="cs"/>
          <w:sz w:val="24"/>
          <w:szCs w:val="24"/>
          <w:rtl/>
        </w:rPr>
        <w:t xml:space="preserve"> </w:t>
      </w:r>
      <w:r w:rsidR="00FD7007">
        <w:rPr>
          <w:rFonts w:cs="David" w:hint="cs"/>
          <w:sz w:val="24"/>
          <w:szCs w:val="24"/>
          <w:rtl/>
        </w:rPr>
        <w:t xml:space="preserve">על הצטרפות העירייה כמגישת התוכנית ועל העברת </w:t>
      </w:r>
      <w:r w:rsidRPr="00592FAB">
        <w:rPr>
          <w:rFonts w:cs="David" w:hint="cs"/>
          <w:sz w:val="24"/>
          <w:szCs w:val="24"/>
          <w:rtl/>
        </w:rPr>
        <w:t xml:space="preserve">התוכנית </w:t>
      </w:r>
      <w:r w:rsidR="008767CB">
        <w:rPr>
          <w:rFonts w:cs="David" w:hint="cs"/>
          <w:sz w:val="24"/>
          <w:szCs w:val="24"/>
          <w:rtl/>
        </w:rPr>
        <w:t xml:space="preserve">המפורטת </w:t>
      </w:r>
      <w:r w:rsidR="00592FAB">
        <w:rPr>
          <w:rFonts w:cs="David" w:hint="cs"/>
          <w:sz w:val="24"/>
          <w:szCs w:val="24"/>
          <w:rtl/>
        </w:rPr>
        <w:t>להפקדה בוועדה המחוזית:</w:t>
      </w:r>
    </w:p>
    <w:p w14:paraId="2FAFBD69" w14:textId="77777777" w:rsidR="00185BF8" w:rsidRDefault="00592FAB" w:rsidP="00592FAB">
      <w:pPr>
        <w:pStyle w:val="af1"/>
        <w:spacing w:after="120" w:line="240" w:lineRule="auto"/>
        <w:ind w:left="1179" w:right="992"/>
        <w:rPr>
          <w:rtl/>
        </w:rPr>
      </w:pPr>
      <w:r>
        <w:rPr>
          <w:rFonts w:hint="cs"/>
          <w:rtl/>
        </w:rPr>
        <w:t xml:space="preserve">"1. מליאת הוועדה המקומית מחליטה על הצטרפותה של העירייה כמגישת התכנית וזאת כיוון שהתכנית עומדת בתנאי הסף והקריטריונים שנקבעו להצטרפות הוועדה והעירייה כמגישת התכנית ובכלל זה בעלותה של העירייה </w:t>
      </w:r>
      <w:proofErr w:type="spellStart"/>
      <w:r>
        <w:rPr>
          <w:rFonts w:hint="cs"/>
          <w:rtl/>
        </w:rPr>
        <w:t>בכמחצית</w:t>
      </w:r>
      <w:proofErr w:type="spellEnd"/>
      <w:r>
        <w:rPr>
          <w:rFonts w:hint="cs"/>
          <w:rtl/>
        </w:rPr>
        <w:t xml:space="preserve"> משטח התכנית.</w:t>
      </w:r>
    </w:p>
    <w:p w14:paraId="04022F67" w14:textId="77777777" w:rsidR="00592FAB" w:rsidRDefault="00592FAB" w:rsidP="00592FAB">
      <w:pPr>
        <w:pStyle w:val="af1"/>
        <w:spacing w:after="120" w:line="240" w:lineRule="auto"/>
        <w:ind w:left="1179" w:right="992"/>
        <w:rPr>
          <w:rtl/>
        </w:rPr>
      </w:pPr>
      <w:r>
        <w:rPr>
          <w:rFonts w:hint="cs"/>
          <w:rtl/>
        </w:rPr>
        <w:t>2. מליאת הוועדה המקומית מחליטה על העברת התכנית להפקדה בוועדה המחוזית בתנאים הבאים (אשר מהווים תנאי לחתימת הוועדה כמגישה על מסמכי התכנית):</w:t>
      </w:r>
    </w:p>
    <w:p w14:paraId="62E1361E" w14:textId="77777777" w:rsidR="00592FAB" w:rsidRDefault="00592FAB" w:rsidP="00592FAB">
      <w:pPr>
        <w:pStyle w:val="af1"/>
        <w:spacing w:after="120" w:line="240" w:lineRule="auto"/>
        <w:ind w:left="1179" w:right="992"/>
        <w:rPr>
          <w:rtl/>
        </w:rPr>
      </w:pPr>
      <w:r>
        <w:rPr>
          <w:rFonts w:hint="cs"/>
          <w:rtl/>
        </w:rPr>
        <w:t xml:space="preserve">א. </w:t>
      </w:r>
      <w:r w:rsidRPr="00592FAB">
        <w:rPr>
          <w:rFonts w:hint="cs"/>
          <w:u w:val="single"/>
          <w:rtl/>
        </w:rPr>
        <w:t>שינוי השלביות</w:t>
      </w:r>
      <w:r>
        <w:rPr>
          <w:rFonts w:hint="cs"/>
          <w:rtl/>
        </w:rPr>
        <w:t xml:space="preserve"> </w:t>
      </w:r>
      <w:r>
        <w:rPr>
          <w:rtl/>
        </w:rPr>
        <w:t>–</w:t>
      </w:r>
      <w:r>
        <w:rPr>
          <w:rFonts w:hint="cs"/>
          <w:rtl/>
        </w:rPr>
        <w:t xml:space="preserve"> </w:t>
      </w:r>
    </w:p>
    <w:p w14:paraId="74E60379" w14:textId="77777777" w:rsidR="00592FAB" w:rsidRDefault="00592FAB" w:rsidP="00592FAB">
      <w:pPr>
        <w:pStyle w:val="af1"/>
        <w:spacing w:after="120" w:line="240" w:lineRule="auto"/>
        <w:ind w:left="1179" w:right="992"/>
        <w:rPr>
          <w:rtl/>
        </w:rPr>
      </w:pPr>
      <w:r>
        <w:rPr>
          <w:rFonts w:hint="cs"/>
          <w:rtl/>
        </w:rPr>
        <w:lastRenderedPageBreak/>
        <w:t xml:space="preserve">התכנית מציעה שינוי בשלביות שנקבעה בתכנית </w:t>
      </w:r>
      <w:proofErr w:type="spellStart"/>
      <w:r>
        <w:rPr>
          <w:rFonts w:hint="cs"/>
          <w:rtl/>
        </w:rPr>
        <w:t>המתארית</w:t>
      </w:r>
      <w:proofErr w:type="spellEnd"/>
      <w:r>
        <w:rPr>
          <w:rFonts w:hint="cs"/>
          <w:rtl/>
        </w:rPr>
        <w:t xml:space="preserve"> הר/52/88 לפיה ביצוע </w:t>
      </w:r>
      <w:proofErr w:type="spellStart"/>
      <w:r>
        <w:rPr>
          <w:rFonts w:hint="cs"/>
          <w:rtl/>
        </w:rPr>
        <w:t>הפרוייקט</w:t>
      </w:r>
      <w:proofErr w:type="spellEnd"/>
      <w:r>
        <w:rPr>
          <w:rFonts w:hint="cs"/>
          <w:rtl/>
        </w:rPr>
        <w:t xml:space="preserve"> יבוצע בתהליך בשלבים עוקבים, קרי, הקמת מבני הציבור המיועדים להריסה, יבנה בטרם הוצאת היתר בניה למגורים ולמסחר. מנגנון זה מייצר תהליך ביצוע ארוך יותר.</w:t>
      </w:r>
    </w:p>
    <w:p w14:paraId="37202C59" w14:textId="77777777" w:rsidR="00592FAB" w:rsidRDefault="00592FAB" w:rsidP="00592FAB">
      <w:pPr>
        <w:pStyle w:val="af1"/>
        <w:spacing w:after="120" w:line="240" w:lineRule="auto"/>
        <w:ind w:left="1179" w:right="992"/>
        <w:rPr>
          <w:rtl/>
        </w:rPr>
      </w:pPr>
      <w:r>
        <w:rPr>
          <w:rFonts w:hint="cs"/>
          <w:rtl/>
        </w:rPr>
        <w:t>בעוד השלביות המוצעת מאפשרת תהליך מקביל של בניה בו זמנית</w:t>
      </w:r>
      <w:r w:rsidR="00D05A50">
        <w:rPr>
          <w:rFonts w:hint="cs"/>
          <w:rtl/>
        </w:rPr>
        <w:t xml:space="preserve"> של מבנה הציבור שהוגדרו בתכנית (600 מ"ר), יחד עם הקמת פרויקט המגורים והמסחר. באופן זה משך הפרויקט בכללותו יצומצם ומבטיח את ביצוע המטלה הציבורית תוך מציאת פתרון זמני למבני הציבור הקיימים המתפנים.</w:t>
      </w:r>
    </w:p>
    <w:p w14:paraId="685221AE" w14:textId="77777777" w:rsidR="00D05A50" w:rsidRDefault="00D05A50" w:rsidP="00592FAB">
      <w:pPr>
        <w:pStyle w:val="af1"/>
        <w:spacing w:after="120" w:line="240" w:lineRule="auto"/>
        <w:ind w:left="1179" w:right="992"/>
        <w:rPr>
          <w:rtl/>
        </w:rPr>
      </w:pPr>
      <w:r>
        <w:rPr>
          <w:rFonts w:hint="cs"/>
          <w:rtl/>
        </w:rPr>
        <w:t>שינוי השלביות מבטיח כי גן הילדים לא יאוכלס בסביבת בניית השלד של הבניינים ופירוק המנופים.</w:t>
      </w:r>
    </w:p>
    <w:p w14:paraId="31E2F7C3" w14:textId="77777777" w:rsidR="00D05A50" w:rsidRDefault="00D05A50" w:rsidP="00592FAB">
      <w:pPr>
        <w:pStyle w:val="af1"/>
        <w:spacing w:after="120" w:line="240" w:lineRule="auto"/>
        <w:ind w:left="1179" w:right="992"/>
        <w:rPr>
          <w:rtl/>
        </w:rPr>
      </w:pPr>
      <w:r>
        <w:rPr>
          <w:rFonts w:hint="cs"/>
          <w:rtl/>
        </w:rPr>
        <w:t xml:space="preserve">שינוי השלביות מייצר שיתוף פעולה בין היזם </w:t>
      </w:r>
      <w:proofErr w:type="spellStart"/>
      <w:r>
        <w:rPr>
          <w:rFonts w:hint="cs"/>
          <w:rtl/>
        </w:rPr>
        <w:t>לעיריה</w:t>
      </w:r>
      <w:proofErr w:type="spellEnd"/>
      <w:r>
        <w:rPr>
          <w:rFonts w:hint="cs"/>
          <w:rtl/>
        </w:rPr>
        <w:t xml:space="preserve"> לצורך מימוש הפרויקט, באופן שיאפשר קיצור לוחות הזמנים ויצירת וודאות לגבי ביצוע מטלות התכנית, הן באחריות היזם והן באחריות העירייה.</w:t>
      </w:r>
    </w:p>
    <w:p w14:paraId="6B47CEBA" w14:textId="77777777" w:rsidR="00D05A50" w:rsidRDefault="00D05A50" w:rsidP="00592FAB">
      <w:pPr>
        <w:pStyle w:val="af1"/>
        <w:spacing w:after="120" w:line="240" w:lineRule="auto"/>
        <w:ind w:left="1179" w:right="992"/>
        <w:rPr>
          <w:rtl/>
        </w:rPr>
      </w:pPr>
      <w:r>
        <w:rPr>
          <w:rFonts w:hint="cs"/>
          <w:rtl/>
        </w:rPr>
        <w:t xml:space="preserve">ב. </w:t>
      </w:r>
      <w:r w:rsidRPr="00FD7007">
        <w:rPr>
          <w:rFonts w:hint="cs"/>
          <w:u w:val="single"/>
          <w:rtl/>
        </w:rPr>
        <w:t>שינוי בגובה המבנה ובמספר הקומות</w:t>
      </w:r>
      <w:r>
        <w:rPr>
          <w:rFonts w:hint="cs"/>
          <w:rtl/>
        </w:rPr>
        <w:t xml:space="preserve"> </w:t>
      </w:r>
      <w:r>
        <w:rPr>
          <w:rtl/>
        </w:rPr>
        <w:t>–</w:t>
      </w:r>
      <w:r>
        <w:rPr>
          <w:rFonts w:hint="cs"/>
          <w:rtl/>
        </w:rPr>
        <w:t xml:space="preserve"> </w:t>
      </w:r>
    </w:p>
    <w:p w14:paraId="3CD29C13" w14:textId="77777777" w:rsidR="00D05A50" w:rsidRDefault="00D05A50" w:rsidP="00592FAB">
      <w:pPr>
        <w:pStyle w:val="af1"/>
        <w:spacing w:after="120" w:line="240" w:lineRule="auto"/>
        <w:ind w:left="1179" w:right="992"/>
        <w:rPr>
          <w:rtl/>
        </w:rPr>
      </w:pPr>
      <w:r>
        <w:rPr>
          <w:rFonts w:hint="cs"/>
          <w:rtl/>
        </w:rPr>
        <w:t>- התכנית המוצעת מבקשת להוסיף 3 קומות למבנה המגורים והמסחר, על מנת לייצר 2 בניינים בני 4 יח"ד בקומה טיפוסית, בהתאם לגובה ולמספר הקומות שנקבעו בתכנית המאושרת, דבר המשפר את איכות הדירות.</w:t>
      </w:r>
    </w:p>
    <w:p w14:paraId="76BA4AF5" w14:textId="77777777" w:rsidR="00D05A50" w:rsidRDefault="00D05A50" w:rsidP="00592FAB">
      <w:pPr>
        <w:pStyle w:val="af1"/>
        <w:spacing w:after="120" w:line="240" w:lineRule="auto"/>
        <w:ind w:left="1179" w:right="992"/>
        <w:rPr>
          <w:rtl/>
        </w:rPr>
      </w:pPr>
      <w:r>
        <w:rPr>
          <w:rFonts w:hint="cs"/>
          <w:rtl/>
        </w:rPr>
        <w:t xml:space="preserve">- תוספת הקומות אינה משנה את סך יחידות הדיור בתכנית </w:t>
      </w:r>
      <w:r>
        <w:rPr>
          <w:rtl/>
        </w:rPr>
        <w:t>–</w:t>
      </w:r>
      <w:r>
        <w:rPr>
          <w:rFonts w:hint="cs"/>
          <w:rtl/>
        </w:rPr>
        <w:t xml:space="preserve"> 140 יח"ד.</w:t>
      </w:r>
    </w:p>
    <w:p w14:paraId="63DA92D6" w14:textId="77777777" w:rsidR="00D05A50" w:rsidRDefault="00D05A50" w:rsidP="00592FAB">
      <w:pPr>
        <w:pStyle w:val="af1"/>
        <w:spacing w:after="120" w:line="240" w:lineRule="auto"/>
        <w:ind w:left="1179" w:right="992"/>
        <w:rPr>
          <w:rtl/>
        </w:rPr>
      </w:pPr>
      <w:r>
        <w:rPr>
          <w:rFonts w:hint="cs"/>
          <w:rtl/>
        </w:rPr>
        <w:t>- תוספת הקומות מ- 17 קומות ל- 10 קומות + קומה טכנית, ללא קומת חדרי יציאה לגג אינה משנה את אופי הבניין.</w:t>
      </w:r>
    </w:p>
    <w:p w14:paraId="53400311" w14:textId="77777777" w:rsidR="00D05A50" w:rsidRDefault="00D05A50" w:rsidP="00592FAB">
      <w:pPr>
        <w:pStyle w:val="af1"/>
        <w:spacing w:after="120" w:line="240" w:lineRule="auto"/>
        <w:ind w:left="1179" w:right="992"/>
        <w:rPr>
          <w:rtl/>
        </w:rPr>
      </w:pPr>
      <w:r>
        <w:rPr>
          <w:rFonts w:hint="cs"/>
          <w:rtl/>
        </w:rPr>
        <w:t>- תוספת 3 קומות לבניין בגובה זה ניתן לקבל בהקלה.</w:t>
      </w:r>
    </w:p>
    <w:p w14:paraId="59C28F85" w14:textId="77777777" w:rsidR="00D05A50" w:rsidRDefault="00D05A50" w:rsidP="00592FAB">
      <w:pPr>
        <w:pStyle w:val="af1"/>
        <w:spacing w:after="120" w:line="240" w:lineRule="auto"/>
        <w:ind w:left="1179" w:right="992"/>
        <w:rPr>
          <w:rtl/>
        </w:rPr>
      </w:pPr>
      <w:r>
        <w:rPr>
          <w:rFonts w:hint="cs"/>
          <w:rtl/>
        </w:rPr>
        <w:t xml:space="preserve">ג. </w:t>
      </w:r>
      <w:r w:rsidRPr="00D05A50">
        <w:rPr>
          <w:rFonts w:hint="cs"/>
          <w:u w:val="single"/>
          <w:rtl/>
        </w:rPr>
        <w:t>תוספת מסחר</w:t>
      </w:r>
      <w:r>
        <w:rPr>
          <w:rFonts w:hint="cs"/>
          <w:rtl/>
        </w:rPr>
        <w:t xml:space="preserve"> - </w:t>
      </w:r>
    </w:p>
    <w:p w14:paraId="1808D42F" w14:textId="77777777" w:rsidR="00D05A50" w:rsidRDefault="00D05A50" w:rsidP="00592FAB">
      <w:pPr>
        <w:pStyle w:val="af1"/>
        <w:spacing w:after="120" w:line="240" w:lineRule="auto"/>
        <w:ind w:left="1179" w:right="992"/>
        <w:rPr>
          <w:rtl/>
        </w:rPr>
      </w:pPr>
      <w:r>
        <w:rPr>
          <w:rFonts w:hint="cs"/>
          <w:rtl/>
        </w:rPr>
        <w:t>מאחר ומדובר באזור הסמוך לרחוב הבנים, שהינו ציר עם חזית מסחרית במרכז העיר ובסמיכות לתחנת מטרו מתוכננת במרחק של כ- 350 מטרים, אנו רואים בחיוב את תוספת שטחי המסחר כאמור.</w:t>
      </w:r>
    </w:p>
    <w:p w14:paraId="25C0D403" w14:textId="77777777" w:rsidR="00D05A50" w:rsidRDefault="00D05A50" w:rsidP="00592FAB">
      <w:pPr>
        <w:pStyle w:val="af1"/>
        <w:spacing w:after="120" w:line="240" w:lineRule="auto"/>
        <w:ind w:left="1179" w:right="992"/>
        <w:rPr>
          <w:rtl/>
        </w:rPr>
      </w:pPr>
      <w:r>
        <w:rPr>
          <w:rFonts w:hint="cs"/>
          <w:rtl/>
        </w:rPr>
        <w:t xml:space="preserve">ד. </w:t>
      </w:r>
      <w:r w:rsidRPr="00D05A50">
        <w:rPr>
          <w:rFonts w:hint="cs"/>
          <w:u w:val="single"/>
          <w:rtl/>
        </w:rPr>
        <w:t>תוספת שטחי שירות תת קרקעיים</w:t>
      </w:r>
      <w:r>
        <w:rPr>
          <w:rFonts w:hint="cs"/>
          <w:rtl/>
        </w:rPr>
        <w:t xml:space="preserve"> </w:t>
      </w:r>
      <w:r>
        <w:rPr>
          <w:rtl/>
        </w:rPr>
        <w:t>–</w:t>
      </w:r>
      <w:r>
        <w:rPr>
          <w:rFonts w:hint="cs"/>
          <w:rtl/>
        </w:rPr>
        <w:t xml:space="preserve"> </w:t>
      </w:r>
    </w:p>
    <w:p w14:paraId="71922EC2" w14:textId="77777777" w:rsidR="00D05A50" w:rsidRDefault="00D05A50" w:rsidP="00592FAB">
      <w:pPr>
        <w:pStyle w:val="af1"/>
        <w:spacing w:after="120" w:line="240" w:lineRule="auto"/>
        <w:ind w:left="1179" w:right="992"/>
        <w:rPr>
          <w:rtl/>
        </w:rPr>
      </w:pPr>
      <w:r>
        <w:rPr>
          <w:rFonts w:hint="cs"/>
          <w:rtl/>
        </w:rPr>
        <w:t>1) לאשר תוספת השטחים מיועדת עבור מיקום השטחים התפעוליים בתת הקרקע.</w:t>
      </w:r>
    </w:p>
    <w:p w14:paraId="1018C71C" w14:textId="77777777" w:rsidR="00D05A50" w:rsidRDefault="00D05A50" w:rsidP="00592FAB">
      <w:pPr>
        <w:pStyle w:val="af1"/>
        <w:spacing w:after="120" w:line="240" w:lineRule="auto"/>
        <w:ind w:left="1179" w:right="992"/>
        <w:rPr>
          <w:rtl/>
        </w:rPr>
      </w:pPr>
      <w:r>
        <w:rPr>
          <w:rFonts w:hint="cs"/>
          <w:rtl/>
        </w:rPr>
        <w:t>2) יש לדייק את היקף השטחים הנדרש.</w:t>
      </w:r>
    </w:p>
    <w:p w14:paraId="219B2FC0" w14:textId="77777777" w:rsidR="00D05A50" w:rsidRDefault="00D05A50" w:rsidP="00592FAB">
      <w:pPr>
        <w:pStyle w:val="af1"/>
        <w:spacing w:after="120" w:line="240" w:lineRule="auto"/>
        <w:ind w:left="1179" w:right="992"/>
        <w:rPr>
          <w:rtl/>
        </w:rPr>
      </w:pPr>
      <w:r>
        <w:rPr>
          <w:rFonts w:hint="cs"/>
          <w:rtl/>
        </w:rPr>
        <w:t>3) יש לקבוע הוראה בתכנית כי השטחים התפעוליים ימוקמו בתת הקרקע.</w:t>
      </w:r>
    </w:p>
    <w:p w14:paraId="5983A387" w14:textId="77777777" w:rsidR="00D05A50" w:rsidRDefault="00D05A50" w:rsidP="00592FAB">
      <w:pPr>
        <w:pStyle w:val="af1"/>
        <w:spacing w:after="120" w:line="240" w:lineRule="auto"/>
        <w:ind w:left="1179" w:right="992"/>
        <w:rPr>
          <w:rtl/>
        </w:rPr>
      </w:pPr>
      <w:r>
        <w:rPr>
          <w:rFonts w:hint="cs"/>
          <w:rtl/>
        </w:rPr>
        <w:t xml:space="preserve">ה. </w:t>
      </w:r>
      <w:r w:rsidRPr="00D05A50">
        <w:rPr>
          <w:rFonts w:hint="cs"/>
          <w:u w:val="single"/>
          <w:rtl/>
        </w:rPr>
        <w:t>תנאים נוספים לחתימה על התכנית והעברתה לוועדה המחוזית</w:t>
      </w:r>
      <w:r>
        <w:rPr>
          <w:rFonts w:hint="cs"/>
          <w:rtl/>
        </w:rPr>
        <w:t xml:space="preserve"> </w:t>
      </w:r>
      <w:r>
        <w:rPr>
          <w:rtl/>
        </w:rPr>
        <w:t>–</w:t>
      </w:r>
      <w:r>
        <w:rPr>
          <w:rFonts w:hint="cs"/>
          <w:rtl/>
        </w:rPr>
        <w:t xml:space="preserve"> </w:t>
      </w:r>
    </w:p>
    <w:p w14:paraId="2A255686" w14:textId="77777777" w:rsidR="00D05A50" w:rsidRDefault="00D05A50" w:rsidP="00592FAB">
      <w:pPr>
        <w:pStyle w:val="af1"/>
        <w:spacing w:after="120" w:line="240" w:lineRule="auto"/>
        <w:ind w:left="1179" w:right="992"/>
        <w:rPr>
          <w:rtl/>
        </w:rPr>
      </w:pPr>
      <w:r>
        <w:rPr>
          <w:rFonts w:hint="cs"/>
          <w:rtl/>
        </w:rPr>
        <w:t>1) חתימה על הסכם בין היזם לעיריית הוד השרון, בהתייחס למטלות הקבועות בתכנית ולהצטרפות העירייה כמגישת תכנית. ההסכם יובא לאישור מועצת העיר.</w:t>
      </w:r>
    </w:p>
    <w:p w14:paraId="75751C68" w14:textId="77777777" w:rsidR="00D05A50" w:rsidRDefault="00D05A50" w:rsidP="00592FAB">
      <w:pPr>
        <w:pStyle w:val="af1"/>
        <w:spacing w:after="120" w:line="240" w:lineRule="auto"/>
        <w:ind w:left="1179" w:right="992"/>
        <w:rPr>
          <w:rtl/>
        </w:rPr>
      </w:pPr>
      <w:r>
        <w:rPr>
          <w:rFonts w:hint="cs"/>
          <w:rtl/>
        </w:rPr>
        <w:t>2) אישור מנהלת ההשבחה של העירייה לטבלאות האיזון והחלוקה.</w:t>
      </w:r>
    </w:p>
    <w:p w14:paraId="28CFB7CC" w14:textId="77777777" w:rsidR="00D05A50" w:rsidRDefault="00D05A50" w:rsidP="00592FAB">
      <w:pPr>
        <w:pStyle w:val="af1"/>
        <w:spacing w:after="120" w:line="240" w:lineRule="auto"/>
        <w:ind w:left="1179" w:right="992"/>
        <w:rPr>
          <w:rtl/>
        </w:rPr>
      </w:pPr>
      <w:r>
        <w:rPr>
          <w:rFonts w:hint="cs"/>
          <w:rtl/>
        </w:rPr>
        <w:t xml:space="preserve">3) הגשת כתב שיפוי מקורי חתום </w:t>
      </w:r>
      <w:r>
        <w:rPr>
          <w:rtl/>
        </w:rPr>
        <w:t>–</w:t>
      </w:r>
      <w:r>
        <w:rPr>
          <w:rFonts w:hint="cs"/>
          <w:rtl/>
        </w:rPr>
        <w:t xml:space="preserve"> בהנחיית היועץ המשפטי של העירייה.</w:t>
      </w:r>
    </w:p>
    <w:p w14:paraId="43CAC3E2" w14:textId="77777777" w:rsidR="00D05A50" w:rsidRDefault="00D05A50" w:rsidP="00FD7007">
      <w:pPr>
        <w:pStyle w:val="af1"/>
        <w:spacing w:after="240" w:line="240" w:lineRule="auto"/>
        <w:ind w:left="1179" w:right="992"/>
        <w:rPr>
          <w:rtl/>
        </w:rPr>
      </w:pPr>
      <w:r>
        <w:rPr>
          <w:rFonts w:hint="cs"/>
          <w:rtl/>
        </w:rPr>
        <w:t>4) תיקונים טכניים."</w:t>
      </w:r>
    </w:p>
    <w:p w14:paraId="54C98679" w14:textId="77777777" w:rsidR="00040A19" w:rsidRDefault="00040A19"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t>יצוין כי בדיון שנערך בוועדה המקומית לא השתתפו ראש העיר וסגניתו, המשמשת כממלאת מקומו בוועדה לתכנון ולבנייה, מטעמי מניעות</w:t>
      </w:r>
      <w:r w:rsidR="00512468">
        <w:rPr>
          <w:rFonts w:cs="David" w:hint="cs"/>
          <w:sz w:val="24"/>
          <w:szCs w:val="24"/>
          <w:rtl/>
        </w:rPr>
        <w:t>: רעייתו של ראש העיר מפעילה פאב במתחם, והעוזרת האישית של ראש העיר, שהייתה פעילה במטה הבחירות שלו, נשואה לאחד ממנהלי העוררת</w:t>
      </w:r>
      <w:r>
        <w:rPr>
          <w:rFonts w:cs="David" w:hint="cs"/>
          <w:sz w:val="24"/>
          <w:szCs w:val="24"/>
          <w:rtl/>
        </w:rPr>
        <w:t>.</w:t>
      </w:r>
    </w:p>
    <w:p w14:paraId="5238B3D6" w14:textId="77777777" w:rsidR="00040A19" w:rsidRDefault="00040A19"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t>לאחר החלטת הוועדה המקומית מ</w:t>
      </w:r>
      <w:r w:rsidR="00FD7007">
        <w:rPr>
          <w:rFonts w:cs="David" w:hint="cs"/>
          <w:sz w:val="24"/>
          <w:szCs w:val="24"/>
          <w:rtl/>
        </w:rPr>
        <w:t xml:space="preserve">יום 31.5.2021, </w:t>
      </w:r>
      <w:r>
        <w:rPr>
          <w:rFonts w:cs="David" w:hint="cs"/>
          <w:sz w:val="24"/>
          <w:szCs w:val="24"/>
          <w:rtl/>
        </w:rPr>
        <w:t>פנה חבר הוועדה המקומית, עו"ד משה חנוכה, לוועדה למניעת ניגוד עניינים של נבחרי ציבור ברשויות המקומיות במשרד המשפטים (להלן: "</w:t>
      </w:r>
      <w:r w:rsidRPr="00040A19">
        <w:rPr>
          <w:rFonts w:cs="David" w:hint="cs"/>
          <w:b/>
          <w:bCs/>
          <w:sz w:val="24"/>
          <w:szCs w:val="24"/>
          <w:rtl/>
        </w:rPr>
        <w:t>הוועדה למניעת ניגוד עניינים</w:t>
      </w:r>
      <w:r>
        <w:rPr>
          <w:rFonts w:cs="David" w:hint="cs"/>
          <w:sz w:val="24"/>
          <w:szCs w:val="24"/>
          <w:rtl/>
        </w:rPr>
        <w:t xml:space="preserve">"). </w:t>
      </w:r>
      <w:r w:rsidR="00512468">
        <w:rPr>
          <w:rFonts w:cs="David" w:hint="cs"/>
          <w:sz w:val="24"/>
          <w:szCs w:val="24"/>
          <w:rtl/>
        </w:rPr>
        <w:t>עו"ד</w:t>
      </w:r>
      <w:r>
        <w:rPr>
          <w:rFonts w:cs="David" w:hint="cs"/>
          <w:sz w:val="24"/>
          <w:szCs w:val="24"/>
          <w:rtl/>
        </w:rPr>
        <w:t xml:space="preserve"> חנוכה ביקש מהוועדה לחוות את דעתה בשאל</w:t>
      </w:r>
      <w:r w:rsidR="00512468">
        <w:rPr>
          <w:rFonts w:cs="David" w:hint="cs"/>
          <w:sz w:val="24"/>
          <w:szCs w:val="24"/>
          <w:rtl/>
        </w:rPr>
        <w:t>ת ניגוד העניינים של חברי סיעת ראש העיר ומנכ"ל העירייה כנגזרת ממניעות ראש העיר וסגניתו.</w:t>
      </w:r>
    </w:p>
    <w:p w14:paraId="6457F773" w14:textId="77777777" w:rsidR="00040A19" w:rsidRDefault="00040A19"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lastRenderedPageBreak/>
        <w:t>ביום 17.10.2021</w:t>
      </w:r>
      <w:r>
        <w:rPr>
          <w:rFonts w:cs="David" w:hint="cs"/>
          <w:sz w:val="24"/>
          <w:szCs w:val="24"/>
        </w:rPr>
        <w:t xml:space="preserve"> </w:t>
      </w:r>
      <w:r>
        <w:rPr>
          <w:rFonts w:cs="David" w:hint="cs"/>
          <w:sz w:val="24"/>
          <w:szCs w:val="24"/>
          <w:rtl/>
        </w:rPr>
        <w:t>השיב עו"ד ד"ר עמר בן צבי, מרכז הוועדה למניעת ניגוד ענייני</w:t>
      </w:r>
      <w:r w:rsidR="00803326">
        <w:rPr>
          <w:rFonts w:cs="David" w:hint="cs"/>
          <w:sz w:val="24"/>
          <w:szCs w:val="24"/>
          <w:rtl/>
        </w:rPr>
        <w:t>ם ממחלקת הייעוץ והחקיקה (משפט ציבורי-</w:t>
      </w:r>
      <w:proofErr w:type="spellStart"/>
      <w:r w:rsidR="00803326">
        <w:rPr>
          <w:rFonts w:cs="David" w:hint="cs"/>
          <w:sz w:val="24"/>
          <w:szCs w:val="24"/>
          <w:rtl/>
        </w:rPr>
        <w:t>מינהלי</w:t>
      </w:r>
      <w:proofErr w:type="spellEnd"/>
      <w:r w:rsidR="00803326">
        <w:rPr>
          <w:rFonts w:cs="David" w:hint="cs"/>
          <w:sz w:val="24"/>
          <w:szCs w:val="24"/>
          <w:rtl/>
        </w:rPr>
        <w:t xml:space="preserve">) במשרד המשפטים, לפניית </w:t>
      </w:r>
      <w:r w:rsidR="00512468">
        <w:rPr>
          <w:rFonts w:cs="David" w:hint="cs"/>
          <w:sz w:val="24"/>
          <w:szCs w:val="24"/>
          <w:rtl/>
        </w:rPr>
        <w:t>עו"ד</w:t>
      </w:r>
      <w:r w:rsidR="00803326">
        <w:rPr>
          <w:rFonts w:cs="David" w:hint="cs"/>
          <w:sz w:val="24"/>
          <w:szCs w:val="24"/>
          <w:rtl/>
        </w:rPr>
        <w:t xml:space="preserve"> חנוכה כי אין חשש לניגוד עניינים. בין השאר, נכתב בתגובה המפורטת והמנומקת</w:t>
      </w:r>
      <w:r w:rsidR="00512468">
        <w:rPr>
          <w:rFonts w:cs="David" w:hint="cs"/>
          <w:sz w:val="24"/>
          <w:szCs w:val="24"/>
          <w:rtl/>
        </w:rPr>
        <w:t xml:space="preserve"> </w:t>
      </w:r>
      <w:r w:rsidR="00803326">
        <w:rPr>
          <w:rFonts w:cs="David" w:hint="cs"/>
          <w:sz w:val="24"/>
          <w:szCs w:val="24"/>
          <w:rtl/>
        </w:rPr>
        <w:t>מטעם הוועדה למניעת ניגודי עניינים כי:</w:t>
      </w:r>
    </w:p>
    <w:p w14:paraId="1DBCE766" w14:textId="77777777" w:rsidR="00803326" w:rsidRPr="00803326" w:rsidRDefault="00803326" w:rsidP="00803326">
      <w:pPr>
        <w:pStyle w:val="af1"/>
        <w:spacing w:after="120" w:line="240" w:lineRule="auto"/>
        <w:ind w:left="1179" w:right="992"/>
      </w:pPr>
      <w:r w:rsidRPr="00803326">
        <w:rPr>
          <w:rFonts w:hint="cs"/>
          <w:rtl/>
        </w:rPr>
        <w:t xml:space="preserve">16. (...) הוועדה סבורה שהטענה כי חברי המועצה, בבואם להצביע על התכנית, מצויים בניגוד עניינים על רקע קשריהם המקצועיים המוגבלים עם אשתו של אחד מיזמי התכנית </w:t>
      </w:r>
      <w:r w:rsidRPr="00803326">
        <w:rPr>
          <w:rtl/>
        </w:rPr>
        <w:t>–</w:t>
      </w:r>
      <w:r w:rsidRPr="00803326">
        <w:rPr>
          <w:rFonts w:hint="cs"/>
          <w:rtl/>
        </w:rPr>
        <w:t xml:space="preserve"> הינה מרחיקת לכת. לדעת הועדה, אין לקבוע כי קיים חשש ממשי להימצאות חברי המועצה בניגוד עניינים ביחס לתכנית, אך ורק על רקע קשריהם לגב' שמש.</w:t>
      </w:r>
    </w:p>
    <w:p w14:paraId="7305E7C1" w14:textId="77777777" w:rsidR="00803326" w:rsidRDefault="00803326" w:rsidP="00BF26A6">
      <w:pPr>
        <w:pStyle w:val="af"/>
        <w:spacing w:after="120" w:line="240" w:lineRule="auto"/>
        <w:ind w:left="505" w:right="-142" w:firstLine="675"/>
        <w:contextualSpacing w:val="0"/>
        <w:jc w:val="both"/>
        <w:rPr>
          <w:rFonts w:cs="David"/>
          <w:sz w:val="24"/>
          <w:szCs w:val="24"/>
          <w:rtl/>
        </w:rPr>
      </w:pPr>
      <w:r>
        <w:rPr>
          <w:rFonts w:cs="David" w:hint="cs"/>
          <w:sz w:val="24"/>
          <w:szCs w:val="24"/>
          <w:rtl/>
        </w:rPr>
        <w:t>(...)</w:t>
      </w:r>
    </w:p>
    <w:p w14:paraId="4498BDB1" w14:textId="77777777" w:rsidR="00803326" w:rsidRDefault="00803326" w:rsidP="00803326">
      <w:pPr>
        <w:pStyle w:val="af1"/>
        <w:spacing w:after="120" w:line="240" w:lineRule="auto"/>
        <w:ind w:left="1179" w:right="992"/>
        <w:rPr>
          <w:rtl/>
        </w:rPr>
      </w:pPr>
      <w:r w:rsidRPr="00803326">
        <w:rPr>
          <w:rFonts w:hint="cs"/>
          <w:rtl/>
        </w:rPr>
        <w:t>18. אכן, הפסיקה בנושא קבעה כי על נבחר ציבור להימנע מקבלת החלטות בנסיבות בהן מקבל ההחלטה הו</w:t>
      </w:r>
      <w:r>
        <w:rPr>
          <w:rFonts w:hint="cs"/>
          <w:rtl/>
        </w:rPr>
        <w:t>א בעל זיקה פוליטית ממשית למי שההחלטה חלה עליו. ואולם, לא ניתן לקבוע כי חברות באותה המפלגה, כשלעצמה ובהעדר אינדיקציות מצטברות נוספות, מקימה "זיקה פוליטית ממשית" מן הסוג הרלוונטי לדיני ניגוד העניינים.</w:t>
      </w:r>
    </w:p>
    <w:p w14:paraId="32B1FC67" w14:textId="77777777" w:rsidR="00803326" w:rsidRDefault="00803326" w:rsidP="00803326">
      <w:pPr>
        <w:pStyle w:val="af1"/>
        <w:spacing w:after="120" w:line="240" w:lineRule="auto"/>
        <w:ind w:left="1179" w:right="992"/>
        <w:rPr>
          <w:rtl/>
        </w:rPr>
      </w:pPr>
      <w:r>
        <w:rPr>
          <w:rFonts w:hint="cs"/>
          <w:rtl/>
        </w:rPr>
        <w:t>השיטה הפוליטית בשלטון המקומי בישראל הינה שיטה במסגרתה באופן שגרתי פועלים חברי המועצה ברשימות, וקביעה כי חברות באותה הרשימה, כשלעצמה, מקימה ניגוד עניינים המונע מחבר המועצה להפעיל את שיקול דעתו באופן חופשי, עשויה לפגוע בהתנהלות השלטון המקומי בכללותו.</w:t>
      </w:r>
    </w:p>
    <w:p w14:paraId="712CD1BC" w14:textId="77777777" w:rsidR="00803326" w:rsidRDefault="00BF26A6" w:rsidP="00BF26A6">
      <w:pPr>
        <w:pStyle w:val="af1"/>
        <w:spacing w:after="120" w:line="240" w:lineRule="auto"/>
        <w:ind w:left="1179" w:right="992"/>
      </w:pPr>
      <w:r>
        <w:rPr>
          <w:rFonts w:hint="cs"/>
          <w:rtl/>
        </w:rPr>
        <w:t xml:space="preserve">19. </w:t>
      </w:r>
      <w:r w:rsidR="00803326">
        <w:rPr>
          <w:rFonts w:hint="cs"/>
          <w:rtl/>
        </w:rPr>
        <w:t>אכן, אין לשלול אפשרות כי מקום בו ראש רשות מקומית יהיה נתון בניגוד עניינים חריף למול עיסוק בנושא מסוים, לא יהיה די בקביעת מניעות שלו בלבד מעיסוק באותו הנושא. ייתכן מצב בו יידרשו הגבלות רחבות יותר על עיסוק באותו הנושא ברשות המקומית, מחשש כי ניגוד העניינים של העומד בראש הרשות ישפיע גם על חברי מועצה אחרים. הוועדה סבורה כי אין זה המקרה שבפנינו. בענייננו, זיקתו של ראש העיר לתכנית מתמצה בקשריו לגב' שמש, ולעסק שזוגתו מפעילה בשכירות במתחם. זיקות אלו אינן מבוטלות, אך הן מקבלות מענה בהסדר ניגוד העניינים עליו חתם ראש העיר ואינן מצדיקות הטלת מגבלות גם על חברי סיעתו. זאת, בין היתר, בשים לב לכך שראש העיר וזוגתו אינם מחזיקים בבעלות על נכסים במתחם, והשפעת התכנית עליהם מוגבלת. על כן, בבחינת עוצמת ניגוד העניינים הכללית בה מצוי ראש העיר, על מנת לבחון את היקף ההגבלות שראוי להשית, יש לקחת בחשבון שראש העיר כוכבי מנוע מעיסוק בתכנית בעיקר נוכח קשריו לגב' שמש.</w:t>
      </w:r>
    </w:p>
    <w:p w14:paraId="5F76FCBA" w14:textId="77777777" w:rsidR="00803326" w:rsidRDefault="00BF26A6" w:rsidP="00BF26A6">
      <w:pPr>
        <w:pStyle w:val="af1"/>
        <w:spacing w:after="120" w:line="240" w:lineRule="auto"/>
        <w:ind w:left="1179" w:right="992"/>
      </w:pPr>
      <w:r>
        <w:rPr>
          <w:rFonts w:hint="cs"/>
          <w:rtl/>
        </w:rPr>
        <w:t xml:space="preserve">20. </w:t>
      </w:r>
      <w:r w:rsidR="00803326">
        <w:rPr>
          <w:rFonts w:hint="cs"/>
          <w:rtl/>
        </w:rPr>
        <w:t xml:space="preserve">במצב עניינים זה, בן ראש העיר מנוע מעיסוק בנושא בעיקר בשל עניין של קרובתו, ולא בשל אינטרס אישי מובהק שלו, המסקנה כי גם חברי סיעתו מנועים מעיסוק בתכנית היא קביעה מרחיקת לכת. כך, במסגרת בחינת ניגודי עניינים של איש ציבור נבחנת </w:t>
      </w:r>
      <w:r>
        <w:rPr>
          <w:rFonts w:hint="cs"/>
          <w:rtl/>
        </w:rPr>
        <w:t xml:space="preserve">השאלה האם בנסיבות העניין קיימים אינטרסים שימנעו ממנו, </w:t>
      </w:r>
      <w:r w:rsidRPr="00BF26A6">
        <w:rPr>
          <w:rFonts w:hint="cs"/>
          <w:rtl/>
        </w:rPr>
        <w:t>באופן אישי</w:t>
      </w:r>
      <w:r>
        <w:rPr>
          <w:rFonts w:hint="cs"/>
          <w:rtl/>
        </w:rPr>
        <w:t>, לבצע את עבודתו ללא משוא פנים. על כן, זיקה פוליטית שמתמצה בחברות במפלגה, אין משמעה תחולה אוטומטית של המגבלות גם מעבר לגורם שמנוע לגופו של עניין.</w:t>
      </w:r>
    </w:p>
    <w:p w14:paraId="72CA46E8" w14:textId="77777777" w:rsidR="00BF26A6" w:rsidRDefault="00BF26A6" w:rsidP="00BF26A6">
      <w:pPr>
        <w:pStyle w:val="af1"/>
        <w:spacing w:after="120" w:line="240" w:lineRule="auto"/>
        <w:ind w:right="992"/>
        <w:rPr>
          <w:b/>
          <w:bCs/>
          <w:u w:val="single"/>
          <w:rtl/>
        </w:rPr>
      </w:pPr>
      <w:r w:rsidRPr="00BF26A6">
        <w:rPr>
          <w:rFonts w:hint="cs"/>
          <w:b/>
          <w:bCs/>
          <w:u w:val="single"/>
          <w:rtl/>
        </w:rPr>
        <w:t>סיכום</w:t>
      </w:r>
    </w:p>
    <w:p w14:paraId="550F1C3B" w14:textId="77777777" w:rsidR="00803326" w:rsidRPr="00BF26A6" w:rsidRDefault="00BF26A6" w:rsidP="00BF26A6">
      <w:pPr>
        <w:pStyle w:val="af1"/>
        <w:spacing w:after="240" w:line="240" w:lineRule="auto"/>
        <w:ind w:left="1179" w:right="992"/>
      </w:pPr>
      <w:r>
        <w:rPr>
          <w:rFonts w:hint="cs"/>
          <w:rtl/>
        </w:rPr>
        <w:t>20. הוועדה סבורה כי בנסיבות העניין, ונוכח המידע שהוצג בפניה, חברי המועצה יקיר, שבתאי ושירי, אינם מצויים בחשש לניגוד עניינים ביחס לתכנית "בני ברית", נוכח קשריהם עם הגב' שמש או עם ראש העיר, מר כוכבי. ממילא, לא ראתה הוועדה סיבה להחיל מגבלות על הצבעתם ביחס לתכנית."</w:t>
      </w:r>
    </w:p>
    <w:p w14:paraId="3FBAD747" w14:textId="77777777" w:rsidR="00803326" w:rsidRDefault="00BF26A6"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t xml:space="preserve">בתום הליך משא ומתן בין נציגי העירייה לעוררת הובאו ביום 11.5.2022 לאישור מועצת העיר שני עניינים: (1) הצטרפות העירייה כמגישת התוכנית המפורטת; ו- (2) אישור הסכם עקרונות בין העוררת לבין העירייה, שעניינו התחייבות העוררת לביצוע 'המטלות הציבוריות' שנקבעו בתוכנית </w:t>
      </w:r>
      <w:proofErr w:type="spellStart"/>
      <w:r>
        <w:rPr>
          <w:rFonts w:cs="David" w:hint="cs"/>
          <w:sz w:val="24"/>
          <w:szCs w:val="24"/>
          <w:rtl/>
        </w:rPr>
        <w:t>המתארית</w:t>
      </w:r>
      <w:proofErr w:type="spellEnd"/>
      <w:r>
        <w:rPr>
          <w:rFonts w:cs="David" w:hint="cs"/>
          <w:sz w:val="24"/>
          <w:szCs w:val="24"/>
          <w:rtl/>
        </w:rPr>
        <w:t xml:space="preserve"> (הקמת מבנים בשטח של 600 מ"ר בייעוד </w:t>
      </w:r>
      <w:proofErr w:type="spellStart"/>
      <w:r>
        <w:rPr>
          <w:rFonts w:cs="David" w:hint="cs"/>
          <w:sz w:val="24"/>
          <w:szCs w:val="24"/>
          <w:rtl/>
        </w:rPr>
        <w:t>שב"צ</w:t>
      </w:r>
      <w:proofErr w:type="spellEnd"/>
      <w:r>
        <w:rPr>
          <w:rFonts w:cs="David" w:hint="cs"/>
          <w:sz w:val="24"/>
          <w:szCs w:val="24"/>
          <w:rtl/>
        </w:rPr>
        <w:t xml:space="preserve">, הקמת חניה </w:t>
      </w:r>
      <w:proofErr w:type="spellStart"/>
      <w:r>
        <w:rPr>
          <w:rFonts w:cs="David" w:hint="cs"/>
          <w:sz w:val="24"/>
          <w:szCs w:val="24"/>
          <w:rtl/>
        </w:rPr>
        <w:t>ושצ"פ</w:t>
      </w:r>
      <w:proofErr w:type="spellEnd"/>
      <w:r>
        <w:rPr>
          <w:rFonts w:cs="David" w:hint="cs"/>
          <w:sz w:val="24"/>
          <w:szCs w:val="24"/>
          <w:rtl/>
        </w:rPr>
        <w:t>) - הסכם שאישורו נקבע כתנאי להעברת התוכנית להפקדה בוועדה המחוזית.</w:t>
      </w:r>
    </w:p>
    <w:p w14:paraId="7DE1A272" w14:textId="77777777" w:rsidR="00BF26A6" w:rsidRPr="00BF26A6" w:rsidRDefault="00BF26A6" w:rsidP="008767CB">
      <w:pPr>
        <w:pStyle w:val="af"/>
        <w:numPr>
          <w:ilvl w:val="0"/>
          <w:numId w:val="1"/>
        </w:numPr>
        <w:spacing w:line="360" w:lineRule="auto"/>
        <w:ind w:right="-142"/>
        <w:contextualSpacing w:val="0"/>
        <w:jc w:val="both"/>
        <w:rPr>
          <w:rFonts w:ascii="David" w:hAnsi="David" w:cs="David"/>
          <w:sz w:val="24"/>
          <w:szCs w:val="24"/>
        </w:rPr>
      </w:pPr>
      <w:r>
        <w:rPr>
          <w:rFonts w:ascii="David" w:hAnsi="David" w:cs="David" w:hint="cs"/>
          <w:noProof/>
          <w:sz w:val="24"/>
          <w:szCs w:val="24"/>
          <w:rtl/>
        </w:rPr>
        <w:t xml:space="preserve">בתום הדיון </w:t>
      </w:r>
      <w:r w:rsidR="006A2A93">
        <w:rPr>
          <w:rFonts w:ascii="David" w:hAnsi="David" w:cs="David" w:hint="cs"/>
          <w:noProof/>
          <w:sz w:val="24"/>
          <w:szCs w:val="24"/>
          <w:rtl/>
        </w:rPr>
        <w:t xml:space="preserve">ביום 11.5.2022 </w:t>
      </w:r>
      <w:r>
        <w:rPr>
          <w:rFonts w:ascii="David" w:hAnsi="David" w:cs="David" w:hint="cs"/>
          <w:noProof/>
          <w:sz w:val="24"/>
          <w:szCs w:val="24"/>
          <w:rtl/>
        </w:rPr>
        <w:t xml:space="preserve">החליטה מליאת מועצת העיר, ברוב של 9 חברים לעומת 3 חברים, להצטרף לתוכנית כמגישה </w:t>
      </w:r>
      <w:r w:rsidR="00AD2B64">
        <w:rPr>
          <w:rFonts w:ascii="David" w:hAnsi="David" w:cs="David" w:hint="cs"/>
          <w:noProof/>
          <w:sz w:val="24"/>
          <w:szCs w:val="24"/>
          <w:rtl/>
        </w:rPr>
        <w:t xml:space="preserve">בהתאם לקריטריונים ולנימוקים שנקבעו בישיבת מליאת הוועדה </w:t>
      </w:r>
      <w:r w:rsidR="00AD2B64">
        <w:rPr>
          <w:rFonts w:ascii="David" w:hAnsi="David" w:cs="David" w:hint="cs"/>
          <w:noProof/>
          <w:sz w:val="24"/>
          <w:szCs w:val="24"/>
          <w:rtl/>
        </w:rPr>
        <w:lastRenderedPageBreak/>
        <w:t xml:space="preserve">המקומית מיום 30.5.2021. עוד החליטה מליאת מועצת העיר, באותה ישיבה ובאותו רוב, </w:t>
      </w:r>
      <w:r>
        <w:rPr>
          <w:rFonts w:ascii="David" w:hAnsi="David" w:cs="David" w:hint="cs"/>
          <w:noProof/>
          <w:sz w:val="24"/>
          <w:szCs w:val="24"/>
          <w:rtl/>
        </w:rPr>
        <w:t>לאשר את הסכם הע</w:t>
      </w:r>
      <w:r w:rsidR="00AD2B64">
        <w:rPr>
          <w:rFonts w:ascii="David" w:hAnsi="David" w:cs="David" w:hint="cs"/>
          <w:noProof/>
          <w:sz w:val="24"/>
          <w:szCs w:val="24"/>
          <w:rtl/>
        </w:rPr>
        <w:t>ק</w:t>
      </w:r>
      <w:r>
        <w:rPr>
          <w:rFonts w:ascii="David" w:hAnsi="David" w:cs="David" w:hint="cs"/>
          <w:noProof/>
          <w:sz w:val="24"/>
          <w:szCs w:val="24"/>
          <w:rtl/>
        </w:rPr>
        <w:t>רונות עם העוררת</w:t>
      </w:r>
      <w:r w:rsidR="00AD2B64">
        <w:rPr>
          <w:rFonts w:ascii="David" w:hAnsi="David" w:cs="David" w:hint="cs"/>
          <w:sz w:val="24"/>
          <w:szCs w:val="24"/>
          <w:rtl/>
        </w:rPr>
        <w:t xml:space="preserve"> וכן עשייה במקרקעין לפי סעיף 188 לפקודת העיריות (נוסח חדש).</w:t>
      </w:r>
    </w:p>
    <w:p w14:paraId="5421DF95" w14:textId="77777777" w:rsidR="00FD7007" w:rsidRDefault="006A2A93"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t>ביום 2.8.2022 נחתם הסכם העקרונות בין העירייה לבין העוררת, והתוכנית המפורטת הועברה לוועדה המחוזית לקליטה ולדיון.</w:t>
      </w:r>
    </w:p>
    <w:p w14:paraId="328B2DD2" w14:textId="77777777" w:rsidR="006A2A93" w:rsidRPr="00700DB1" w:rsidRDefault="006A2A93"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t xml:space="preserve">בין מועד החלטת מליאת מועצת העיר לבין מועד חתימת הסכם העקרונות פורסמה למתן תוקף, ביום 26.6.2022, </w:t>
      </w:r>
      <w:proofErr w:type="spellStart"/>
      <w:r>
        <w:rPr>
          <w:rFonts w:cs="David" w:hint="cs"/>
          <w:sz w:val="24"/>
          <w:szCs w:val="24"/>
          <w:rtl/>
        </w:rPr>
        <w:t>תוכנית</w:t>
      </w:r>
      <w:proofErr w:type="spellEnd"/>
      <w:r>
        <w:rPr>
          <w:rFonts w:cs="David" w:hint="cs"/>
          <w:sz w:val="24"/>
          <w:szCs w:val="24"/>
          <w:rtl/>
        </w:rPr>
        <w:t xml:space="preserve"> כוללנית להוד השרון, היא </w:t>
      </w:r>
      <w:proofErr w:type="spellStart"/>
      <w:r>
        <w:rPr>
          <w:rFonts w:cs="David" w:hint="cs"/>
          <w:sz w:val="24"/>
          <w:szCs w:val="24"/>
          <w:rtl/>
        </w:rPr>
        <w:t>תוכנית</w:t>
      </w:r>
      <w:proofErr w:type="spellEnd"/>
      <w:r>
        <w:rPr>
          <w:rFonts w:cs="David" w:hint="cs"/>
          <w:sz w:val="24"/>
          <w:szCs w:val="24"/>
          <w:rtl/>
        </w:rPr>
        <w:t xml:space="preserve"> הר/2050 (להלן: "</w:t>
      </w:r>
      <w:r w:rsidRPr="00650388">
        <w:rPr>
          <w:rFonts w:cs="David" w:hint="cs"/>
          <w:b/>
          <w:bCs/>
          <w:sz w:val="24"/>
          <w:szCs w:val="24"/>
          <w:rtl/>
        </w:rPr>
        <w:t>התוכנית הכוללנית</w:t>
      </w:r>
      <w:r>
        <w:rPr>
          <w:rFonts w:cs="David" w:hint="cs"/>
          <w:sz w:val="24"/>
          <w:szCs w:val="24"/>
          <w:rtl/>
        </w:rPr>
        <w:t xml:space="preserve">"). התוכנית הכוללנית קבעה בין מטרותיה יצירת </w:t>
      </w:r>
      <w:r w:rsidRPr="00700DB1">
        <w:rPr>
          <w:rFonts w:cs="David"/>
          <w:sz w:val="24"/>
          <w:szCs w:val="24"/>
          <w:rtl/>
        </w:rPr>
        <w:t>מסגרת תכנונית לאישור תכניות מפורטת על ידי הועדה המקומית</w:t>
      </w:r>
      <w:r>
        <w:rPr>
          <w:rFonts w:cs="David" w:hint="cs"/>
          <w:sz w:val="24"/>
          <w:szCs w:val="24"/>
          <w:rtl/>
        </w:rPr>
        <w:t xml:space="preserve">. עוד נקבע בתוכנית הכוללנית, כי היא אינה מבטלת </w:t>
      </w:r>
      <w:proofErr w:type="spellStart"/>
      <w:r>
        <w:rPr>
          <w:rFonts w:cs="David" w:hint="cs"/>
          <w:sz w:val="24"/>
          <w:szCs w:val="24"/>
          <w:rtl/>
        </w:rPr>
        <w:t>תוכניות</w:t>
      </w:r>
      <w:proofErr w:type="spellEnd"/>
      <w:r>
        <w:rPr>
          <w:rFonts w:cs="David" w:hint="cs"/>
          <w:sz w:val="24"/>
          <w:szCs w:val="24"/>
          <w:rtl/>
        </w:rPr>
        <w:t xml:space="preserve"> מאושרות.</w:t>
      </w:r>
    </w:p>
    <w:p w14:paraId="2069B133" w14:textId="77777777" w:rsidR="00FD7007" w:rsidRDefault="006A2A93" w:rsidP="008767CB">
      <w:pPr>
        <w:pStyle w:val="af"/>
        <w:numPr>
          <w:ilvl w:val="0"/>
          <w:numId w:val="1"/>
        </w:numPr>
        <w:spacing w:line="360" w:lineRule="auto"/>
        <w:ind w:right="-142"/>
        <w:contextualSpacing w:val="0"/>
        <w:jc w:val="both"/>
        <w:rPr>
          <w:rFonts w:cs="David"/>
          <w:sz w:val="24"/>
          <w:szCs w:val="24"/>
        </w:rPr>
      </w:pPr>
      <w:r>
        <w:rPr>
          <w:rFonts w:cs="David" w:hint="cs"/>
          <w:sz w:val="24"/>
          <w:szCs w:val="24"/>
          <w:rtl/>
        </w:rPr>
        <w:t>בעקבות כניסתה לתוקף של התוכנית הכוללנית פנו נציגי לשכת התכנון המחוזית לעירייה, והבהירו  כי התוכנית המפורטת והוראות השלביות החדשות שבה מצויות כעת בסמכות הוועדה המקומית.</w:t>
      </w:r>
    </w:p>
    <w:p w14:paraId="11BFB830" w14:textId="77777777" w:rsidR="008767CB" w:rsidRPr="00512468" w:rsidRDefault="00512468" w:rsidP="002274CC">
      <w:pPr>
        <w:pStyle w:val="af"/>
        <w:numPr>
          <w:ilvl w:val="0"/>
          <w:numId w:val="1"/>
        </w:numPr>
        <w:spacing w:line="360" w:lineRule="auto"/>
        <w:ind w:right="-142"/>
        <w:contextualSpacing w:val="0"/>
        <w:jc w:val="both"/>
        <w:rPr>
          <w:rFonts w:cs="David"/>
          <w:sz w:val="24"/>
          <w:szCs w:val="24"/>
        </w:rPr>
      </w:pPr>
      <w:r>
        <w:rPr>
          <w:rFonts w:cs="David" w:hint="cs"/>
          <w:sz w:val="24"/>
          <w:szCs w:val="24"/>
          <w:rtl/>
        </w:rPr>
        <w:t xml:space="preserve">לנוכח זאת </w:t>
      </w:r>
      <w:r w:rsidR="008767CB" w:rsidRPr="00512468">
        <w:rPr>
          <w:rFonts w:cs="David" w:hint="cs"/>
          <w:sz w:val="24"/>
          <w:szCs w:val="24"/>
          <w:rtl/>
        </w:rPr>
        <w:t>שובצה התוכנית המפורטת לדיון בפני ועדת המשנה.</w:t>
      </w:r>
      <w:r w:rsidRPr="00512468">
        <w:rPr>
          <w:rFonts w:cs="David" w:hint="cs"/>
          <w:sz w:val="24"/>
          <w:szCs w:val="24"/>
          <w:rtl/>
        </w:rPr>
        <w:t xml:space="preserve"> </w:t>
      </w:r>
      <w:r w:rsidR="008767CB" w:rsidRPr="00512468">
        <w:rPr>
          <w:rFonts w:cs="David" w:hint="cs"/>
          <w:sz w:val="24"/>
          <w:szCs w:val="24"/>
          <w:rtl/>
        </w:rPr>
        <w:t>ביום 21.5.2023 החליטה ועדת המשנה להפקיד את התוכנית המפורטת, בכפוף להגשת כתב שיפוי ותיקונים טכניים בהתאם להמלצת הצוות המקצועי</w:t>
      </w:r>
      <w:r>
        <w:rPr>
          <w:rFonts w:cs="David" w:hint="cs"/>
          <w:sz w:val="24"/>
          <w:szCs w:val="24"/>
          <w:rtl/>
        </w:rPr>
        <w:t>. וזו לשון החלטת ועדת המשנה:</w:t>
      </w:r>
    </w:p>
    <w:p w14:paraId="0309C7EF" w14:textId="77777777" w:rsidR="008767CB" w:rsidRPr="00185BF8" w:rsidRDefault="008767CB" w:rsidP="008767CB">
      <w:pPr>
        <w:pStyle w:val="af1"/>
        <w:spacing w:after="120" w:line="240" w:lineRule="auto"/>
        <w:ind w:left="1179" w:right="992"/>
        <w:rPr>
          <w:rtl/>
        </w:rPr>
      </w:pPr>
      <w:r w:rsidRPr="00185BF8">
        <w:rPr>
          <w:rFonts w:hint="cs"/>
          <w:rtl/>
        </w:rPr>
        <w:t>"החלטה:</w:t>
      </w:r>
    </w:p>
    <w:p w14:paraId="2947BBAC" w14:textId="77777777" w:rsidR="008767CB" w:rsidRPr="00185BF8" w:rsidRDefault="008767CB" w:rsidP="008767CB">
      <w:pPr>
        <w:pStyle w:val="af1"/>
        <w:spacing w:after="120" w:line="240" w:lineRule="auto"/>
        <w:ind w:left="1179" w:right="992"/>
        <w:rPr>
          <w:rtl/>
        </w:rPr>
      </w:pPr>
      <w:r w:rsidRPr="00185BF8">
        <w:rPr>
          <w:rFonts w:hint="cs"/>
          <w:rtl/>
        </w:rPr>
        <w:t>לאור קבלת עמדת לשכת התכנון המחוזית כי התכנית שהומלצה להפקדה במליאת הוועדה המקומית ביום 31.5.2021 הינה תכנים בסמכות ועדה מקומית, מחליטה הוועדה להפקיד את התכנית בתנאים הבאים:</w:t>
      </w:r>
    </w:p>
    <w:p w14:paraId="3FF77088" w14:textId="77777777" w:rsidR="008767CB" w:rsidRPr="00185BF8" w:rsidRDefault="008767CB" w:rsidP="008767CB">
      <w:pPr>
        <w:pStyle w:val="af1"/>
        <w:spacing w:after="120" w:line="240" w:lineRule="auto"/>
        <w:ind w:left="1179" w:right="992"/>
      </w:pPr>
      <w:r w:rsidRPr="00185BF8">
        <w:rPr>
          <w:rFonts w:hint="cs"/>
          <w:rtl/>
        </w:rPr>
        <w:t>לאשר קביעת הוראות איחוד וחלוקה לכל המתחם.</w:t>
      </w:r>
    </w:p>
    <w:p w14:paraId="12A4E0FC" w14:textId="77777777" w:rsidR="008767CB" w:rsidRPr="00185BF8" w:rsidRDefault="008767CB" w:rsidP="008767CB">
      <w:pPr>
        <w:pStyle w:val="af1"/>
        <w:spacing w:after="120" w:line="240" w:lineRule="auto"/>
        <w:ind w:left="1179" w:right="992"/>
      </w:pPr>
      <w:r w:rsidRPr="00185BF8">
        <w:rPr>
          <w:rFonts w:hint="cs"/>
          <w:rtl/>
        </w:rPr>
        <w:t xml:space="preserve">לאשר שינוי שלביות הביצוע מהתכנית </w:t>
      </w:r>
      <w:proofErr w:type="spellStart"/>
      <w:r w:rsidRPr="00185BF8">
        <w:rPr>
          <w:rFonts w:hint="cs"/>
          <w:rtl/>
        </w:rPr>
        <w:t>המתארית</w:t>
      </w:r>
      <w:proofErr w:type="spellEnd"/>
      <w:r w:rsidRPr="00185BF8">
        <w:rPr>
          <w:rFonts w:hint="cs"/>
          <w:rtl/>
        </w:rPr>
        <w:t xml:space="preserve"> לבניה בו זמנית של שטחי המגורים ושטחי הציבור.</w:t>
      </w:r>
    </w:p>
    <w:p w14:paraId="5A57D346" w14:textId="77777777" w:rsidR="008767CB" w:rsidRPr="00185BF8" w:rsidRDefault="008767CB" w:rsidP="008767CB">
      <w:pPr>
        <w:pStyle w:val="af1"/>
        <w:spacing w:after="120" w:line="240" w:lineRule="auto"/>
        <w:ind w:left="1179" w:right="992"/>
      </w:pPr>
      <w:r w:rsidRPr="00185BF8">
        <w:rPr>
          <w:rFonts w:hint="cs"/>
          <w:rtl/>
        </w:rPr>
        <w:t>לאשר קביעת הוראות תחבורה וחניה לכל המתחם.</w:t>
      </w:r>
    </w:p>
    <w:p w14:paraId="76511951" w14:textId="77777777" w:rsidR="008767CB" w:rsidRPr="00185BF8" w:rsidRDefault="008767CB" w:rsidP="008767CB">
      <w:pPr>
        <w:pStyle w:val="af1"/>
        <w:spacing w:after="120" w:line="240" w:lineRule="auto"/>
        <w:ind w:left="1179" w:right="992"/>
      </w:pPr>
      <w:r w:rsidRPr="00185BF8">
        <w:rPr>
          <w:rFonts w:hint="cs"/>
          <w:rtl/>
        </w:rPr>
        <w:t>לאשר קביעת זיקת הנאה כהמשך למדרכה וקביעת מבנים להריסה.</w:t>
      </w:r>
    </w:p>
    <w:p w14:paraId="2045200E" w14:textId="77777777" w:rsidR="008767CB" w:rsidRPr="00185BF8" w:rsidRDefault="008767CB" w:rsidP="008767CB">
      <w:pPr>
        <w:pStyle w:val="af1"/>
        <w:spacing w:after="120" w:line="240" w:lineRule="auto"/>
        <w:ind w:left="1179" w:right="992"/>
      </w:pPr>
      <w:r w:rsidRPr="00185BF8">
        <w:rPr>
          <w:rFonts w:hint="cs"/>
          <w:rtl/>
        </w:rPr>
        <w:t>לאשר קביעת הוראות בינוי.</w:t>
      </w:r>
    </w:p>
    <w:p w14:paraId="16EB74A8" w14:textId="77777777" w:rsidR="008767CB" w:rsidRPr="00185BF8" w:rsidRDefault="008767CB" w:rsidP="008767CB">
      <w:pPr>
        <w:pStyle w:val="af1"/>
        <w:spacing w:after="120" w:line="240" w:lineRule="auto"/>
        <w:ind w:left="1179" w:right="992"/>
      </w:pPr>
      <w:r w:rsidRPr="00185BF8">
        <w:rPr>
          <w:rFonts w:hint="cs"/>
          <w:rtl/>
        </w:rPr>
        <w:t>לאשר שינוי וקביעת קווי בניין.</w:t>
      </w:r>
    </w:p>
    <w:p w14:paraId="61E71404" w14:textId="77777777" w:rsidR="008767CB" w:rsidRPr="00185BF8" w:rsidRDefault="008767CB" w:rsidP="008767CB">
      <w:pPr>
        <w:pStyle w:val="af1"/>
        <w:spacing w:after="120" w:line="240" w:lineRule="auto"/>
        <w:ind w:left="1179" w:right="992"/>
      </w:pPr>
      <w:r w:rsidRPr="00185BF8">
        <w:rPr>
          <w:rFonts w:hint="cs"/>
          <w:rtl/>
        </w:rPr>
        <w:t>במגרש 401 בייעוד מגורים ומסחר:</w:t>
      </w:r>
    </w:p>
    <w:p w14:paraId="78F7C620" w14:textId="77777777" w:rsidR="008767CB" w:rsidRPr="00185BF8" w:rsidRDefault="008767CB" w:rsidP="008767CB">
      <w:pPr>
        <w:pStyle w:val="af1"/>
        <w:spacing w:after="120" w:line="240" w:lineRule="auto"/>
        <w:ind w:left="1179" w:right="992"/>
      </w:pPr>
      <w:r w:rsidRPr="00185BF8">
        <w:rPr>
          <w:rFonts w:hint="cs"/>
          <w:rtl/>
        </w:rPr>
        <w:t>לאשר תוספת קומות מ-16 קומות ל-19 קומות ללא שינוי אופי הבניין וללא שינוי היחס בין הבניין לסביבתו.</w:t>
      </w:r>
    </w:p>
    <w:p w14:paraId="5478B04F" w14:textId="77777777" w:rsidR="008767CB" w:rsidRPr="00185BF8" w:rsidRDefault="008767CB" w:rsidP="008767CB">
      <w:pPr>
        <w:pStyle w:val="af1"/>
        <w:spacing w:after="120" w:line="240" w:lineRule="auto"/>
        <w:ind w:left="1179" w:right="992"/>
      </w:pPr>
      <w:r w:rsidRPr="00185BF8">
        <w:rPr>
          <w:rFonts w:hint="cs"/>
          <w:rtl/>
        </w:rPr>
        <w:t>לאשר תוספת 400 מ"ר שטח עיקרי למסחר בקומת הקרקע ובקומת הגלריה.</w:t>
      </w:r>
    </w:p>
    <w:p w14:paraId="3510BC1D" w14:textId="77777777" w:rsidR="008767CB" w:rsidRPr="00185BF8" w:rsidRDefault="008767CB" w:rsidP="008767CB">
      <w:pPr>
        <w:pStyle w:val="af1"/>
        <w:spacing w:after="120" w:line="240" w:lineRule="auto"/>
        <w:ind w:left="1179" w:right="992"/>
      </w:pPr>
      <w:r w:rsidRPr="00185BF8">
        <w:rPr>
          <w:rFonts w:hint="cs"/>
          <w:rtl/>
        </w:rPr>
        <w:t>לאשר תוספת 5,406 מ"ר שטחי שירות בתת הקרקע עבור חניה תת קרקעית ואזור תפעול.</w:t>
      </w:r>
    </w:p>
    <w:p w14:paraId="5E0D7036" w14:textId="77777777" w:rsidR="008767CB" w:rsidRPr="00185BF8" w:rsidRDefault="008767CB" w:rsidP="008767CB">
      <w:pPr>
        <w:pStyle w:val="af1"/>
        <w:spacing w:after="120" w:line="240" w:lineRule="auto"/>
        <w:ind w:left="1179" w:right="992"/>
      </w:pPr>
      <w:r w:rsidRPr="00185BF8">
        <w:rPr>
          <w:rFonts w:hint="cs"/>
          <w:rtl/>
        </w:rPr>
        <w:t>במגרש 101 בייעוד מבנים ומוסדות ציבור:</w:t>
      </w:r>
    </w:p>
    <w:p w14:paraId="4496B2FD" w14:textId="77777777" w:rsidR="008767CB" w:rsidRPr="00185BF8" w:rsidRDefault="008767CB" w:rsidP="008767CB">
      <w:pPr>
        <w:pStyle w:val="af1"/>
        <w:spacing w:after="120" w:line="240" w:lineRule="auto"/>
        <w:ind w:left="1179" w:right="992"/>
      </w:pPr>
      <w:r w:rsidRPr="00185BF8">
        <w:rPr>
          <w:rFonts w:hint="cs"/>
          <w:rtl/>
        </w:rPr>
        <w:t xml:space="preserve">לאשר הגדלת שטח מגרש </w:t>
      </w:r>
      <w:proofErr w:type="spellStart"/>
      <w:r w:rsidRPr="00185BF8">
        <w:rPr>
          <w:rFonts w:hint="cs"/>
          <w:rtl/>
        </w:rPr>
        <w:t>השב"צ</w:t>
      </w:r>
      <w:proofErr w:type="spellEnd"/>
      <w:r w:rsidRPr="00185BF8">
        <w:rPr>
          <w:rFonts w:hint="cs"/>
          <w:rtl/>
        </w:rPr>
        <w:t xml:space="preserve"> על חשבון שטחי החניון הציבורי.</w:t>
      </w:r>
    </w:p>
    <w:p w14:paraId="645D78E9" w14:textId="77777777" w:rsidR="008767CB" w:rsidRPr="00185BF8" w:rsidRDefault="008767CB" w:rsidP="008767CB">
      <w:pPr>
        <w:pStyle w:val="af1"/>
        <w:spacing w:after="120" w:line="240" w:lineRule="auto"/>
        <w:ind w:left="1179" w:right="992"/>
      </w:pPr>
      <w:r w:rsidRPr="00185BF8">
        <w:rPr>
          <w:rFonts w:hint="cs"/>
          <w:rtl/>
        </w:rPr>
        <w:t>לאשר הגדלת זכויות הבניה בייעוד מבנים ומוסדות ציבור ל-120% שטח עיקרי בסה"כ 100% שטחי ציבור ו-20% שטחים סחירים לתעסוקה ומסחר בעלי אופי ציבורי.</w:t>
      </w:r>
    </w:p>
    <w:p w14:paraId="70F47D26" w14:textId="77777777" w:rsidR="008767CB" w:rsidRPr="00185BF8" w:rsidRDefault="008767CB" w:rsidP="008767CB">
      <w:pPr>
        <w:pStyle w:val="af1"/>
        <w:spacing w:after="120" w:line="240" w:lineRule="auto"/>
        <w:ind w:left="1179" w:right="992"/>
      </w:pPr>
      <w:r w:rsidRPr="00185BF8">
        <w:rPr>
          <w:rFonts w:hint="cs"/>
          <w:rtl/>
        </w:rPr>
        <w:t>לאשר תוספת 7,230 מ"ר שטחי שירות בתת הקרקע. לציין כי התוספת הינה מתוקף סעיף 62(א)(ג).</w:t>
      </w:r>
    </w:p>
    <w:p w14:paraId="6E721A55" w14:textId="77777777" w:rsidR="008767CB" w:rsidRPr="00185BF8" w:rsidRDefault="008767CB" w:rsidP="008767CB">
      <w:pPr>
        <w:pStyle w:val="af1"/>
        <w:spacing w:after="120" w:line="240" w:lineRule="auto"/>
        <w:ind w:left="1179" w:right="992"/>
      </w:pPr>
      <w:r w:rsidRPr="00185BF8">
        <w:rPr>
          <w:rFonts w:hint="cs"/>
          <w:rtl/>
        </w:rPr>
        <w:t xml:space="preserve">לעניין מספר קומות </w:t>
      </w:r>
      <w:proofErr w:type="spellStart"/>
      <w:r w:rsidRPr="00185BF8">
        <w:rPr>
          <w:rFonts w:hint="cs"/>
          <w:rtl/>
        </w:rPr>
        <w:t>בשב"צ</w:t>
      </w:r>
      <w:proofErr w:type="spellEnd"/>
      <w:r w:rsidRPr="00185BF8">
        <w:rPr>
          <w:rFonts w:hint="cs"/>
          <w:rtl/>
        </w:rPr>
        <w:t xml:space="preserve"> </w:t>
      </w:r>
      <w:r w:rsidRPr="00185BF8">
        <w:rPr>
          <w:rtl/>
        </w:rPr>
        <w:t>–</w:t>
      </w:r>
      <w:r w:rsidRPr="00185BF8">
        <w:rPr>
          <w:rFonts w:hint="cs"/>
          <w:rtl/>
        </w:rPr>
        <w:t xml:space="preserve"> יש לתקן לגובה של ק+4.</w:t>
      </w:r>
    </w:p>
    <w:p w14:paraId="2A690EB7" w14:textId="77777777" w:rsidR="008767CB" w:rsidRPr="00185BF8" w:rsidRDefault="008767CB" w:rsidP="008767CB">
      <w:pPr>
        <w:pStyle w:val="af1"/>
        <w:spacing w:after="120" w:line="240" w:lineRule="auto"/>
        <w:ind w:left="1179" w:right="992"/>
      </w:pPr>
      <w:r w:rsidRPr="00185BF8">
        <w:rPr>
          <w:rFonts w:hint="cs"/>
          <w:rtl/>
        </w:rPr>
        <w:t>כל תכנית הכוללת מבנים בגובה קרקע+ 6 קומות+ גג ויותר תהיה בתיאום משרד הביטחון (בהתאם לסעיף 6.7.4 בתכנית הר/2050).</w:t>
      </w:r>
    </w:p>
    <w:p w14:paraId="1B66423F" w14:textId="77777777" w:rsidR="008767CB" w:rsidRPr="00185BF8" w:rsidRDefault="008767CB" w:rsidP="008767CB">
      <w:pPr>
        <w:pStyle w:val="af1"/>
        <w:spacing w:after="120" w:line="240" w:lineRule="auto"/>
        <w:ind w:left="1179" w:right="992"/>
      </w:pPr>
      <w:r w:rsidRPr="00185BF8">
        <w:rPr>
          <w:rFonts w:hint="cs"/>
          <w:rtl/>
        </w:rPr>
        <w:lastRenderedPageBreak/>
        <w:t xml:space="preserve">הגשת כתב שיפוי מקורי חתום </w:t>
      </w:r>
      <w:r w:rsidRPr="00185BF8">
        <w:rPr>
          <w:rtl/>
        </w:rPr>
        <w:t>–</w:t>
      </w:r>
      <w:r w:rsidRPr="00185BF8">
        <w:rPr>
          <w:rFonts w:hint="cs"/>
          <w:rtl/>
        </w:rPr>
        <w:t xml:space="preserve"> בהנחיית היועמ"ש של העירייה.</w:t>
      </w:r>
    </w:p>
    <w:p w14:paraId="3D083478" w14:textId="77777777" w:rsidR="008767CB" w:rsidRPr="00185BF8" w:rsidRDefault="008767CB" w:rsidP="008767CB">
      <w:pPr>
        <w:pStyle w:val="af1"/>
        <w:spacing w:after="240" w:line="240" w:lineRule="auto"/>
        <w:ind w:left="1179" w:right="992"/>
      </w:pPr>
      <w:r w:rsidRPr="00185BF8">
        <w:rPr>
          <w:rFonts w:hint="cs"/>
          <w:rtl/>
        </w:rPr>
        <w:t>תיקונים טכניים."</w:t>
      </w:r>
    </w:p>
    <w:p w14:paraId="7ED1A14D" w14:textId="77777777" w:rsidR="008767CB" w:rsidRDefault="008767CB" w:rsidP="008767CB">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ביום 21.5.2023 הוגשה בקשה מטעם </w:t>
      </w:r>
      <w:r w:rsidR="00512468">
        <w:rPr>
          <w:rFonts w:cs="David" w:hint="cs"/>
          <w:sz w:val="24"/>
          <w:szCs w:val="24"/>
          <w:rtl/>
        </w:rPr>
        <w:t xml:space="preserve">עו"ד חנוכה וחבר ועדה מקומית נוסף, </w:t>
      </w:r>
      <w:r>
        <w:rPr>
          <w:rFonts w:cs="David" w:hint="cs"/>
          <w:sz w:val="24"/>
          <w:szCs w:val="24"/>
          <w:rtl/>
        </w:rPr>
        <w:t>עו"ד ד"ר אלון גלבוע, לקי</w:t>
      </w:r>
      <w:r w:rsidR="00512468">
        <w:rPr>
          <w:rFonts w:cs="David" w:hint="cs"/>
          <w:sz w:val="24"/>
          <w:szCs w:val="24"/>
          <w:rtl/>
        </w:rPr>
        <w:t>י</w:t>
      </w:r>
      <w:r>
        <w:rPr>
          <w:rFonts w:cs="David" w:hint="cs"/>
          <w:sz w:val="24"/>
          <w:szCs w:val="24"/>
          <w:rtl/>
        </w:rPr>
        <w:t>ם דיון חוזר בהפקדת התוכנית המפורטת במליאת הוועדה המקומית בהתאם לסעיף 18(ז) לחוק (להלן: "</w:t>
      </w:r>
      <w:r w:rsidRPr="008767CB">
        <w:rPr>
          <w:rFonts w:cs="David" w:hint="cs"/>
          <w:b/>
          <w:bCs/>
          <w:sz w:val="24"/>
          <w:szCs w:val="24"/>
          <w:rtl/>
        </w:rPr>
        <w:t>דיון חוזר</w:t>
      </w:r>
      <w:r>
        <w:rPr>
          <w:rFonts w:cs="David" w:hint="cs"/>
          <w:sz w:val="24"/>
          <w:szCs w:val="24"/>
          <w:rtl/>
        </w:rPr>
        <w:t xml:space="preserve">"). הבקשה לדיון חוזר נומקה על ידי שני חברי הוועדה </w:t>
      </w:r>
      <w:r w:rsidR="00512468">
        <w:rPr>
          <w:rFonts w:cs="David" w:hint="cs"/>
          <w:sz w:val="24"/>
          <w:szCs w:val="24"/>
          <w:rtl/>
        </w:rPr>
        <w:t xml:space="preserve">המקומית </w:t>
      </w:r>
      <w:r>
        <w:rPr>
          <w:rFonts w:cs="David" w:hint="cs"/>
          <w:sz w:val="24"/>
          <w:szCs w:val="24"/>
          <w:rtl/>
        </w:rPr>
        <w:t>כך:</w:t>
      </w:r>
    </w:p>
    <w:p w14:paraId="4B2612A3" w14:textId="77777777" w:rsidR="00FD7007" w:rsidRPr="008767CB" w:rsidRDefault="008767CB" w:rsidP="008767CB">
      <w:pPr>
        <w:pStyle w:val="af1"/>
        <w:spacing w:after="120" w:line="240" w:lineRule="auto"/>
        <w:ind w:left="1179" w:right="992"/>
        <w:rPr>
          <w:rtl/>
        </w:rPr>
      </w:pPr>
      <w:r w:rsidRPr="008767CB">
        <w:rPr>
          <w:rFonts w:hint="cs"/>
          <w:rtl/>
        </w:rPr>
        <w:t>"לאור גודלה של התוכנית והשפעתה הרבה על מרקם הבינוי במרכז העיר וכן לאור העובדה שראש העיר מצוי בניגוד עניינים וההחלטה התקבלה בפורום מצומצם הכולל את חבר סיעתו של ראש עיר, סגנית ראש העיר וסגן ראש העיר ברוטציה.</w:t>
      </w:r>
    </w:p>
    <w:p w14:paraId="0EA5E73C" w14:textId="77777777" w:rsidR="008767CB" w:rsidRDefault="008767CB" w:rsidP="008767CB">
      <w:pPr>
        <w:pStyle w:val="af1"/>
        <w:spacing w:after="240" w:line="240" w:lineRule="auto"/>
        <w:ind w:left="1179" w:right="992"/>
        <w:rPr>
          <w:rtl/>
        </w:rPr>
      </w:pPr>
      <w:proofErr w:type="spellStart"/>
      <w:r w:rsidRPr="008767CB">
        <w:rPr>
          <w:rFonts w:hint="cs"/>
          <w:rtl/>
        </w:rPr>
        <w:t>תוכנית</w:t>
      </w:r>
      <w:proofErr w:type="spellEnd"/>
      <w:r w:rsidRPr="008767CB">
        <w:rPr>
          <w:rFonts w:hint="cs"/>
          <w:rtl/>
        </w:rPr>
        <w:t xml:space="preserve"> מסוג זה צריכה להתדיין בפורום רחב על מנת להבטיח שמירה על האינטרס הציבורי, השקיפות </w:t>
      </w:r>
      <w:proofErr w:type="spellStart"/>
      <w:r w:rsidRPr="008767CB">
        <w:rPr>
          <w:rFonts w:hint="cs"/>
          <w:rtl/>
        </w:rPr>
        <w:t>והמינהל</w:t>
      </w:r>
      <w:proofErr w:type="spellEnd"/>
      <w:r w:rsidRPr="008767CB">
        <w:rPr>
          <w:rFonts w:hint="cs"/>
          <w:rtl/>
        </w:rPr>
        <w:t xml:space="preserve"> התקין."</w:t>
      </w:r>
    </w:p>
    <w:p w14:paraId="0DA4B17B" w14:textId="77777777" w:rsidR="008767CB" w:rsidRDefault="008767CB" w:rsidP="008767CB">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במענה לבקשה זו השיבה היועמ"ש של הוועדה המקומית ביום 4.6.2023, בין השאר, כך:</w:t>
      </w:r>
    </w:p>
    <w:p w14:paraId="02397682" w14:textId="77777777" w:rsidR="008767CB" w:rsidRPr="008767CB" w:rsidRDefault="008767CB" w:rsidP="008767CB">
      <w:pPr>
        <w:pStyle w:val="af1"/>
        <w:spacing w:after="240" w:line="240" w:lineRule="auto"/>
        <w:ind w:left="1179" w:right="992"/>
        <w:rPr>
          <w:rtl/>
        </w:rPr>
      </w:pPr>
      <w:r w:rsidRPr="008767CB">
        <w:rPr>
          <w:rFonts w:hint="cs"/>
          <w:rtl/>
        </w:rPr>
        <w:t>"</w:t>
      </w:r>
      <w:proofErr w:type="spellStart"/>
      <w:r w:rsidRPr="008767CB">
        <w:rPr>
          <w:rFonts w:hint="cs"/>
          <w:rtl/>
        </w:rPr>
        <w:t>לענין</w:t>
      </w:r>
      <w:proofErr w:type="spellEnd"/>
      <w:r w:rsidRPr="008767CB">
        <w:rPr>
          <w:rFonts w:hint="cs"/>
          <w:rtl/>
        </w:rPr>
        <w:t xml:space="preserve"> תכנית 'בני ברית' </w:t>
      </w:r>
      <w:r w:rsidRPr="008767CB">
        <w:rPr>
          <w:rtl/>
        </w:rPr>
        <w:t>–</w:t>
      </w:r>
      <w:r w:rsidRPr="008767CB">
        <w:rPr>
          <w:rFonts w:hint="cs"/>
          <w:rtl/>
        </w:rPr>
        <w:t xml:space="preserve"> אזכיר כי תכנית זו נדונה כבר לפני כשנתיים בלבד במליאת הוועדה המקומית ולאחר מכן גם במועצת העיר במסגרת אישור הסכם המטלות הציבוריות. הדיון שנערך לפני כשבועיים </w:t>
      </w:r>
      <w:proofErr w:type="spellStart"/>
      <w:r w:rsidRPr="008767CB">
        <w:rPr>
          <w:rFonts w:hint="cs"/>
          <w:rtl/>
        </w:rPr>
        <w:t>בועדת</w:t>
      </w:r>
      <w:proofErr w:type="spellEnd"/>
      <w:r w:rsidRPr="008767CB">
        <w:rPr>
          <w:rFonts w:hint="cs"/>
          <w:rtl/>
        </w:rPr>
        <w:t xml:space="preserve"> המשנה הינו דיון שנדרש באופן פרוצדורלי לנוכח עמדת הוועדה המחוזית, לפיה התכנית מצויה בסמכות הוועדה המקומית.</w:t>
      </w:r>
    </w:p>
    <w:p w14:paraId="7183FCE4" w14:textId="77777777" w:rsidR="008767CB" w:rsidRDefault="008767CB" w:rsidP="008767CB">
      <w:pPr>
        <w:pStyle w:val="af1"/>
        <w:spacing w:after="240" w:line="240" w:lineRule="auto"/>
        <w:ind w:left="1179" w:right="992"/>
        <w:rPr>
          <w:rtl/>
        </w:rPr>
      </w:pPr>
      <w:r w:rsidRPr="008767CB">
        <w:rPr>
          <w:rFonts w:hint="cs"/>
          <w:rtl/>
        </w:rPr>
        <w:t xml:space="preserve">אבהיר ואדגיש כי לפי אגף התכנון </w:t>
      </w:r>
      <w:r w:rsidRPr="008767CB">
        <w:rPr>
          <w:rtl/>
        </w:rPr>
        <w:t>–</w:t>
      </w:r>
      <w:r w:rsidRPr="008767CB">
        <w:rPr>
          <w:rFonts w:hint="cs"/>
          <w:rtl/>
        </w:rPr>
        <w:t xml:space="preserve"> </w:t>
      </w:r>
      <w:r w:rsidRPr="008767CB">
        <w:rPr>
          <w:rFonts w:hint="cs"/>
          <w:u w:val="single"/>
          <w:rtl/>
        </w:rPr>
        <w:t xml:space="preserve">אין כל שינוי בתכנית שנדונה והומלצה ברוב קולות במליאת הוועדה המקומית בחודש מאי 2021 לבין התכנית שנדונה </w:t>
      </w:r>
      <w:proofErr w:type="spellStart"/>
      <w:r w:rsidRPr="008767CB">
        <w:rPr>
          <w:rFonts w:hint="cs"/>
          <w:u w:val="single"/>
          <w:rtl/>
        </w:rPr>
        <w:t>בועדת</w:t>
      </w:r>
      <w:proofErr w:type="spellEnd"/>
      <w:r w:rsidRPr="008767CB">
        <w:rPr>
          <w:rFonts w:hint="cs"/>
          <w:u w:val="single"/>
          <w:rtl/>
        </w:rPr>
        <w:t xml:space="preserve"> המשנה לפני כשבועיים</w:t>
      </w:r>
      <w:r w:rsidRPr="008767CB">
        <w:rPr>
          <w:rFonts w:hint="cs"/>
          <w:rtl/>
        </w:rPr>
        <w:t xml:space="preserve">, כך שלמעשה מדובר בדיון שנערך </w:t>
      </w:r>
      <w:proofErr w:type="spellStart"/>
      <w:r w:rsidRPr="008767CB">
        <w:rPr>
          <w:rFonts w:hint="cs"/>
          <w:rtl/>
        </w:rPr>
        <w:t>למעו</w:t>
      </w:r>
      <w:proofErr w:type="spellEnd"/>
      <w:r w:rsidRPr="008767CB">
        <w:rPr>
          <w:rFonts w:hint="cs"/>
          <w:rtl/>
        </w:rPr>
        <w:t xml:space="preserve"> הזהירות בלבד ושנובע רק מנושא </w:t>
      </w:r>
      <w:r w:rsidRPr="008767CB">
        <w:rPr>
          <w:rFonts w:hint="cs"/>
          <w:u w:val="single"/>
          <w:rtl/>
        </w:rPr>
        <w:t>הסמכות</w:t>
      </w:r>
      <w:r w:rsidRPr="008767CB">
        <w:rPr>
          <w:rFonts w:hint="cs"/>
          <w:rtl/>
        </w:rPr>
        <w:t xml:space="preserve"> שעוררה הוועדה המחוזית.</w:t>
      </w:r>
    </w:p>
    <w:p w14:paraId="6F89A25A" w14:textId="77777777" w:rsidR="008767CB" w:rsidRDefault="008767CB" w:rsidP="008767CB">
      <w:pPr>
        <w:pStyle w:val="af1"/>
        <w:spacing w:after="240" w:line="240" w:lineRule="auto"/>
        <w:ind w:left="1179" w:right="992"/>
        <w:rPr>
          <w:rtl/>
        </w:rPr>
      </w:pPr>
      <w:r>
        <w:rPr>
          <w:rFonts w:hint="cs"/>
          <w:rtl/>
        </w:rPr>
        <w:t>זאת ועוד, כידוע לך, בהתאם לעמדת הוועדה לניגוד עניינים במשרד המשפטים, הרי שהטענות שבבסיס בקשתך לדיון חוזר במליאת הוועדה</w:t>
      </w:r>
      <w:r w:rsidR="00F41DB8">
        <w:rPr>
          <w:rFonts w:hint="cs"/>
          <w:rtl/>
        </w:rPr>
        <w:t xml:space="preserve"> המקומית, לפיה "ההחלטה התקבלה בפורום מצומצם הכולל את חבר סיעתו של ראש עיר, סגנית ראש העיר וסגן ראש העיר ברוטציה" הן טענות שנדונו ונדחו  על ידי הוועדה למניעת ניגוד עניינים במשרד המשפטים בחוות דעתה מיום 17.10.2021.</w:t>
      </w:r>
    </w:p>
    <w:p w14:paraId="0E263A47" w14:textId="77777777" w:rsidR="00F41DB8" w:rsidRDefault="00F41DB8" w:rsidP="008767CB">
      <w:pPr>
        <w:pStyle w:val="af1"/>
        <w:spacing w:after="240" w:line="240" w:lineRule="auto"/>
        <w:ind w:left="1179" w:right="992"/>
        <w:rPr>
          <w:rtl/>
        </w:rPr>
      </w:pPr>
      <w:r>
        <w:rPr>
          <w:rFonts w:hint="cs"/>
          <w:rtl/>
        </w:rPr>
        <w:t xml:space="preserve">הנה כי כן, בהינתן העובדה שהתכנית כבר נדונה ארוכות במליאת הוועדה המקומית לפני שנתיים בלבד (תחת אותו הרכב חברים) וכן במועצת העיר, בהינתן כך שמדובר בהחלטה "טכנית" של הפקדת תכנית שהומלצה על ידי המליאה בעבר וכן בהתחשב בחוות דעתה של הוועדה למניעת ניגוד עניינים במשרד המשפטי, ובהעדר נימוקים תכנוניים או משפטיים </w:t>
      </w:r>
      <w:proofErr w:type="spellStart"/>
      <w:r>
        <w:rPr>
          <w:rFonts w:hint="cs"/>
          <w:rtl/>
        </w:rPr>
        <w:t>בענין</w:t>
      </w:r>
      <w:proofErr w:type="spellEnd"/>
      <w:r>
        <w:rPr>
          <w:rFonts w:hint="cs"/>
          <w:rtl/>
        </w:rPr>
        <w:t>, נראה על פניו כי אין מקום לקיים דיון חוזר, שוב, במליאת הוועדה המקומית.</w:t>
      </w:r>
    </w:p>
    <w:p w14:paraId="6B9678B4" w14:textId="77777777" w:rsidR="00F41DB8" w:rsidRPr="008767CB" w:rsidRDefault="00F41DB8" w:rsidP="008767CB">
      <w:pPr>
        <w:pStyle w:val="af1"/>
        <w:spacing w:after="240" w:line="240" w:lineRule="auto"/>
        <w:ind w:left="1179" w:right="992"/>
        <w:rPr>
          <w:rtl/>
        </w:rPr>
      </w:pPr>
      <w:r>
        <w:rPr>
          <w:rFonts w:hint="cs"/>
          <w:rtl/>
        </w:rPr>
        <w:t>יחד עם זאת, אני מודעת לזכותם של חברי ועדה לדרוש קיומו של דיון חוזר לפי סעיף 18(ז) לחוק התכנון והבניה ועל כן ביחס לתכנית זו, וככל שההסבר שהובא לעיל אינו מניח את הדעת, אנא עדכנו האם הנכם עומדים על קיומו של דיון חוזר בתכנית בני ברית כאמור."</w:t>
      </w:r>
    </w:p>
    <w:p w14:paraId="06A1731A" w14:textId="77777777" w:rsidR="00F41DB8" w:rsidRDefault="00F41DB8" w:rsidP="008767CB">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במענה לתשובה זו הודיעו שני חברי הוועדה </w:t>
      </w:r>
      <w:r w:rsidR="00512468">
        <w:rPr>
          <w:rFonts w:cs="David" w:hint="cs"/>
          <w:sz w:val="24"/>
          <w:szCs w:val="24"/>
          <w:rtl/>
        </w:rPr>
        <w:t xml:space="preserve">המקומית </w:t>
      </w:r>
      <w:r>
        <w:rPr>
          <w:rFonts w:cs="David" w:hint="cs"/>
          <w:sz w:val="24"/>
          <w:szCs w:val="24"/>
          <w:rtl/>
        </w:rPr>
        <w:t>שהם עומדים על קיומו של דיון חוזר בתוכנית המפורטת, וכך שובצה התוכנית לדיון חוזר במליאת הוועדה המקומית ביום 11.6.2023.</w:t>
      </w:r>
    </w:p>
    <w:p w14:paraId="7AC95A86" w14:textId="77777777" w:rsidR="00F41DB8" w:rsidRDefault="00F41DB8" w:rsidP="008767CB">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בתום אותו דיון התקבלה ברוב של 7 חברים לעומת 6 חברים, ההחלטה התמציתית שנזכרה לעיל, שלפיה "מליאת הוועדה אינה מאשרת את החלטת ועדת המשנה מיום 21.5.2023 להפקדת התכנית".</w:t>
      </w:r>
    </w:p>
    <w:p w14:paraId="19A2BBB8" w14:textId="77777777" w:rsidR="003C3F9F" w:rsidRDefault="003C3F9F" w:rsidP="008767CB">
      <w:pPr>
        <w:pStyle w:val="af"/>
        <w:numPr>
          <w:ilvl w:val="0"/>
          <w:numId w:val="1"/>
        </w:numPr>
        <w:spacing w:line="360" w:lineRule="auto"/>
        <w:ind w:left="470" w:right="-142" w:hanging="425"/>
        <w:contextualSpacing w:val="0"/>
        <w:jc w:val="both"/>
        <w:rPr>
          <w:rFonts w:cs="David"/>
          <w:sz w:val="24"/>
          <w:szCs w:val="24"/>
        </w:rPr>
      </w:pPr>
      <w:r w:rsidRPr="00B44C1F">
        <w:rPr>
          <w:rFonts w:cs="David" w:hint="eastAsia"/>
          <w:sz w:val="24"/>
          <w:szCs w:val="24"/>
          <w:rtl/>
        </w:rPr>
        <w:t>על</w:t>
      </w:r>
      <w:r w:rsidRPr="00B44C1F">
        <w:rPr>
          <w:rFonts w:cs="David"/>
          <w:sz w:val="24"/>
          <w:szCs w:val="24"/>
          <w:rtl/>
        </w:rPr>
        <w:t xml:space="preserve"> החלט</w:t>
      </w:r>
      <w:r>
        <w:rPr>
          <w:rFonts w:cs="David" w:hint="cs"/>
          <w:sz w:val="24"/>
          <w:szCs w:val="24"/>
          <w:rtl/>
        </w:rPr>
        <w:t xml:space="preserve">ה זו </w:t>
      </w:r>
      <w:r w:rsidRPr="00B44C1F">
        <w:rPr>
          <w:rFonts w:cs="David" w:hint="eastAsia"/>
          <w:sz w:val="24"/>
          <w:szCs w:val="24"/>
          <w:rtl/>
        </w:rPr>
        <w:t>הוגש</w:t>
      </w:r>
      <w:r w:rsidRPr="00B44C1F">
        <w:rPr>
          <w:rFonts w:cs="David"/>
          <w:sz w:val="24"/>
          <w:szCs w:val="24"/>
          <w:rtl/>
        </w:rPr>
        <w:t xml:space="preserve"> </w:t>
      </w:r>
      <w:r w:rsidRPr="00B44C1F">
        <w:rPr>
          <w:rFonts w:cs="David" w:hint="eastAsia"/>
          <w:sz w:val="24"/>
          <w:szCs w:val="24"/>
          <w:rtl/>
        </w:rPr>
        <w:t>הערר</w:t>
      </w:r>
      <w:r w:rsidRPr="00B44C1F">
        <w:rPr>
          <w:rFonts w:cs="David"/>
          <w:sz w:val="24"/>
          <w:szCs w:val="24"/>
          <w:rtl/>
        </w:rPr>
        <w:t xml:space="preserve"> </w:t>
      </w:r>
      <w:r w:rsidRPr="00B44C1F">
        <w:rPr>
          <w:rFonts w:cs="David" w:hint="eastAsia"/>
          <w:sz w:val="24"/>
          <w:szCs w:val="24"/>
          <w:rtl/>
        </w:rPr>
        <w:t>שבפנינו</w:t>
      </w:r>
      <w:r w:rsidRPr="00B44C1F">
        <w:rPr>
          <w:rFonts w:cs="David"/>
          <w:sz w:val="24"/>
          <w:szCs w:val="24"/>
          <w:rtl/>
        </w:rPr>
        <w:t>.</w:t>
      </w:r>
    </w:p>
    <w:p w14:paraId="13085132" w14:textId="7DDFB3D9" w:rsidR="00DB0C5E" w:rsidRDefault="00DB0C5E">
      <w:pPr>
        <w:bidi w:val="0"/>
        <w:rPr>
          <w:rFonts w:cs="David"/>
          <w:sz w:val="24"/>
          <w:szCs w:val="24"/>
          <w:rtl/>
        </w:rPr>
      </w:pPr>
      <w:r>
        <w:rPr>
          <w:rFonts w:cs="David"/>
          <w:sz w:val="24"/>
          <w:szCs w:val="24"/>
          <w:rtl/>
        </w:rPr>
        <w:br w:type="page"/>
      </w:r>
    </w:p>
    <w:p w14:paraId="411FAC5A" w14:textId="77777777" w:rsidR="00C91262" w:rsidRPr="00A22AFB" w:rsidRDefault="00C91262" w:rsidP="00C91262">
      <w:pPr>
        <w:spacing w:line="360" w:lineRule="auto"/>
        <w:ind w:right="-142"/>
        <w:jc w:val="both"/>
        <w:rPr>
          <w:rFonts w:cs="David"/>
          <w:b/>
          <w:bCs/>
          <w:sz w:val="26"/>
          <w:szCs w:val="26"/>
          <w:u w:val="single"/>
        </w:rPr>
      </w:pPr>
      <w:r w:rsidRPr="00A22AFB">
        <w:rPr>
          <w:rFonts w:cs="David" w:hint="cs"/>
          <w:b/>
          <w:bCs/>
          <w:sz w:val="26"/>
          <w:szCs w:val="26"/>
          <w:u w:val="single"/>
          <w:rtl/>
        </w:rPr>
        <w:lastRenderedPageBreak/>
        <w:t>הדיון בערר</w:t>
      </w:r>
    </w:p>
    <w:p w14:paraId="7723D395" w14:textId="40BB0FC2" w:rsidR="00C91262" w:rsidRDefault="00DB0C5E" w:rsidP="008767CB">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ראשית יצוין, ש</w:t>
      </w:r>
      <w:r w:rsidR="00C91262">
        <w:rPr>
          <w:rFonts w:cs="David" w:hint="cs"/>
          <w:sz w:val="24"/>
          <w:szCs w:val="24"/>
          <w:rtl/>
        </w:rPr>
        <w:t xml:space="preserve">מועד הדיון בערר, שנקבע במקור ליום 11.10.2023, נדחה עקב </w:t>
      </w:r>
      <w:r>
        <w:rPr>
          <w:rFonts w:cs="David" w:hint="cs"/>
          <w:sz w:val="24"/>
          <w:szCs w:val="24"/>
          <w:rtl/>
        </w:rPr>
        <w:t>אירועי השבעה באוקטובר ופרוץ מלחמת "חרבות ברזל". הדיון בערר</w:t>
      </w:r>
      <w:r w:rsidR="00C91262">
        <w:rPr>
          <w:rFonts w:cs="David" w:hint="cs"/>
          <w:sz w:val="24"/>
          <w:szCs w:val="24"/>
          <w:rtl/>
        </w:rPr>
        <w:t xml:space="preserve"> התקיים בסופו של דבר רק ביום 28.12.2023.</w:t>
      </w:r>
    </w:p>
    <w:p w14:paraId="3478E1A2" w14:textId="795963F0" w:rsidR="00C91262" w:rsidRDefault="00C91262" w:rsidP="00C91262">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ביום 18.12.2023, סמוך לפני מועד הדיון בערר, פנה חבר הוועדה המקומית, מר נדב דואני, באמצעות דואר אלקטרוני לוועדת הערר והבהיר את הסתייגותו ביחס לתוכנית המפורטת תוך שביקש לשנות את הצבעתו ולתמוך בהחלטת הוועדה המקומית. בהתאם להחלטת יו"ר ועדת הערר הועברה הפנייה להתייחסות הצדדים, תוך הבהרה כי אין מקום לפנייה פרטית של חבר ועדה מקומית לוועדת הערר </w:t>
      </w:r>
      <w:r w:rsidR="00DB0C5E">
        <w:rPr>
          <w:rFonts w:cs="David" w:hint="cs"/>
          <w:sz w:val="24"/>
          <w:szCs w:val="24"/>
          <w:rtl/>
        </w:rPr>
        <w:t>ב</w:t>
      </w:r>
      <w:r>
        <w:rPr>
          <w:rFonts w:cs="David" w:hint="cs"/>
          <w:sz w:val="24"/>
          <w:szCs w:val="24"/>
          <w:rtl/>
        </w:rPr>
        <w:t>ניסיון להשפיע על הליך תלוי ועומד בפני ועדת הערר. בהמשך לכך הביעו כל הצדדים את הסתייגותם מפנייתו של חבר הוועדה לוועדת הערר, והבהירו כי לא ניתן לשנות הצבעה ב</w:t>
      </w:r>
      <w:r w:rsidR="007102A9">
        <w:rPr>
          <w:rFonts w:cs="David" w:hint="cs"/>
          <w:sz w:val="24"/>
          <w:szCs w:val="24"/>
          <w:rtl/>
        </w:rPr>
        <w:t>דיעבד</w:t>
      </w:r>
      <w:r>
        <w:rPr>
          <w:rFonts w:cs="David" w:hint="cs"/>
          <w:sz w:val="24"/>
          <w:szCs w:val="24"/>
          <w:rtl/>
        </w:rPr>
        <w:t>.</w:t>
      </w:r>
    </w:p>
    <w:p w14:paraId="1C74C9E9" w14:textId="5CEBDE20" w:rsidR="00C91262" w:rsidRDefault="00C91262" w:rsidP="00C91262">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לדיון בערר הגיעו שני חברי </w:t>
      </w:r>
      <w:r w:rsidR="007102A9">
        <w:rPr>
          <w:rFonts w:cs="David" w:hint="cs"/>
          <w:sz w:val="24"/>
          <w:szCs w:val="24"/>
          <w:rtl/>
        </w:rPr>
        <w:t>הו</w:t>
      </w:r>
      <w:r>
        <w:rPr>
          <w:rFonts w:cs="David" w:hint="cs"/>
          <w:sz w:val="24"/>
          <w:szCs w:val="24"/>
          <w:rtl/>
        </w:rPr>
        <w:t xml:space="preserve">ועדה </w:t>
      </w:r>
      <w:r w:rsidR="007102A9">
        <w:rPr>
          <w:rFonts w:cs="David" w:hint="cs"/>
          <w:sz w:val="24"/>
          <w:szCs w:val="24"/>
          <w:rtl/>
        </w:rPr>
        <w:t>ה</w:t>
      </w:r>
      <w:r>
        <w:rPr>
          <w:rFonts w:cs="David" w:hint="cs"/>
          <w:sz w:val="24"/>
          <w:szCs w:val="24"/>
          <w:rtl/>
        </w:rPr>
        <w:t>מקומית</w:t>
      </w:r>
      <w:r w:rsidR="007102A9">
        <w:rPr>
          <w:rFonts w:cs="David" w:hint="cs"/>
          <w:sz w:val="24"/>
          <w:szCs w:val="24"/>
          <w:rtl/>
        </w:rPr>
        <w:t>:</w:t>
      </w:r>
      <w:r>
        <w:rPr>
          <w:rFonts w:cs="David" w:hint="cs"/>
          <w:sz w:val="24"/>
          <w:szCs w:val="24"/>
          <w:rtl/>
        </w:rPr>
        <w:t xml:space="preserve"> מר יגאל שמעון</w:t>
      </w:r>
      <w:r w:rsidR="007102A9">
        <w:rPr>
          <w:rFonts w:cs="David" w:hint="cs"/>
          <w:sz w:val="24"/>
          <w:szCs w:val="24"/>
          <w:rtl/>
        </w:rPr>
        <w:t>,</w:t>
      </w:r>
      <w:r>
        <w:rPr>
          <w:rFonts w:cs="David" w:hint="cs"/>
          <w:sz w:val="24"/>
          <w:szCs w:val="24"/>
          <w:rtl/>
        </w:rPr>
        <w:t xml:space="preserve"> אשר הצביע בעד החלטת הוועדה המקומית לבטל את החלטת ועדת המשנה, ומר רן יקיר</w:t>
      </w:r>
      <w:r w:rsidR="007102A9">
        <w:rPr>
          <w:rFonts w:cs="David" w:hint="cs"/>
          <w:sz w:val="24"/>
          <w:szCs w:val="24"/>
          <w:rtl/>
        </w:rPr>
        <w:t>,</w:t>
      </w:r>
      <w:r>
        <w:rPr>
          <w:rFonts w:cs="David" w:hint="cs"/>
          <w:sz w:val="24"/>
          <w:szCs w:val="24"/>
          <w:rtl/>
        </w:rPr>
        <w:t xml:space="preserve"> אשר הצביע נגד החלטת הוועדה המקומית לבטל את החלטת ועדת המשנה. שני חברי הוועדה המקומית הללו קיבלו את ההזדמנות לטעון בפני ועדת הערר בנוסף לב"כ הוועדה המקומית.</w:t>
      </w:r>
    </w:p>
    <w:p w14:paraId="4772C31D" w14:textId="77777777" w:rsidR="00192C46" w:rsidRDefault="00192C46" w:rsidP="003C3F9F">
      <w:pPr>
        <w:spacing w:line="360" w:lineRule="auto"/>
        <w:ind w:firstLine="43"/>
        <w:jc w:val="both"/>
        <w:rPr>
          <w:rFonts w:cs="David"/>
          <w:b/>
          <w:bCs/>
          <w:sz w:val="24"/>
          <w:szCs w:val="24"/>
          <w:u w:val="single"/>
          <w:rtl/>
        </w:rPr>
      </w:pPr>
    </w:p>
    <w:p w14:paraId="18B416B7" w14:textId="77777777" w:rsidR="003C3F9F" w:rsidRPr="00A22AFB" w:rsidRDefault="003C3F9F" w:rsidP="003C3F9F">
      <w:pPr>
        <w:spacing w:line="360" w:lineRule="auto"/>
        <w:ind w:firstLine="43"/>
        <w:jc w:val="both"/>
        <w:rPr>
          <w:rFonts w:cs="David"/>
          <w:b/>
          <w:bCs/>
          <w:sz w:val="26"/>
          <w:szCs w:val="26"/>
          <w:u w:val="single"/>
          <w:rtl/>
        </w:rPr>
      </w:pPr>
      <w:r w:rsidRPr="00A22AFB">
        <w:rPr>
          <w:rFonts w:cs="David" w:hint="cs"/>
          <w:b/>
          <w:bCs/>
          <w:sz w:val="26"/>
          <w:szCs w:val="26"/>
          <w:u w:val="single"/>
          <w:rtl/>
        </w:rPr>
        <w:t>עיקר טענות העוררת</w:t>
      </w:r>
    </w:p>
    <w:p w14:paraId="4FD82287" w14:textId="77777777" w:rsidR="00EC5599" w:rsidRDefault="00512468"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החלטת הוועדה המקומית לשנות את החלטת ועדת המשנה </w:t>
      </w:r>
      <w:r w:rsidR="00EC5599">
        <w:rPr>
          <w:rFonts w:cs="David" w:hint="cs"/>
          <w:sz w:val="24"/>
          <w:szCs w:val="24"/>
          <w:rtl/>
        </w:rPr>
        <w:t>התקבלה ללא שניתנה לבעלי העניין זכות טיעון בכתב או בעל פה, וזאת בניגוד להוראות הדין והפסיקה הרלבנטית</w:t>
      </w:r>
      <w:r w:rsidR="00A44C31">
        <w:rPr>
          <w:rFonts w:cs="David" w:hint="cs"/>
          <w:sz w:val="24"/>
          <w:szCs w:val="24"/>
          <w:rtl/>
        </w:rPr>
        <w:t xml:space="preserve"> המחייבות הליך דו-שלבי</w:t>
      </w:r>
      <w:r w:rsidR="00EC5599">
        <w:rPr>
          <w:rFonts w:cs="David" w:hint="cs"/>
          <w:sz w:val="24"/>
          <w:szCs w:val="24"/>
          <w:rtl/>
        </w:rPr>
        <w:t xml:space="preserve">. </w:t>
      </w:r>
    </w:p>
    <w:p w14:paraId="31B169CA" w14:textId="77777777" w:rsidR="00EC5599" w:rsidRDefault="00EC5599"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לא ניתן להסתפק בזימון העוררת לדיון לצורך מענה לשאלות ספציפיות של חברי ועדה בעניין ההתקשרות עם בעלי הזכויות, מה גם שלפי דין אין הכרח בהסכמת 100% מבעלי הזכויות במתחם לצורך הגשה, הפקדה או אפילו אישור של התוכנית.</w:t>
      </w:r>
      <w:r w:rsidR="00A44C31">
        <w:rPr>
          <w:rFonts w:cs="David" w:hint="cs"/>
          <w:sz w:val="24"/>
          <w:szCs w:val="24"/>
          <w:rtl/>
        </w:rPr>
        <w:t xml:space="preserve"> כאשר נציג העוררת נכנס לאולם הדיונים הוא לא היה חשוף לטענות שהועלו נגד התוכנית המפורטת קודם לכן,</w:t>
      </w:r>
      <w:r w:rsidR="00CC6573">
        <w:rPr>
          <w:rFonts w:cs="David" w:hint="cs"/>
          <w:sz w:val="24"/>
          <w:szCs w:val="24"/>
          <w:rtl/>
        </w:rPr>
        <w:t xml:space="preserve"> ואף לא ידע כל כך ששוקלים </w:t>
      </w:r>
      <w:r w:rsidR="00A44C31">
        <w:rPr>
          <w:rFonts w:cs="David" w:hint="cs"/>
          <w:sz w:val="24"/>
          <w:szCs w:val="24"/>
          <w:rtl/>
        </w:rPr>
        <w:t>לשנות את התוכנית המפורטת</w:t>
      </w:r>
      <w:r w:rsidR="00CC6573">
        <w:rPr>
          <w:rFonts w:cs="David" w:hint="cs"/>
          <w:sz w:val="24"/>
          <w:szCs w:val="24"/>
          <w:rtl/>
        </w:rPr>
        <w:t xml:space="preserve">. </w:t>
      </w:r>
      <w:r w:rsidR="00A44C31">
        <w:rPr>
          <w:rFonts w:cs="David" w:hint="cs"/>
          <w:sz w:val="24"/>
          <w:szCs w:val="24"/>
          <w:rtl/>
        </w:rPr>
        <w:t>נימוקי הבקשה לדיון חוזר</w:t>
      </w:r>
      <w:r w:rsidR="00CC6573">
        <w:rPr>
          <w:rFonts w:cs="David" w:hint="cs"/>
          <w:sz w:val="24"/>
          <w:szCs w:val="24"/>
          <w:rtl/>
        </w:rPr>
        <w:t xml:space="preserve"> נודעו לעוררת </w:t>
      </w:r>
      <w:r w:rsidR="00A44C31">
        <w:rPr>
          <w:rFonts w:cs="David" w:hint="cs"/>
          <w:sz w:val="24"/>
          <w:szCs w:val="24"/>
          <w:rtl/>
        </w:rPr>
        <w:t>רק בשלב הערר.</w:t>
      </w:r>
    </w:p>
    <w:p w14:paraId="7E342E90" w14:textId="77777777" w:rsidR="00EC5599" w:rsidRDefault="00EC5599"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בנוסף, עקב ההתראה הקצרה והשעה המאוחרת לא התאפשר לחלק מנציגי העוררת לקחת חלק בדיון הוועדה המקומית.</w:t>
      </w:r>
    </w:p>
    <w:p w14:paraId="32EB55C1" w14:textId="77777777" w:rsidR="003C3F9F" w:rsidRDefault="00995148"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פגם נוסף בהחלטה של הוועדה המקומית נעוץ בהעדר </w:t>
      </w:r>
      <w:r w:rsidR="003C3F9F">
        <w:rPr>
          <w:rFonts w:cs="David" w:hint="cs"/>
          <w:sz w:val="24"/>
          <w:szCs w:val="24"/>
          <w:rtl/>
        </w:rPr>
        <w:t xml:space="preserve">התאמה בין </w:t>
      </w:r>
      <w:r>
        <w:rPr>
          <w:rFonts w:cs="David" w:hint="cs"/>
          <w:sz w:val="24"/>
          <w:szCs w:val="24"/>
          <w:rtl/>
        </w:rPr>
        <w:t xml:space="preserve">נימוקי </w:t>
      </w:r>
      <w:r w:rsidR="003C3F9F">
        <w:rPr>
          <w:rFonts w:cs="David" w:hint="cs"/>
          <w:sz w:val="24"/>
          <w:szCs w:val="24"/>
          <w:rtl/>
        </w:rPr>
        <w:t xml:space="preserve">הבקשה </w:t>
      </w:r>
      <w:r>
        <w:rPr>
          <w:rFonts w:cs="David" w:hint="cs"/>
          <w:sz w:val="24"/>
          <w:szCs w:val="24"/>
          <w:rtl/>
        </w:rPr>
        <w:t xml:space="preserve">לקיום דיון חוזר לבין הטענות שעלו בדיון החוזר עצמו. הבקשה לדיון חוזר נומקה </w:t>
      </w:r>
      <w:r w:rsidR="003C3F9F">
        <w:rPr>
          <w:rFonts w:cs="David" w:hint="cs"/>
          <w:sz w:val="24"/>
          <w:szCs w:val="24"/>
          <w:rtl/>
        </w:rPr>
        <w:t>בגודלה ו</w:t>
      </w:r>
      <w:r>
        <w:rPr>
          <w:rFonts w:cs="David" w:hint="cs"/>
          <w:sz w:val="24"/>
          <w:szCs w:val="24"/>
          <w:rtl/>
        </w:rPr>
        <w:t>ב</w:t>
      </w:r>
      <w:r w:rsidR="003C3F9F">
        <w:rPr>
          <w:rFonts w:cs="David" w:hint="cs"/>
          <w:sz w:val="24"/>
          <w:szCs w:val="24"/>
          <w:rtl/>
        </w:rPr>
        <w:t>השפעתה של הת</w:t>
      </w:r>
      <w:r>
        <w:rPr>
          <w:rFonts w:cs="David" w:hint="cs"/>
          <w:sz w:val="24"/>
          <w:szCs w:val="24"/>
          <w:rtl/>
        </w:rPr>
        <w:t>ו</w:t>
      </w:r>
      <w:r w:rsidR="003C3F9F">
        <w:rPr>
          <w:rFonts w:cs="David" w:hint="cs"/>
          <w:sz w:val="24"/>
          <w:szCs w:val="24"/>
          <w:rtl/>
        </w:rPr>
        <w:t>כנית על מרקם הבינוי במרכז העיר</w:t>
      </w:r>
      <w:r>
        <w:rPr>
          <w:rFonts w:cs="David" w:hint="cs"/>
          <w:sz w:val="24"/>
          <w:szCs w:val="24"/>
          <w:rtl/>
        </w:rPr>
        <w:t xml:space="preserve">, בעוד שבדיון עצמו נדון </w:t>
      </w:r>
      <w:r w:rsidR="003C3F9F">
        <w:rPr>
          <w:rFonts w:cs="David" w:hint="cs"/>
          <w:sz w:val="24"/>
          <w:szCs w:val="24"/>
          <w:rtl/>
        </w:rPr>
        <w:t>היקף שטחי הציבור, אופן חלוקת המטלות, ההתקשרות בין העוררת לבעלי הזכויות, תוספת הקומות ושינוי השלביות.</w:t>
      </w:r>
    </w:p>
    <w:p w14:paraId="0945A84E" w14:textId="77777777" w:rsidR="003C3F9F" w:rsidRDefault="003C3F9F"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החלטת </w:t>
      </w:r>
      <w:r w:rsidR="00EC5599">
        <w:rPr>
          <w:rFonts w:cs="David" w:hint="cs"/>
          <w:sz w:val="24"/>
          <w:szCs w:val="24"/>
          <w:rtl/>
        </w:rPr>
        <w:t xml:space="preserve">הוועדה המקומית </w:t>
      </w:r>
      <w:r w:rsidR="00995148">
        <w:rPr>
          <w:rFonts w:cs="David" w:hint="cs"/>
          <w:sz w:val="24"/>
          <w:szCs w:val="24"/>
          <w:rtl/>
        </w:rPr>
        <w:t>ל</w:t>
      </w:r>
      <w:r w:rsidR="00EC5599">
        <w:rPr>
          <w:rFonts w:cs="David" w:hint="cs"/>
          <w:sz w:val="24"/>
          <w:szCs w:val="24"/>
          <w:rtl/>
        </w:rPr>
        <w:t xml:space="preserve">א </w:t>
      </w:r>
      <w:r>
        <w:rPr>
          <w:rFonts w:cs="David" w:hint="cs"/>
          <w:sz w:val="24"/>
          <w:szCs w:val="24"/>
          <w:rtl/>
        </w:rPr>
        <w:t xml:space="preserve">עומדת בתנאים שנקבעו בפסיקה לגבי שינוי עמדה של </w:t>
      </w:r>
      <w:r w:rsidR="00995148">
        <w:rPr>
          <w:rFonts w:cs="David" w:hint="cs"/>
          <w:sz w:val="24"/>
          <w:szCs w:val="24"/>
          <w:rtl/>
        </w:rPr>
        <w:t>מוסד</w:t>
      </w:r>
      <w:r>
        <w:rPr>
          <w:rFonts w:cs="David" w:hint="cs"/>
          <w:sz w:val="24"/>
          <w:szCs w:val="24"/>
          <w:rtl/>
        </w:rPr>
        <w:t xml:space="preserve"> תכנון</w:t>
      </w:r>
      <w:r w:rsidR="00995148">
        <w:rPr>
          <w:rFonts w:cs="David" w:hint="cs"/>
          <w:sz w:val="24"/>
          <w:szCs w:val="24"/>
          <w:rtl/>
        </w:rPr>
        <w:t xml:space="preserve">:  לא חל במקרה זה שינוי נסיבות כלשהו ואין אינטרס ציבורי שיצדיק את ביטול החלטת ועדת המשנה. </w:t>
      </w:r>
    </w:p>
    <w:p w14:paraId="50566DFC" w14:textId="77777777" w:rsidR="00EC5599" w:rsidRDefault="00EC5599"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lastRenderedPageBreak/>
        <w:t>החלטת הוועדה המקומית אינה מנומקת, ולא ניתן לדעת מדוע בוטלה החלטת ועדת המשנה. הדבר משמעותי במיוחד כאשר מדובר בהחלטה שהתקבלה בניגוד להמלצת הצוות המקצועי על הפקדת התוכנית.</w:t>
      </w:r>
    </w:p>
    <w:p w14:paraId="1EC6387C" w14:textId="788E412F" w:rsidR="003C3F9F" w:rsidRPr="00EC5599" w:rsidRDefault="00EC5599" w:rsidP="00F36E66">
      <w:pPr>
        <w:pStyle w:val="af"/>
        <w:numPr>
          <w:ilvl w:val="0"/>
          <w:numId w:val="1"/>
        </w:numPr>
        <w:spacing w:line="360" w:lineRule="auto"/>
        <w:ind w:left="470" w:right="-142" w:hanging="425"/>
        <w:contextualSpacing w:val="0"/>
        <w:jc w:val="both"/>
        <w:rPr>
          <w:rFonts w:cs="David"/>
          <w:sz w:val="24"/>
          <w:szCs w:val="24"/>
        </w:rPr>
      </w:pPr>
      <w:r w:rsidRPr="00EC5599">
        <w:rPr>
          <w:rFonts w:cs="David" w:hint="cs"/>
          <w:sz w:val="24"/>
          <w:szCs w:val="24"/>
          <w:rtl/>
        </w:rPr>
        <w:t>החלטת ועדת המשנה ה</w:t>
      </w:r>
      <w:r w:rsidR="00CC37ED">
        <w:rPr>
          <w:rFonts w:cs="David" w:hint="cs"/>
          <w:sz w:val="24"/>
          <w:szCs w:val="24"/>
          <w:rtl/>
        </w:rPr>
        <w:t>י</w:t>
      </w:r>
      <w:r w:rsidRPr="00EC5599">
        <w:rPr>
          <w:rFonts w:cs="David" w:hint="cs"/>
          <w:sz w:val="24"/>
          <w:szCs w:val="24"/>
          <w:rtl/>
        </w:rPr>
        <w:t xml:space="preserve">יתה נכונה, שכן מדובר </w:t>
      </w:r>
      <w:r w:rsidR="003C3F9F" w:rsidRPr="00EC5599">
        <w:rPr>
          <w:rFonts w:cs="David" w:hint="cs"/>
          <w:sz w:val="24"/>
          <w:szCs w:val="24"/>
          <w:rtl/>
        </w:rPr>
        <w:t>בת</w:t>
      </w:r>
      <w:r w:rsidRPr="00EC5599">
        <w:rPr>
          <w:rFonts w:cs="David" w:hint="cs"/>
          <w:sz w:val="24"/>
          <w:szCs w:val="24"/>
          <w:rtl/>
        </w:rPr>
        <w:t>ו</w:t>
      </w:r>
      <w:r w:rsidR="003C3F9F" w:rsidRPr="00EC5599">
        <w:rPr>
          <w:rFonts w:cs="David" w:hint="cs"/>
          <w:sz w:val="24"/>
          <w:szCs w:val="24"/>
          <w:rtl/>
        </w:rPr>
        <w:t xml:space="preserve">כנית </w:t>
      </w:r>
      <w:r w:rsidR="007102A9">
        <w:rPr>
          <w:rFonts w:cs="David" w:hint="cs"/>
          <w:sz w:val="24"/>
          <w:szCs w:val="24"/>
          <w:rtl/>
        </w:rPr>
        <w:t>מפורטת</w:t>
      </w:r>
      <w:r w:rsidR="003C3F9F" w:rsidRPr="00EC5599">
        <w:rPr>
          <w:rFonts w:cs="David" w:hint="cs"/>
          <w:sz w:val="24"/>
          <w:szCs w:val="24"/>
          <w:rtl/>
        </w:rPr>
        <w:t xml:space="preserve"> לאיחוד וחלוקה</w:t>
      </w:r>
      <w:r w:rsidRPr="00EC5599">
        <w:rPr>
          <w:rFonts w:cs="David" w:hint="cs"/>
          <w:sz w:val="24"/>
          <w:szCs w:val="24"/>
          <w:rtl/>
        </w:rPr>
        <w:t>,</w:t>
      </w:r>
      <w:r w:rsidR="003C3F9F" w:rsidRPr="00EC5599">
        <w:rPr>
          <w:rFonts w:cs="David" w:hint="cs"/>
          <w:sz w:val="24"/>
          <w:szCs w:val="24"/>
          <w:rtl/>
        </w:rPr>
        <w:t xml:space="preserve"> שהוגשה מכוח תכנית מתאר המאפשרת התחדשות עירונית של המתחם</w:t>
      </w:r>
      <w:r w:rsidR="007102A9">
        <w:rPr>
          <w:rFonts w:cs="David" w:hint="cs"/>
          <w:sz w:val="24"/>
          <w:szCs w:val="24"/>
          <w:rtl/>
        </w:rPr>
        <w:t>,</w:t>
      </w:r>
      <w:r w:rsidR="003C3F9F" w:rsidRPr="00EC5599">
        <w:rPr>
          <w:rFonts w:cs="David" w:hint="cs"/>
          <w:sz w:val="24"/>
          <w:szCs w:val="24"/>
          <w:rtl/>
        </w:rPr>
        <w:t xml:space="preserve"> תוך מתן תועלות ציבוריות משמעותיות.</w:t>
      </w:r>
      <w:r w:rsidRPr="00EC5599">
        <w:rPr>
          <w:rFonts w:cs="David" w:hint="cs"/>
          <w:sz w:val="24"/>
          <w:szCs w:val="24"/>
          <w:rtl/>
        </w:rPr>
        <w:t xml:space="preserve"> </w:t>
      </w:r>
      <w:r w:rsidR="003C3F9F" w:rsidRPr="00EC5599">
        <w:rPr>
          <w:rFonts w:cs="David" w:hint="cs"/>
          <w:sz w:val="24"/>
          <w:szCs w:val="24"/>
          <w:rtl/>
        </w:rPr>
        <w:t>לא מדובר בת</w:t>
      </w:r>
      <w:r w:rsidR="00CC37ED">
        <w:rPr>
          <w:rFonts w:cs="David" w:hint="cs"/>
          <w:sz w:val="24"/>
          <w:szCs w:val="24"/>
          <w:rtl/>
        </w:rPr>
        <w:t>ו</w:t>
      </w:r>
      <w:r w:rsidR="003C3F9F" w:rsidRPr="00EC5599">
        <w:rPr>
          <w:rFonts w:cs="David" w:hint="cs"/>
          <w:sz w:val="24"/>
          <w:szCs w:val="24"/>
          <w:rtl/>
        </w:rPr>
        <w:t>כנית לשינוי ייעוד המקרקעין או למתן תוספת זכויות.</w:t>
      </w:r>
      <w:r w:rsidRPr="00EC5599">
        <w:rPr>
          <w:rFonts w:cs="David" w:hint="cs"/>
          <w:sz w:val="24"/>
          <w:szCs w:val="24"/>
          <w:rtl/>
        </w:rPr>
        <w:t xml:space="preserve"> </w:t>
      </w:r>
      <w:r w:rsidR="003C3F9F" w:rsidRPr="00EC5599">
        <w:rPr>
          <w:rFonts w:cs="David" w:hint="cs"/>
          <w:sz w:val="24"/>
          <w:szCs w:val="24"/>
          <w:rtl/>
        </w:rPr>
        <w:t>השינויים שנכללו בת</w:t>
      </w:r>
      <w:r w:rsidRPr="00EC5599">
        <w:rPr>
          <w:rFonts w:cs="David" w:hint="cs"/>
          <w:sz w:val="24"/>
          <w:szCs w:val="24"/>
          <w:rtl/>
        </w:rPr>
        <w:t>ו</w:t>
      </w:r>
      <w:r w:rsidR="003C3F9F" w:rsidRPr="00EC5599">
        <w:rPr>
          <w:rFonts w:cs="David" w:hint="cs"/>
          <w:sz w:val="24"/>
          <w:szCs w:val="24"/>
          <w:rtl/>
        </w:rPr>
        <w:t>כנית התקבלו בהתאם לעמדת מהנדס העיר ולהמלצת הצוות המקצועי של הוועדה המקומית.</w:t>
      </w:r>
    </w:p>
    <w:p w14:paraId="3571C204" w14:textId="77777777" w:rsidR="003C3F9F" w:rsidRDefault="003C3F9F"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שינוי השלביות </w:t>
      </w:r>
      <w:r w:rsidR="00995148">
        <w:rPr>
          <w:rFonts w:cs="David" w:hint="cs"/>
          <w:sz w:val="24"/>
          <w:szCs w:val="24"/>
          <w:rtl/>
        </w:rPr>
        <w:t>לא</w:t>
      </w:r>
      <w:r>
        <w:rPr>
          <w:rFonts w:cs="David" w:hint="cs"/>
          <w:sz w:val="24"/>
          <w:szCs w:val="24"/>
          <w:rtl/>
        </w:rPr>
        <w:t xml:space="preserve"> צפוי ל</w:t>
      </w:r>
      <w:r w:rsidR="00EC5599">
        <w:rPr>
          <w:rFonts w:cs="David" w:hint="cs"/>
          <w:sz w:val="24"/>
          <w:szCs w:val="24"/>
          <w:rtl/>
        </w:rPr>
        <w:t>גרום</w:t>
      </w:r>
      <w:r>
        <w:rPr>
          <w:rFonts w:cs="David" w:hint="cs"/>
          <w:sz w:val="24"/>
          <w:szCs w:val="24"/>
          <w:rtl/>
        </w:rPr>
        <w:t xml:space="preserve"> להארכת התקופה </w:t>
      </w:r>
      <w:r w:rsidR="00EC5599">
        <w:rPr>
          <w:rFonts w:cs="David" w:hint="cs"/>
          <w:sz w:val="24"/>
          <w:szCs w:val="24"/>
          <w:rtl/>
        </w:rPr>
        <w:t>ש</w:t>
      </w:r>
      <w:r>
        <w:rPr>
          <w:rFonts w:cs="David" w:hint="cs"/>
          <w:sz w:val="24"/>
          <w:szCs w:val="24"/>
          <w:rtl/>
        </w:rPr>
        <w:t>בה יידרש פתרון חלופי לגני הילדים</w:t>
      </w:r>
      <w:r w:rsidR="00EC5599">
        <w:rPr>
          <w:rFonts w:cs="David" w:hint="cs"/>
          <w:sz w:val="24"/>
          <w:szCs w:val="24"/>
          <w:rtl/>
        </w:rPr>
        <w:t>, שכן</w:t>
      </w:r>
      <w:r>
        <w:rPr>
          <w:rFonts w:cs="David" w:hint="cs"/>
          <w:sz w:val="24"/>
          <w:szCs w:val="24"/>
          <w:rtl/>
        </w:rPr>
        <w:t xml:space="preserve"> משך </w:t>
      </w:r>
      <w:r w:rsidR="00EC5599">
        <w:rPr>
          <w:rFonts w:cs="David" w:hint="cs"/>
          <w:sz w:val="24"/>
          <w:szCs w:val="24"/>
          <w:rtl/>
        </w:rPr>
        <w:t xml:space="preserve">הקמת </w:t>
      </w:r>
      <w:r>
        <w:rPr>
          <w:rFonts w:cs="David" w:hint="cs"/>
          <w:sz w:val="24"/>
          <w:szCs w:val="24"/>
          <w:rtl/>
        </w:rPr>
        <w:t xml:space="preserve">מבנה הציבור הוגבלה </w:t>
      </w:r>
      <w:r w:rsidR="00EC5599">
        <w:rPr>
          <w:rFonts w:cs="David" w:hint="cs"/>
          <w:sz w:val="24"/>
          <w:szCs w:val="24"/>
          <w:rtl/>
        </w:rPr>
        <w:t xml:space="preserve">בתוכנית </w:t>
      </w:r>
      <w:r>
        <w:rPr>
          <w:rFonts w:cs="David" w:hint="cs"/>
          <w:sz w:val="24"/>
          <w:szCs w:val="24"/>
          <w:rtl/>
        </w:rPr>
        <w:t>ל-</w:t>
      </w:r>
      <w:r w:rsidR="00EC5599">
        <w:rPr>
          <w:rFonts w:cs="David" w:hint="cs"/>
          <w:sz w:val="24"/>
          <w:szCs w:val="24"/>
          <w:rtl/>
        </w:rPr>
        <w:t xml:space="preserve"> </w:t>
      </w:r>
      <w:r>
        <w:rPr>
          <w:rFonts w:cs="David" w:hint="cs"/>
          <w:sz w:val="24"/>
          <w:szCs w:val="24"/>
          <w:rtl/>
        </w:rPr>
        <w:t>18 חודשים</w:t>
      </w:r>
      <w:r w:rsidR="00EC5599">
        <w:rPr>
          <w:rFonts w:cs="David" w:hint="cs"/>
          <w:sz w:val="24"/>
          <w:szCs w:val="24"/>
          <w:rtl/>
        </w:rPr>
        <w:t>.</w:t>
      </w:r>
    </w:p>
    <w:p w14:paraId="682CEC8A" w14:textId="77777777" w:rsidR="003C3F9F" w:rsidRDefault="00EC5599"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נושא המטלות הציבוריות אינו עילה לעיכוב התוכנית, שכן הוא הוסדר מחוץ לתוכנית בהתאם להנחיות העירייה.</w:t>
      </w:r>
      <w:r w:rsidR="00C2191C">
        <w:rPr>
          <w:rFonts w:cs="David" w:hint="cs"/>
          <w:sz w:val="24"/>
          <w:szCs w:val="24"/>
          <w:rtl/>
        </w:rPr>
        <w:t xml:space="preserve"> הסכם העקרונות לא נתקף מעולם בשום ערכאה.</w:t>
      </w:r>
    </w:p>
    <w:p w14:paraId="1E7B6937" w14:textId="77777777" w:rsidR="00C2191C" w:rsidRDefault="00C2191C"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הטענה שבתוכנית המפורטת אין די זכויות לשטחי ציבור תוקפת למעשה תקיפה עקיפה אסורה את התוכנית </w:t>
      </w:r>
      <w:proofErr w:type="spellStart"/>
      <w:r>
        <w:rPr>
          <w:rFonts w:cs="David" w:hint="cs"/>
          <w:sz w:val="24"/>
          <w:szCs w:val="24"/>
          <w:rtl/>
        </w:rPr>
        <w:t>המתארית</w:t>
      </w:r>
      <w:proofErr w:type="spellEnd"/>
      <w:r>
        <w:rPr>
          <w:rFonts w:cs="David" w:hint="cs"/>
          <w:sz w:val="24"/>
          <w:szCs w:val="24"/>
          <w:rtl/>
        </w:rPr>
        <w:t>, שהיא בגדר מעשה עשוי. מעבר לכך מדובר בטענה סתמית, שלא פורטה ולא נומקה או הוכחה.</w:t>
      </w:r>
    </w:p>
    <w:p w14:paraId="7F8018DA" w14:textId="77777777" w:rsidR="003C3F9F" w:rsidRDefault="003C3F9F"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תוספת הקומות</w:t>
      </w:r>
      <w:r w:rsidR="00EC5599">
        <w:rPr>
          <w:rFonts w:cs="David" w:hint="cs"/>
          <w:sz w:val="24"/>
          <w:szCs w:val="24"/>
          <w:rtl/>
        </w:rPr>
        <w:t xml:space="preserve"> בתוכנית המפורטת אינה</w:t>
      </w:r>
      <w:r>
        <w:rPr>
          <w:rFonts w:cs="David" w:hint="cs"/>
          <w:sz w:val="24"/>
          <w:szCs w:val="24"/>
          <w:rtl/>
        </w:rPr>
        <w:t xml:space="preserve"> משמעותית</w:t>
      </w:r>
      <w:r w:rsidR="00EC5599">
        <w:rPr>
          <w:rFonts w:cs="David" w:hint="cs"/>
          <w:sz w:val="24"/>
          <w:szCs w:val="24"/>
          <w:rtl/>
        </w:rPr>
        <w:t xml:space="preserve">, והיא </w:t>
      </w:r>
      <w:r>
        <w:rPr>
          <w:rFonts w:cs="David" w:hint="cs"/>
          <w:sz w:val="24"/>
          <w:szCs w:val="24"/>
          <w:rtl/>
        </w:rPr>
        <w:t>נועדה ל</w:t>
      </w:r>
      <w:r w:rsidR="00EC5599">
        <w:rPr>
          <w:rFonts w:cs="David" w:hint="cs"/>
          <w:sz w:val="24"/>
          <w:szCs w:val="24"/>
          <w:rtl/>
        </w:rPr>
        <w:t>שפר</w:t>
      </w:r>
      <w:r>
        <w:rPr>
          <w:rFonts w:cs="David" w:hint="cs"/>
          <w:sz w:val="24"/>
          <w:szCs w:val="24"/>
          <w:rtl/>
        </w:rPr>
        <w:t xml:space="preserve"> את איכות הבניה של מבני המגורים</w:t>
      </w:r>
      <w:r w:rsidR="00C2191C">
        <w:rPr>
          <w:rFonts w:cs="David" w:hint="cs"/>
          <w:sz w:val="24"/>
          <w:szCs w:val="24"/>
          <w:rtl/>
        </w:rPr>
        <w:t>,</w:t>
      </w:r>
      <w:r w:rsidR="00EC5599">
        <w:rPr>
          <w:rFonts w:cs="David" w:hint="cs"/>
          <w:sz w:val="24"/>
          <w:szCs w:val="24"/>
          <w:rtl/>
        </w:rPr>
        <w:t xml:space="preserve"> כפי שנרשם בהמלצת ועדת המשנה עצמה.</w:t>
      </w:r>
    </w:p>
    <w:p w14:paraId="70465409" w14:textId="77777777" w:rsidR="003C3F9F" w:rsidRDefault="003C3F9F" w:rsidP="00EC5599">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אין ממש בטענותיהם של חלק מחברי הוועדה המקומית בנוגע לתזמון הדיון בסמוך לתקופת בחירות. ה</w:t>
      </w:r>
      <w:r w:rsidR="00995148">
        <w:rPr>
          <w:rFonts w:cs="David" w:hint="cs"/>
          <w:sz w:val="24"/>
          <w:szCs w:val="24"/>
          <w:rtl/>
        </w:rPr>
        <w:t>בקשה ל</w:t>
      </w:r>
      <w:r>
        <w:rPr>
          <w:rFonts w:cs="David" w:hint="cs"/>
          <w:sz w:val="24"/>
          <w:szCs w:val="24"/>
          <w:rtl/>
        </w:rPr>
        <w:t xml:space="preserve">דיון החוזר </w:t>
      </w:r>
      <w:r w:rsidR="00995148">
        <w:rPr>
          <w:rFonts w:cs="David" w:hint="cs"/>
          <w:sz w:val="24"/>
          <w:szCs w:val="24"/>
          <w:rtl/>
        </w:rPr>
        <w:t xml:space="preserve">נשלחה </w:t>
      </w:r>
      <w:r>
        <w:rPr>
          <w:rFonts w:cs="David" w:hint="cs"/>
          <w:sz w:val="24"/>
          <w:szCs w:val="24"/>
          <w:rtl/>
        </w:rPr>
        <w:t xml:space="preserve">יותר מחמישה חודשים טרם </w:t>
      </w:r>
      <w:r w:rsidR="00995148">
        <w:rPr>
          <w:rFonts w:cs="David" w:hint="cs"/>
          <w:sz w:val="24"/>
          <w:szCs w:val="24"/>
          <w:rtl/>
        </w:rPr>
        <w:t>ה</w:t>
      </w:r>
      <w:r>
        <w:rPr>
          <w:rFonts w:cs="David" w:hint="cs"/>
          <w:sz w:val="24"/>
          <w:szCs w:val="24"/>
          <w:rtl/>
        </w:rPr>
        <w:t xml:space="preserve">מועד </w:t>
      </w:r>
      <w:r w:rsidR="00995148">
        <w:rPr>
          <w:rFonts w:cs="David" w:hint="cs"/>
          <w:sz w:val="24"/>
          <w:szCs w:val="24"/>
          <w:rtl/>
        </w:rPr>
        <w:t>שתוכנן אז ל</w:t>
      </w:r>
      <w:r>
        <w:rPr>
          <w:rFonts w:cs="David" w:hint="cs"/>
          <w:sz w:val="24"/>
          <w:szCs w:val="24"/>
          <w:rtl/>
        </w:rPr>
        <w:t>בחירות לרשויות המקומיות.</w:t>
      </w:r>
    </w:p>
    <w:p w14:paraId="5512CC63" w14:textId="77777777" w:rsidR="003C3F9F" w:rsidRPr="00E96A13" w:rsidRDefault="003C3F9F" w:rsidP="00EC5599">
      <w:pPr>
        <w:pStyle w:val="af"/>
        <w:numPr>
          <w:ilvl w:val="0"/>
          <w:numId w:val="1"/>
        </w:numPr>
        <w:spacing w:line="360" w:lineRule="auto"/>
        <w:ind w:left="470" w:right="-142" w:hanging="425"/>
        <w:contextualSpacing w:val="0"/>
        <w:jc w:val="both"/>
        <w:rPr>
          <w:rFonts w:cs="David"/>
          <w:sz w:val="24"/>
          <w:szCs w:val="24"/>
          <w:rtl/>
        </w:rPr>
      </w:pPr>
      <w:r w:rsidRPr="00E96A13">
        <w:rPr>
          <w:rFonts w:cs="David" w:hint="cs"/>
          <w:sz w:val="24"/>
          <w:szCs w:val="24"/>
          <w:rtl/>
        </w:rPr>
        <w:t>מדובר בת</w:t>
      </w:r>
      <w:r w:rsidR="00CC37ED">
        <w:rPr>
          <w:rFonts w:cs="David" w:hint="cs"/>
          <w:sz w:val="24"/>
          <w:szCs w:val="24"/>
          <w:rtl/>
        </w:rPr>
        <w:t>ו</w:t>
      </w:r>
      <w:r w:rsidRPr="00E96A13">
        <w:rPr>
          <w:rFonts w:cs="David" w:hint="cs"/>
          <w:sz w:val="24"/>
          <w:szCs w:val="24"/>
          <w:rtl/>
        </w:rPr>
        <w:t xml:space="preserve">כנית שמקודמת </w:t>
      </w:r>
      <w:r w:rsidR="00995148">
        <w:rPr>
          <w:rFonts w:cs="David" w:hint="cs"/>
          <w:sz w:val="24"/>
          <w:szCs w:val="24"/>
          <w:rtl/>
        </w:rPr>
        <w:t xml:space="preserve">זה </w:t>
      </w:r>
      <w:r w:rsidRPr="00E96A13">
        <w:rPr>
          <w:rFonts w:cs="David" w:hint="cs"/>
          <w:sz w:val="24"/>
          <w:szCs w:val="24"/>
          <w:rtl/>
        </w:rPr>
        <w:t>למעלה משש שנים</w:t>
      </w:r>
      <w:r w:rsidR="00995148">
        <w:rPr>
          <w:rFonts w:cs="David" w:hint="cs"/>
          <w:sz w:val="24"/>
          <w:szCs w:val="24"/>
          <w:rtl/>
        </w:rPr>
        <w:t>, ועיכובה מונע התחדשות עירונית במתחם</w:t>
      </w:r>
      <w:r w:rsidRPr="00E96A13">
        <w:rPr>
          <w:rFonts w:cs="David" w:hint="cs"/>
          <w:sz w:val="24"/>
          <w:szCs w:val="24"/>
          <w:rtl/>
        </w:rPr>
        <w:t>.</w:t>
      </w:r>
    </w:p>
    <w:p w14:paraId="4D37DA31" w14:textId="77777777" w:rsidR="00EC5599" w:rsidRDefault="00EC5599" w:rsidP="00EC5599">
      <w:pPr>
        <w:spacing w:line="360" w:lineRule="auto"/>
        <w:ind w:firstLine="43"/>
        <w:jc w:val="both"/>
        <w:rPr>
          <w:rFonts w:cs="David"/>
          <w:b/>
          <w:bCs/>
          <w:sz w:val="24"/>
          <w:szCs w:val="24"/>
          <w:u w:val="single"/>
          <w:rtl/>
        </w:rPr>
      </w:pPr>
    </w:p>
    <w:p w14:paraId="72BA56AD" w14:textId="77777777" w:rsidR="003C3F9F" w:rsidRPr="00A22AFB" w:rsidRDefault="003C3F9F" w:rsidP="00EC5599">
      <w:pPr>
        <w:spacing w:line="360" w:lineRule="auto"/>
        <w:ind w:firstLine="43"/>
        <w:jc w:val="both"/>
        <w:rPr>
          <w:rFonts w:cs="David"/>
          <w:b/>
          <w:bCs/>
          <w:sz w:val="26"/>
          <w:szCs w:val="26"/>
          <w:u w:val="single"/>
          <w:rtl/>
        </w:rPr>
      </w:pPr>
      <w:r w:rsidRPr="00A22AFB">
        <w:rPr>
          <w:rFonts w:cs="David" w:hint="cs"/>
          <w:b/>
          <w:bCs/>
          <w:sz w:val="26"/>
          <w:szCs w:val="26"/>
          <w:u w:val="single"/>
          <w:rtl/>
        </w:rPr>
        <w:t xml:space="preserve">עיקר טענות </w:t>
      </w:r>
      <w:r w:rsidR="00CC37ED" w:rsidRPr="00A22AFB">
        <w:rPr>
          <w:rFonts w:cs="David" w:hint="cs"/>
          <w:b/>
          <w:bCs/>
          <w:sz w:val="26"/>
          <w:szCs w:val="26"/>
          <w:u w:val="single"/>
          <w:rtl/>
        </w:rPr>
        <w:t xml:space="preserve">הוועדה המקומית </w:t>
      </w:r>
    </w:p>
    <w:p w14:paraId="719C129F" w14:textId="77777777" w:rsidR="003C3F9F" w:rsidRPr="00C363E5" w:rsidRDefault="00C363E5" w:rsidP="00C363E5">
      <w:pPr>
        <w:pStyle w:val="af"/>
        <w:numPr>
          <w:ilvl w:val="0"/>
          <w:numId w:val="1"/>
        </w:numPr>
        <w:spacing w:line="360" w:lineRule="auto"/>
        <w:ind w:left="470" w:right="-142" w:hanging="425"/>
        <w:contextualSpacing w:val="0"/>
        <w:jc w:val="both"/>
        <w:rPr>
          <w:rFonts w:cs="David"/>
          <w:sz w:val="24"/>
          <w:szCs w:val="24"/>
        </w:rPr>
      </w:pPr>
      <w:r w:rsidRPr="00C363E5">
        <w:rPr>
          <w:rFonts w:cs="David" w:hint="cs"/>
          <w:sz w:val="24"/>
          <w:szCs w:val="24"/>
          <w:rtl/>
        </w:rPr>
        <w:t xml:space="preserve">אין מקום להתערב בהחלטת הוועדה המקומית לבטל את החלטת ועדת המשנה להפקדת התכנית. </w:t>
      </w:r>
      <w:r w:rsidR="003C3F9F" w:rsidRPr="00C363E5">
        <w:rPr>
          <w:rFonts w:cs="David" w:hint="cs"/>
          <w:sz w:val="24"/>
          <w:szCs w:val="24"/>
          <w:rtl/>
        </w:rPr>
        <w:t>החלטת הוועדה המקומית הינה החלטה עניינית ולגיטימית אשר התקבלה כדין ובסמכות ועומדת בכללים שנקבעו בפסיקה ובחובת ההנמקה.</w:t>
      </w:r>
    </w:p>
    <w:p w14:paraId="0B834DA2" w14:textId="77777777" w:rsidR="00C363E5" w:rsidRDefault="00A44C31"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היה </w:t>
      </w:r>
      <w:r w:rsidR="00C363E5">
        <w:rPr>
          <w:rFonts w:cs="David" w:hint="cs"/>
          <w:sz w:val="24"/>
          <w:szCs w:val="24"/>
          <w:rtl/>
        </w:rPr>
        <w:t>חשש לבעייתיות בקבלת החלטה על הפקדת התוכנית המפורטת בפורום מצומצם של חברי ועדת המשנה, כאשר ראש העירייה מצוי בניגוד עניינים, וזאת סמוך לבחירות לרשויות המקומיות. בנסיבות אלו</w:t>
      </w:r>
      <w:r w:rsidRPr="00A44C31">
        <w:rPr>
          <w:rFonts w:cs="David" w:hint="cs"/>
          <w:sz w:val="24"/>
          <w:szCs w:val="24"/>
          <w:rtl/>
        </w:rPr>
        <w:t xml:space="preserve"> </w:t>
      </w:r>
      <w:r>
        <w:rPr>
          <w:rFonts w:cs="David" w:hint="cs"/>
          <w:sz w:val="24"/>
          <w:szCs w:val="24"/>
          <w:rtl/>
        </w:rPr>
        <w:t>ראוי היה שהתוכנית המפורטת תידון בפורום רחב יותר.</w:t>
      </w:r>
      <w:r w:rsidR="00C363E5">
        <w:rPr>
          <w:rFonts w:cs="David" w:hint="cs"/>
          <w:sz w:val="24"/>
          <w:szCs w:val="24"/>
          <w:rtl/>
        </w:rPr>
        <w:t xml:space="preserve"> </w:t>
      </w:r>
    </w:p>
    <w:p w14:paraId="4745FAAC" w14:textId="77777777" w:rsidR="00C363E5"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הסמכות לקבל החלטות בעניין התוכנית המפורטת הינה בידי הוועדה המקומית ולא בידי הדרג המקצועי. על כן אין משמעות לכך שעמדת הוועדה המקומית עומדת בניגוד לעמדת הצוות המקצועי.</w:t>
      </w:r>
    </w:p>
    <w:p w14:paraId="62AE6283" w14:textId="77777777" w:rsidR="00C363E5" w:rsidRPr="00C00899"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lastRenderedPageBreak/>
        <w:t>מוסד תכנון מפעיל שיקול דעת עצמאי ורשאי לסטות מהחלטות קודמות גם אם הדבר כרוך בדחיית תכנית שאושרה להפקדה. כל עוד התכנית המפורטת לא קיבלה תוקף היא אינה מעשה עשוי, וניתן שלא לאשרה מטעמים הנעוצים בטובת הציבור</w:t>
      </w:r>
      <w:r w:rsidR="00C00899">
        <w:rPr>
          <w:rFonts w:cs="David" w:hint="cs"/>
          <w:sz w:val="24"/>
          <w:szCs w:val="24"/>
          <w:rtl/>
        </w:rPr>
        <w:t>.</w:t>
      </w:r>
    </w:p>
    <w:p w14:paraId="5706271C" w14:textId="77777777" w:rsidR="000B7269" w:rsidRDefault="000B7269" w:rsidP="007800A8">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התוכנית המפורטת אינה זהה לחלוטין לתוכנית </w:t>
      </w:r>
      <w:proofErr w:type="spellStart"/>
      <w:r>
        <w:rPr>
          <w:rFonts w:cs="David" w:hint="cs"/>
          <w:sz w:val="24"/>
          <w:szCs w:val="24"/>
          <w:rtl/>
        </w:rPr>
        <w:t>המתארית</w:t>
      </w:r>
      <w:proofErr w:type="spellEnd"/>
      <w:r>
        <w:rPr>
          <w:rFonts w:cs="David" w:hint="cs"/>
          <w:sz w:val="24"/>
          <w:szCs w:val="24"/>
          <w:rtl/>
        </w:rPr>
        <w:t>, אלא משנה אותה ברכיבים מסוימים, חלקם לטובת העוררת וחלקם לטובת שטחי הציבור.</w:t>
      </w:r>
    </w:p>
    <w:p w14:paraId="2217501D" w14:textId="77777777" w:rsidR="003C3F9F" w:rsidRPr="00C363E5" w:rsidRDefault="00C363E5" w:rsidP="007800A8">
      <w:pPr>
        <w:pStyle w:val="af"/>
        <w:numPr>
          <w:ilvl w:val="0"/>
          <w:numId w:val="1"/>
        </w:numPr>
        <w:spacing w:line="360" w:lineRule="auto"/>
        <w:ind w:left="470" w:right="-142" w:hanging="425"/>
        <w:contextualSpacing w:val="0"/>
        <w:jc w:val="both"/>
        <w:rPr>
          <w:rFonts w:cs="David"/>
          <w:sz w:val="24"/>
          <w:szCs w:val="24"/>
        </w:rPr>
      </w:pPr>
      <w:r w:rsidRPr="00C363E5">
        <w:rPr>
          <w:rFonts w:cs="David" w:hint="cs"/>
          <w:sz w:val="24"/>
          <w:szCs w:val="24"/>
          <w:rtl/>
        </w:rPr>
        <w:t xml:space="preserve">השאת זכויות העירייה לטובת הציבור הינו שיקול משמעותי בהמלצה על הפקדת תכנית איחוד וחלוקה, ודאי כשהעירייה הינה בעלת הזכויות במחצית משטח התוכנית. </w:t>
      </w:r>
      <w:r w:rsidR="00837416">
        <w:rPr>
          <w:rFonts w:cs="David" w:hint="cs"/>
          <w:sz w:val="24"/>
          <w:szCs w:val="24"/>
          <w:rtl/>
        </w:rPr>
        <w:t>בשנים האחרונות הוועדה המקומית עומדת יותר ויותר על הפרשות מבונות בתחום התוכנית. אמנם שמאי הוועדה המקומית בחן את התוכנית ומצא שזכויות העירייה לא נפגעות, אולם חברי הוועדה המקומית סברו ש</w:t>
      </w:r>
      <w:r w:rsidR="003C3F9F" w:rsidRPr="00C363E5">
        <w:rPr>
          <w:rFonts w:cs="David" w:hint="cs"/>
          <w:sz w:val="24"/>
          <w:szCs w:val="24"/>
          <w:rtl/>
        </w:rPr>
        <w:t xml:space="preserve">העירייה </w:t>
      </w:r>
      <w:r w:rsidR="00837416">
        <w:rPr>
          <w:rFonts w:cs="David" w:hint="cs"/>
          <w:sz w:val="24"/>
          <w:szCs w:val="24"/>
          <w:rtl/>
        </w:rPr>
        <w:t xml:space="preserve">אינה מקבלת די זכויות בהתחשב בכך שהיא </w:t>
      </w:r>
      <w:r w:rsidR="003C3F9F" w:rsidRPr="00C363E5">
        <w:rPr>
          <w:rFonts w:cs="David" w:hint="cs"/>
          <w:sz w:val="24"/>
          <w:szCs w:val="24"/>
          <w:rtl/>
        </w:rPr>
        <w:t>בעלת 50% משטח הת</w:t>
      </w:r>
      <w:r w:rsidR="00CC37ED" w:rsidRPr="00C363E5">
        <w:rPr>
          <w:rFonts w:cs="David" w:hint="cs"/>
          <w:sz w:val="24"/>
          <w:szCs w:val="24"/>
          <w:rtl/>
        </w:rPr>
        <w:t>ו</w:t>
      </w:r>
      <w:r w:rsidR="003C3F9F" w:rsidRPr="00C363E5">
        <w:rPr>
          <w:rFonts w:cs="David" w:hint="cs"/>
          <w:sz w:val="24"/>
          <w:szCs w:val="24"/>
          <w:rtl/>
        </w:rPr>
        <w:t xml:space="preserve">כנית במצב הנכנס. יש למנות שמאי חיצוני בלתי תלוי לבחינת זכויות העירייה במצב היוצא. </w:t>
      </w:r>
    </w:p>
    <w:p w14:paraId="7369346F" w14:textId="77777777" w:rsidR="00837416" w:rsidRDefault="00CC37ED" w:rsidP="00C363E5">
      <w:pPr>
        <w:pStyle w:val="af"/>
        <w:numPr>
          <w:ilvl w:val="0"/>
          <w:numId w:val="1"/>
        </w:numPr>
        <w:spacing w:line="360" w:lineRule="auto"/>
        <w:ind w:left="470" w:right="-142" w:hanging="425"/>
        <w:contextualSpacing w:val="0"/>
        <w:jc w:val="both"/>
        <w:rPr>
          <w:rFonts w:cs="David"/>
          <w:sz w:val="24"/>
          <w:szCs w:val="24"/>
        </w:rPr>
      </w:pPr>
      <w:r w:rsidRPr="00CC37ED">
        <w:rPr>
          <w:rFonts w:cs="David" w:hint="cs"/>
          <w:sz w:val="24"/>
          <w:szCs w:val="24"/>
          <w:rtl/>
        </w:rPr>
        <w:t>ה</w:t>
      </w:r>
      <w:r w:rsidR="003C3F9F" w:rsidRPr="00CC37ED">
        <w:rPr>
          <w:rFonts w:cs="David" w:hint="cs"/>
          <w:sz w:val="24"/>
          <w:szCs w:val="24"/>
          <w:rtl/>
        </w:rPr>
        <w:t>ת</w:t>
      </w:r>
      <w:r w:rsidRPr="00CC37ED">
        <w:rPr>
          <w:rFonts w:cs="David" w:hint="cs"/>
          <w:sz w:val="24"/>
          <w:szCs w:val="24"/>
          <w:rtl/>
        </w:rPr>
        <w:t>ו</w:t>
      </w:r>
      <w:r w:rsidR="003C3F9F" w:rsidRPr="00CC37ED">
        <w:rPr>
          <w:rFonts w:cs="David" w:hint="cs"/>
          <w:sz w:val="24"/>
          <w:szCs w:val="24"/>
          <w:rtl/>
        </w:rPr>
        <w:t xml:space="preserve">כנית </w:t>
      </w:r>
      <w:proofErr w:type="spellStart"/>
      <w:r w:rsidR="003C3F9F" w:rsidRPr="00CC37ED">
        <w:rPr>
          <w:rFonts w:cs="David" w:hint="cs"/>
          <w:sz w:val="24"/>
          <w:szCs w:val="24"/>
          <w:rtl/>
        </w:rPr>
        <w:t>המתאר</w:t>
      </w:r>
      <w:r w:rsidRPr="00CC37ED">
        <w:rPr>
          <w:rFonts w:cs="David" w:hint="cs"/>
          <w:sz w:val="24"/>
          <w:szCs w:val="24"/>
          <w:rtl/>
        </w:rPr>
        <w:t>ית</w:t>
      </w:r>
      <w:proofErr w:type="spellEnd"/>
      <w:r w:rsidR="003C3F9F" w:rsidRPr="00CC37ED">
        <w:rPr>
          <w:rFonts w:cs="David" w:hint="cs"/>
          <w:sz w:val="24"/>
          <w:szCs w:val="24"/>
          <w:rtl/>
        </w:rPr>
        <w:t xml:space="preserve"> </w:t>
      </w:r>
      <w:r w:rsidRPr="00CC37ED">
        <w:rPr>
          <w:rFonts w:cs="David" w:hint="cs"/>
          <w:sz w:val="24"/>
          <w:szCs w:val="24"/>
          <w:rtl/>
        </w:rPr>
        <w:t>הטיל</w:t>
      </w:r>
      <w:r w:rsidR="003C3F9F" w:rsidRPr="00CC37ED">
        <w:rPr>
          <w:rFonts w:cs="David" w:hint="cs"/>
          <w:sz w:val="24"/>
          <w:szCs w:val="24"/>
          <w:rtl/>
        </w:rPr>
        <w:t>ה</w:t>
      </w:r>
      <w:r w:rsidRPr="00CC37ED">
        <w:rPr>
          <w:rFonts w:cs="David" w:hint="cs"/>
          <w:sz w:val="24"/>
          <w:szCs w:val="24"/>
          <w:rtl/>
        </w:rPr>
        <w:t xml:space="preserve"> על העוררת</w:t>
      </w:r>
      <w:r w:rsidR="003C3F9F" w:rsidRPr="00CC37ED">
        <w:rPr>
          <w:rFonts w:cs="David" w:hint="cs"/>
          <w:sz w:val="24"/>
          <w:szCs w:val="24"/>
          <w:rtl/>
        </w:rPr>
        <w:t xml:space="preserve"> מטלות ציבוריות</w:t>
      </w:r>
      <w:r w:rsidRPr="00CC37ED">
        <w:rPr>
          <w:rFonts w:cs="David" w:hint="cs"/>
          <w:sz w:val="24"/>
          <w:szCs w:val="24"/>
          <w:rtl/>
        </w:rPr>
        <w:t xml:space="preserve">, </w:t>
      </w:r>
      <w:r w:rsidR="003C3F9F" w:rsidRPr="00CC37ED">
        <w:rPr>
          <w:rFonts w:cs="David" w:hint="cs"/>
          <w:sz w:val="24"/>
          <w:szCs w:val="24"/>
          <w:rtl/>
        </w:rPr>
        <w:t>הכוללות את הריסת מבני הציבור הפעילים ובנייתם במיקומם החדש. במסגרת הסכם העקרונות</w:t>
      </w:r>
      <w:r>
        <w:rPr>
          <w:rFonts w:cs="David" w:hint="cs"/>
          <w:sz w:val="24"/>
          <w:szCs w:val="24"/>
          <w:rtl/>
        </w:rPr>
        <w:t xml:space="preserve"> התחייבה העוררת לשאת בעלויות ההריסה והבנייה של </w:t>
      </w:r>
      <w:r w:rsidR="003C3F9F" w:rsidRPr="00CC37ED">
        <w:rPr>
          <w:rFonts w:cs="David" w:hint="cs"/>
          <w:sz w:val="24"/>
          <w:szCs w:val="24"/>
          <w:rtl/>
        </w:rPr>
        <w:t>מבני הציבור</w:t>
      </w:r>
      <w:r>
        <w:rPr>
          <w:rFonts w:cs="David" w:hint="cs"/>
          <w:sz w:val="24"/>
          <w:szCs w:val="24"/>
          <w:rtl/>
        </w:rPr>
        <w:t xml:space="preserve"> במיקום החדש, וכן לדאוג </w:t>
      </w:r>
      <w:r w:rsidR="003C3F9F" w:rsidRPr="00CC37ED">
        <w:rPr>
          <w:rFonts w:cs="David" w:hint="cs"/>
          <w:sz w:val="24"/>
          <w:szCs w:val="24"/>
          <w:rtl/>
        </w:rPr>
        <w:t>למציאת מקום חלופי עבור מבנה הקהילה והרווחה</w:t>
      </w:r>
      <w:r>
        <w:rPr>
          <w:rFonts w:cs="David" w:hint="cs"/>
          <w:sz w:val="24"/>
          <w:szCs w:val="24"/>
          <w:rtl/>
        </w:rPr>
        <w:t>. נקבע כי העירייה</w:t>
      </w:r>
      <w:r w:rsidR="003C3F9F" w:rsidRPr="00CC37ED">
        <w:rPr>
          <w:rFonts w:cs="David" w:hint="cs"/>
          <w:sz w:val="24"/>
          <w:szCs w:val="24"/>
          <w:rtl/>
        </w:rPr>
        <w:t xml:space="preserve"> תדאג למבנה חלופי </w:t>
      </w:r>
      <w:r>
        <w:rPr>
          <w:rFonts w:cs="David" w:hint="cs"/>
          <w:sz w:val="24"/>
          <w:szCs w:val="24"/>
          <w:rtl/>
        </w:rPr>
        <w:t xml:space="preserve">עבור </w:t>
      </w:r>
      <w:r w:rsidR="003C3F9F" w:rsidRPr="00CC37ED">
        <w:rPr>
          <w:rFonts w:cs="David" w:hint="cs"/>
          <w:sz w:val="24"/>
          <w:szCs w:val="24"/>
          <w:rtl/>
        </w:rPr>
        <w:t xml:space="preserve">גן הילדים. </w:t>
      </w:r>
      <w:r>
        <w:rPr>
          <w:rFonts w:cs="David" w:hint="cs"/>
          <w:sz w:val="24"/>
          <w:szCs w:val="24"/>
          <w:rtl/>
        </w:rPr>
        <w:t>סיכום זה מטיל עלויות כספיות על העירייה ועל הציבור.</w:t>
      </w:r>
      <w:r w:rsidR="00837416">
        <w:rPr>
          <w:rFonts w:cs="David" w:hint="cs"/>
          <w:sz w:val="24"/>
          <w:szCs w:val="24"/>
          <w:rtl/>
        </w:rPr>
        <w:t xml:space="preserve"> לא ניתן להתעלם מהתייחסות למטלות הציבוריות במסגרת התוכנית המפורטת רק משום שהן הוסדר בהסכם נפרד. זה חוטא למטרת התוכנית </w:t>
      </w:r>
      <w:proofErr w:type="spellStart"/>
      <w:r w:rsidR="00837416">
        <w:rPr>
          <w:rFonts w:cs="David" w:hint="cs"/>
          <w:sz w:val="24"/>
          <w:szCs w:val="24"/>
          <w:rtl/>
        </w:rPr>
        <w:t>המתארית</w:t>
      </w:r>
      <w:proofErr w:type="spellEnd"/>
      <w:r w:rsidR="00837416">
        <w:rPr>
          <w:rFonts w:cs="David" w:hint="cs"/>
          <w:sz w:val="24"/>
          <w:szCs w:val="24"/>
          <w:rtl/>
        </w:rPr>
        <w:t>.</w:t>
      </w:r>
    </w:p>
    <w:p w14:paraId="260D869A" w14:textId="77777777" w:rsidR="00837416" w:rsidRDefault="00837416"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במהלך הדיון החוזר עלו טענות בנושאים המצויים בלבה של התוכנית המפורטת, כמו: תוספת הקומות, תוספת שטחי השירות, תוספת שטחי המסחר, הנושא של המטלות הציבוריות ושינוי השלביות. חברי הוועדה המקומית לא הגיעו בכוונה מראש לדחות את התוכנית המפורטת תוך הוספת נימוקים לאחר מכן. הנימוקים להחלטת הוועדה המקומית מתחוורים מעיון בתמליל הדיון שקדם לה. החלטת הוועדה המקומית לא נומקה רשמית מאחר שהצוות המקצועי לא נערך לכך שהחלטת ועדת המשנה תבוטל. </w:t>
      </w:r>
    </w:p>
    <w:p w14:paraId="6FF19A95" w14:textId="77777777" w:rsidR="000B7269" w:rsidRDefault="000B7269"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יש הבדל בין החלטה של הוועדה המקומית להמליץ לוועדה המחוזית על הפקדת התוכנית לבין החלטה של הוועדה המקומית להפקיד את התוכנית. כאשר מדובר בתוכנית בסמכות מחוזית הוועדה המקומית יוצאת מהנחה שגורם תכנוני נוסף יבחן את התוכנית.</w:t>
      </w:r>
    </w:p>
    <w:p w14:paraId="22C441C3" w14:textId="77777777" w:rsidR="000B7269" w:rsidRDefault="000B7269"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ההנחיה המתייחסת לקבלת החלטות בתקופת בחירות רלבנטית גם בתקופה של 5 חודשים לפני הבחירות לרשויות המקומיות, ואין מדובר במסגרת זמנים קשיחה של 3 חודשים בלבד.</w:t>
      </w:r>
    </w:p>
    <w:p w14:paraId="5E1BA497" w14:textId="77777777" w:rsidR="003C3F9F" w:rsidRPr="00EA5E4C" w:rsidRDefault="003C3F9F" w:rsidP="00C363E5">
      <w:pPr>
        <w:pStyle w:val="af"/>
        <w:numPr>
          <w:ilvl w:val="0"/>
          <w:numId w:val="1"/>
        </w:numPr>
        <w:spacing w:line="360" w:lineRule="auto"/>
        <w:ind w:left="470" w:right="-142" w:hanging="425"/>
        <w:contextualSpacing w:val="0"/>
        <w:jc w:val="both"/>
        <w:rPr>
          <w:rFonts w:cs="David"/>
          <w:sz w:val="24"/>
          <w:szCs w:val="24"/>
          <w:rtl/>
        </w:rPr>
      </w:pPr>
      <w:r>
        <w:rPr>
          <w:rFonts w:cs="David" w:hint="cs"/>
          <w:sz w:val="24"/>
          <w:szCs w:val="24"/>
          <w:rtl/>
        </w:rPr>
        <w:t>החלטת הוועדה המקומית מותירה בפני העוררת את האפשרות להגיש את הת</w:t>
      </w:r>
      <w:r w:rsidR="00C363E5">
        <w:rPr>
          <w:rFonts w:cs="David" w:hint="cs"/>
          <w:sz w:val="24"/>
          <w:szCs w:val="24"/>
          <w:rtl/>
        </w:rPr>
        <w:t>ו</w:t>
      </w:r>
      <w:r>
        <w:rPr>
          <w:rFonts w:cs="David" w:hint="cs"/>
          <w:sz w:val="24"/>
          <w:szCs w:val="24"/>
          <w:rtl/>
        </w:rPr>
        <w:t>כנית</w:t>
      </w:r>
      <w:r w:rsidR="00C363E5">
        <w:rPr>
          <w:rFonts w:cs="David" w:hint="cs"/>
          <w:sz w:val="24"/>
          <w:szCs w:val="24"/>
          <w:rtl/>
        </w:rPr>
        <w:t xml:space="preserve"> המפורטת</w:t>
      </w:r>
      <w:r>
        <w:rPr>
          <w:rFonts w:cs="David" w:hint="cs"/>
          <w:sz w:val="24"/>
          <w:szCs w:val="24"/>
          <w:rtl/>
        </w:rPr>
        <w:t xml:space="preserve"> מחדש.</w:t>
      </w:r>
    </w:p>
    <w:p w14:paraId="65860B05" w14:textId="77777777" w:rsidR="00EC5599" w:rsidRDefault="00EC5599" w:rsidP="003C3F9F">
      <w:pPr>
        <w:spacing w:line="360" w:lineRule="auto"/>
        <w:ind w:right="-142"/>
        <w:jc w:val="both"/>
        <w:rPr>
          <w:rFonts w:ascii="David" w:hAnsi="David" w:cs="David"/>
          <w:b/>
          <w:bCs/>
          <w:sz w:val="24"/>
          <w:szCs w:val="24"/>
          <w:u w:val="single"/>
          <w:rtl/>
        </w:rPr>
      </w:pPr>
    </w:p>
    <w:p w14:paraId="6261BAAC" w14:textId="77777777" w:rsidR="003C3F9F" w:rsidRPr="00A22AFB" w:rsidRDefault="003C3F9F" w:rsidP="003C3F9F">
      <w:pPr>
        <w:spacing w:line="360" w:lineRule="auto"/>
        <w:ind w:right="-142"/>
        <w:jc w:val="both"/>
        <w:rPr>
          <w:rFonts w:ascii="David" w:hAnsi="David" w:cs="David"/>
          <w:b/>
          <w:bCs/>
          <w:sz w:val="26"/>
          <w:szCs w:val="26"/>
          <w:u w:val="single"/>
          <w:rtl/>
        </w:rPr>
      </w:pPr>
      <w:r w:rsidRPr="00A22AFB">
        <w:rPr>
          <w:rFonts w:ascii="David" w:hAnsi="David" w:cs="David"/>
          <w:b/>
          <w:bCs/>
          <w:sz w:val="26"/>
          <w:szCs w:val="26"/>
          <w:u w:val="single"/>
          <w:rtl/>
        </w:rPr>
        <w:t>עיקר טענות המשיב</w:t>
      </w:r>
      <w:r w:rsidR="00C363E5" w:rsidRPr="00A22AFB">
        <w:rPr>
          <w:rFonts w:ascii="David" w:hAnsi="David" w:cs="David" w:hint="cs"/>
          <w:b/>
          <w:bCs/>
          <w:sz w:val="26"/>
          <w:szCs w:val="26"/>
          <w:u w:val="single"/>
          <w:rtl/>
        </w:rPr>
        <w:t>ים 3 - 52</w:t>
      </w:r>
    </w:p>
    <w:p w14:paraId="5A433BFD" w14:textId="77777777" w:rsidR="003C3F9F" w:rsidRPr="00EC5599" w:rsidRDefault="003C3F9F" w:rsidP="00C363E5">
      <w:pPr>
        <w:pStyle w:val="af"/>
        <w:numPr>
          <w:ilvl w:val="0"/>
          <w:numId w:val="1"/>
        </w:numPr>
        <w:spacing w:line="360" w:lineRule="auto"/>
        <w:ind w:left="470" w:right="-142" w:hanging="425"/>
        <w:contextualSpacing w:val="0"/>
        <w:jc w:val="both"/>
        <w:rPr>
          <w:rFonts w:cs="David"/>
          <w:sz w:val="24"/>
          <w:szCs w:val="24"/>
        </w:rPr>
      </w:pPr>
      <w:r w:rsidRPr="00EC5599">
        <w:rPr>
          <w:rFonts w:cs="David" w:hint="cs"/>
          <w:sz w:val="24"/>
          <w:szCs w:val="24"/>
          <w:rtl/>
        </w:rPr>
        <w:t>יש להורות על ביטולה של החלטת הוועדה המקומית מיום 11.6.2023 ולהותיר</w:t>
      </w:r>
      <w:r w:rsidR="00C363E5">
        <w:rPr>
          <w:rFonts w:cs="David" w:hint="cs"/>
          <w:sz w:val="24"/>
          <w:szCs w:val="24"/>
          <w:rtl/>
        </w:rPr>
        <w:t xml:space="preserve"> על כנה</w:t>
      </w:r>
      <w:r w:rsidRPr="00EC5599">
        <w:rPr>
          <w:rFonts w:cs="David" w:hint="cs"/>
          <w:sz w:val="24"/>
          <w:szCs w:val="24"/>
          <w:rtl/>
        </w:rPr>
        <w:t xml:space="preserve"> את החלטת ועדת המשנה מיום 31.5.2023.</w:t>
      </w:r>
    </w:p>
    <w:p w14:paraId="60613B24" w14:textId="77777777" w:rsidR="003C3F9F" w:rsidRPr="00EC5599"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lastRenderedPageBreak/>
        <w:t>החלטת הוועדה המקומית</w:t>
      </w:r>
      <w:r w:rsidR="003C3F9F" w:rsidRPr="00EC5599">
        <w:rPr>
          <w:rFonts w:cs="David" w:hint="cs"/>
          <w:sz w:val="24"/>
          <w:szCs w:val="24"/>
          <w:rtl/>
        </w:rPr>
        <w:t xml:space="preserve"> התקבלה בניגוד לכללי המנהל התקין, מבלי לעמוד בחובת ההנמקה, מבלי לתת לעוררת ולמשיבים את זכות הטיעון ומבלי שחלו שינוי הנסיבות או טעמים מיוחדים.</w:t>
      </w:r>
    </w:p>
    <w:p w14:paraId="0D26B2F1" w14:textId="77777777" w:rsidR="003C3F9F" w:rsidRPr="00EC5599"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בהתאם לפסיקה, האפשרות לשינוי החלטה </w:t>
      </w:r>
      <w:proofErr w:type="spellStart"/>
      <w:r>
        <w:rPr>
          <w:rFonts w:cs="David" w:hint="cs"/>
          <w:sz w:val="24"/>
          <w:szCs w:val="24"/>
          <w:rtl/>
        </w:rPr>
        <w:t>מינהלית</w:t>
      </w:r>
      <w:proofErr w:type="spellEnd"/>
      <w:r>
        <w:rPr>
          <w:rFonts w:cs="David" w:hint="cs"/>
          <w:sz w:val="24"/>
          <w:szCs w:val="24"/>
          <w:rtl/>
        </w:rPr>
        <w:t xml:space="preserve"> </w:t>
      </w:r>
      <w:r w:rsidR="003C3F9F" w:rsidRPr="00EC5599">
        <w:rPr>
          <w:rFonts w:cs="David" w:hint="cs"/>
          <w:sz w:val="24"/>
          <w:szCs w:val="24"/>
          <w:rtl/>
        </w:rPr>
        <w:t>מוגבל</w:t>
      </w:r>
      <w:r>
        <w:rPr>
          <w:rFonts w:cs="David" w:hint="cs"/>
          <w:sz w:val="24"/>
          <w:szCs w:val="24"/>
          <w:rtl/>
        </w:rPr>
        <w:t>ת</w:t>
      </w:r>
      <w:r w:rsidR="003C3F9F" w:rsidRPr="00EC5599">
        <w:rPr>
          <w:rFonts w:cs="David" w:hint="cs"/>
          <w:sz w:val="24"/>
          <w:szCs w:val="24"/>
          <w:rtl/>
        </w:rPr>
        <w:t xml:space="preserve"> למקרים </w:t>
      </w:r>
      <w:r>
        <w:rPr>
          <w:rFonts w:cs="David" w:hint="cs"/>
          <w:sz w:val="24"/>
          <w:szCs w:val="24"/>
          <w:rtl/>
        </w:rPr>
        <w:t>ש</w:t>
      </w:r>
      <w:r w:rsidR="003C3F9F" w:rsidRPr="00EC5599">
        <w:rPr>
          <w:rFonts w:cs="David" w:hint="cs"/>
          <w:sz w:val="24"/>
          <w:szCs w:val="24"/>
          <w:rtl/>
        </w:rPr>
        <w:t xml:space="preserve">בהם השתנו נסיבות או </w:t>
      </w:r>
      <w:r>
        <w:rPr>
          <w:rFonts w:cs="David" w:hint="cs"/>
          <w:sz w:val="24"/>
          <w:szCs w:val="24"/>
          <w:rtl/>
        </w:rPr>
        <w:t xml:space="preserve">שיש </w:t>
      </w:r>
      <w:r w:rsidR="003C3F9F" w:rsidRPr="00EC5599">
        <w:rPr>
          <w:rFonts w:cs="David" w:hint="cs"/>
          <w:sz w:val="24"/>
          <w:szCs w:val="24"/>
          <w:rtl/>
        </w:rPr>
        <w:t>לבחון ולהעריך מחדש את הנסיבות בשל טעמים הנעוצים באינטרס ציבורי כבד משקל</w:t>
      </w:r>
      <w:r>
        <w:rPr>
          <w:rFonts w:cs="David" w:hint="cs"/>
          <w:sz w:val="24"/>
          <w:szCs w:val="24"/>
          <w:rtl/>
        </w:rPr>
        <w:t>,</w:t>
      </w:r>
      <w:r w:rsidR="003C3F9F" w:rsidRPr="00EC5599">
        <w:rPr>
          <w:rFonts w:cs="David" w:hint="cs"/>
          <w:sz w:val="24"/>
          <w:szCs w:val="24"/>
          <w:rtl/>
        </w:rPr>
        <w:t xml:space="preserve"> ובתנאי שלא נגרם עוול לאזרח. במקרה דנן לא השתנו הנסיבות ולא נוצר הצורך לבחון מחדש את הנסיבות הקיימות. </w:t>
      </w:r>
    </w:p>
    <w:p w14:paraId="20AB7961" w14:textId="77777777" w:rsidR="003C3F9F" w:rsidRPr="00EC5599"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מ</w:t>
      </w:r>
      <w:r w:rsidR="003C3F9F" w:rsidRPr="00EC5599">
        <w:rPr>
          <w:rFonts w:cs="David" w:hint="cs"/>
          <w:sz w:val="24"/>
          <w:szCs w:val="24"/>
          <w:rtl/>
        </w:rPr>
        <w:t xml:space="preserve">תמלול </w:t>
      </w:r>
      <w:r>
        <w:rPr>
          <w:rFonts w:cs="David" w:hint="cs"/>
          <w:sz w:val="24"/>
          <w:szCs w:val="24"/>
          <w:rtl/>
        </w:rPr>
        <w:t>הדיון שנערך בו</w:t>
      </w:r>
      <w:r w:rsidR="003C3F9F" w:rsidRPr="00EC5599">
        <w:rPr>
          <w:rFonts w:cs="David" w:hint="cs"/>
          <w:sz w:val="24"/>
          <w:szCs w:val="24"/>
          <w:rtl/>
        </w:rPr>
        <w:t xml:space="preserve">ועדה המקומית </w:t>
      </w:r>
      <w:r>
        <w:rPr>
          <w:rFonts w:cs="David" w:hint="cs"/>
          <w:sz w:val="24"/>
          <w:szCs w:val="24"/>
          <w:rtl/>
        </w:rPr>
        <w:t xml:space="preserve">עולה, כי </w:t>
      </w:r>
      <w:r w:rsidR="003C3F9F" w:rsidRPr="00EC5599">
        <w:rPr>
          <w:rFonts w:cs="David" w:hint="cs"/>
          <w:sz w:val="24"/>
          <w:szCs w:val="24"/>
          <w:rtl/>
        </w:rPr>
        <w:t xml:space="preserve">בבסיס ההחלטה </w:t>
      </w:r>
      <w:r>
        <w:rPr>
          <w:rFonts w:cs="David" w:hint="cs"/>
          <w:sz w:val="24"/>
          <w:szCs w:val="24"/>
          <w:rtl/>
        </w:rPr>
        <w:t>עמדו</w:t>
      </w:r>
      <w:r w:rsidR="003C3F9F" w:rsidRPr="00EC5599">
        <w:rPr>
          <w:rFonts w:cs="David" w:hint="cs"/>
          <w:sz w:val="24"/>
          <w:szCs w:val="24"/>
          <w:rtl/>
        </w:rPr>
        <w:t xml:space="preserve"> שיקולים לא תכנוניים</w:t>
      </w:r>
      <w:r>
        <w:rPr>
          <w:rFonts w:cs="David" w:hint="cs"/>
          <w:sz w:val="24"/>
          <w:szCs w:val="24"/>
          <w:rtl/>
        </w:rPr>
        <w:t xml:space="preserve">, החורגים מגדרי </w:t>
      </w:r>
      <w:r w:rsidR="003C3F9F" w:rsidRPr="00EC5599">
        <w:rPr>
          <w:rFonts w:cs="David" w:hint="cs"/>
          <w:sz w:val="24"/>
          <w:szCs w:val="24"/>
          <w:rtl/>
        </w:rPr>
        <w:t xml:space="preserve">שיקול הדעת </w:t>
      </w:r>
      <w:r>
        <w:rPr>
          <w:rFonts w:cs="David" w:hint="cs"/>
          <w:sz w:val="24"/>
          <w:szCs w:val="24"/>
          <w:rtl/>
        </w:rPr>
        <w:t xml:space="preserve">והסמכות </w:t>
      </w:r>
      <w:r w:rsidR="003C3F9F" w:rsidRPr="00EC5599">
        <w:rPr>
          <w:rFonts w:cs="David" w:hint="cs"/>
          <w:sz w:val="24"/>
          <w:szCs w:val="24"/>
          <w:rtl/>
        </w:rPr>
        <w:t>ש</w:t>
      </w:r>
      <w:r>
        <w:rPr>
          <w:rFonts w:cs="David" w:hint="cs"/>
          <w:sz w:val="24"/>
          <w:szCs w:val="24"/>
          <w:rtl/>
        </w:rPr>
        <w:t xml:space="preserve">ל </w:t>
      </w:r>
      <w:r w:rsidR="003C3F9F" w:rsidRPr="00EC5599">
        <w:rPr>
          <w:rFonts w:cs="David" w:hint="cs"/>
          <w:sz w:val="24"/>
          <w:szCs w:val="24"/>
          <w:rtl/>
        </w:rPr>
        <w:t>הוועדה המקומית</w:t>
      </w:r>
      <w:r>
        <w:rPr>
          <w:rFonts w:cs="David" w:hint="cs"/>
          <w:sz w:val="24"/>
          <w:szCs w:val="24"/>
          <w:rtl/>
        </w:rPr>
        <w:t xml:space="preserve">. </w:t>
      </w:r>
      <w:r w:rsidR="003C3F9F" w:rsidRPr="00EC5599">
        <w:rPr>
          <w:rFonts w:cs="David" w:hint="cs"/>
          <w:sz w:val="24"/>
          <w:szCs w:val="24"/>
          <w:rtl/>
        </w:rPr>
        <w:t xml:space="preserve">עיקר הדיון נגע לזכויות העירייה </w:t>
      </w:r>
      <w:r>
        <w:rPr>
          <w:rFonts w:cs="David" w:hint="cs"/>
          <w:sz w:val="24"/>
          <w:szCs w:val="24"/>
          <w:rtl/>
        </w:rPr>
        <w:t>מכוח ה</w:t>
      </w:r>
      <w:r w:rsidR="003C3F9F" w:rsidRPr="00EC5599">
        <w:rPr>
          <w:rFonts w:cs="David" w:hint="cs"/>
          <w:sz w:val="24"/>
          <w:szCs w:val="24"/>
          <w:rtl/>
        </w:rPr>
        <w:t>ת</w:t>
      </w:r>
      <w:r>
        <w:rPr>
          <w:rFonts w:cs="David" w:hint="cs"/>
          <w:sz w:val="24"/>
          <w:szCs w:val="24"/>
          <w:rtl/>
        </w:rPr>
        <w:t>ו</w:t>
      </w:r>
      <w:r w:rsidR="003C3F9F" w:rsidRPr="00EC5599">
        <w:rPr>
          <w:rFonts w:cs="David" w:hint="cs"/>
          <w:sz w:val="24"/>
          <w:szCs w:val="24"/>
          <w:rtl/>
        </w:rPr>
        <w:t xml:space="preserve">כנית </w:t>
      </w:r>
      <w:r>
        <w:rPr>
          <w:rFonts w:cs="David" w:hint="cs"/>
          <w:sz w:val="24"/>
          <w:szCs w:val="24"/>
          <w:rtl/>
        </w:rPr>
        <w:t xml:space="preserve"> המפורטת </w:t>
      </w:r>
      <w:r w:rsidR="003C3F9F" w:rsidRPr="00EC5599">
        <w:rPr>
          <w:rFonts w:cs="David" w:hint="cs"/>
          <w:sz w:val="24"/>
          <w:szCs w:val="24"/>
          <w:rtl/>
        </w:rPr>
        <w:t xml:space="preserve">ולמטלות </w:t>
      </w:r>
      <w:r>
        <w:rPr>
          <w:rFonts w:cs="David" w:hint="cs"/>
          <w:sz w:val="24"/>
          <w:szCs w:val="24"/>
          <w:rtl/>
        </w:rPr>
        <w:t xml:space="preserve">הציבוריות </w:t>
      </w:r>
      <w:r w:rsidR="003C3F9F" w:rsidRPr="00EC5599">
        <w:rPr>
          <w:rFonts w:cs="David" w:hint="cs"/>
          <w:sz w:val="24"/>
          <w:szCs w:val="24"/>
          <w:rtl/>
        </w:rPr>
        <w:t>שהוטלו על העוררת בהתאם להסכם העקרונות.</w:t>
      </w:r>
    </w:p>
    <w:p w14:paraId="6D5C500F" w14:textId="77777777" w:rsidR="003C3F9F" w:rsidRDefault="00C363E5" w:rsidP="00C363E5">
      <w:pPr>
        <w:pStyle w:val="af"/>
        <w:numPr>
          <w:ilvl w:val="0"/>
          <w:numId w:val="1"/>
        </w:numPr>
        <w:spacing w:line="360" w:lineRule="auto"/>
        <w:ind w:left="470" w:right="-142" w:hanging="425"/>
        <w:contextualSpacing w:val="0"/>
        <w:jc w:val="both"/>
        <w:rPr>
          <w:rFonts w:cs="David"/>
          <w:sz w:val="24"/>
          <w:szCs w:val="24"/>
        </w:rPr>
      </w:pPr>
      <w:r w:rsidRPr="00C363E5">
        <w:rPr>
          <w:rFonts w:cs="David" w:hint="cs"/>
          <w:sz w:val="24"/>
          <w:szCs w:val="24"/>
          <w:rtl/>
        </w:rPr>
        <w:t>מאז</w:t>
      </w:r>
      <w:r w:rsidR="003C3F9F" w:rsidRPr="00C363E5">
        <w:rPr>
          <w:rFonts w:cs="David" w:hint="cs"/>
          <w:sz w:val="24"/>
          <w:szCs w:val="24"/>
          <w:rtl/>
        </w:rPr>
        <w:t xml:space="preserve"> שנת 2010 </w:t>
      </w:r>
      <w:r w:rsidRPr="00C363E5">
        <w:rPr>
          <w:rFonts w:cs="David" w:hint="cs"/>
          <w:sz w:val="24"/>
          <w:szCs w:val="24"/>
          <w:rtl/>
        </w:rPr>
        <w:t xml:space="preserve">פועלים </w:t>
      </w:r>
      <w:r w:rsidR="003C3F9F" w:rsidRPr="00C363E5">
        <w:rPr>
          <w:rFonts w:cs="David" w:hint="cs"/>
          <w:sz w:val="24"/>
          <w:szCs w:val="24"/>
          <w:rtl/>
        </w:rPr>
        <w:t xml:space="preserve">המשיבים בשיתוף עם </w:t>
      </w:r>
      <w:r w:rsidRPr="00C363E5">
        <w:rPr>
          <w:rFonts w:cs="David" w:hint="cs"/>
          <w:sz w:val="24"/>
          <w:szCs w:val="24"/>
          <w:rtl/>
        </w:rPr>
        <w:t xml:space="preserve">העירייה לקידום התוכנית </w:t>
      </w:r>
      <w:proofErr w:type="spellStart"/>
      <w:r w:rsidRPr="00C363E5">
        <w:rPr>
          <w:rFonts w:cs="David" w:hint="cs"/>
          <w:sz w:val="24"/>
          <w:szCs w:val="24"/>
          <w:rtl/>
        </w:rPr>
        <w:t>המתארית</w:t>
      </w:r>
      <w:proofErr w:type="spellEnd"/>
      <w:r w:rsidRPr="00C363E5">
        <w:rPr>
          <w:rFonts w:cs="David" w:hint="cs"/>
          <w:sz w:val="24"/>
          <w:szCs w:val="24"/>
          <w:rtl/>
        </w:rPr>
        <w:t xml:space="preserve"> ולאישור </w:t>
      </w:r>
      <w:proofErr w:type="spellStart"/>
      <w:r w:rsidRPr="00C363E5">
        <w:rPr>
          <w:rFonts w:cs="David" w:hint="cs"/>
          <w:sz w:val="24"/>
          <w:szCs w:val="24"/>
          <w:rtl/>
        </w:rPr>
        <w:t>תוכנית</w:t>
      </w:r>
      <w:proofErr w:type="spellEnd"/>
      <w:r w:rsidRPr="00C363E5">
        <w:rPr>
          <w:rFonts w:cs="David" w:hint="cs"/>
          <w:sz w:val="24"/>
          <w:szCs w:val="24"/>
          <w:rtl/>
        </w:rPr>
        <w:t xml:space="preserve"> מפורטת.</w:t>
      </w:r>
      <w:r>
        <w:rPr>
          <w:rFonts w:cs="David" w:hint="cs"/>
          <w:sz w:val="24"/>
          <w:szCs w:val="24"/>
          <w:rtl/>
        </w:rPr>
        <w:t xml:space="preserve"> </w:t>
      </w:r>
    </w:p>
    <w:p w14:paraId="097836C7" w14:textId="77777777" w:rsidR="003C3F9F" w:rsidRPr="00C363E5" w:rsidRDefault="00C363E5" w:rsidP="00E9094C">
      <w:pPr>
        <w:pStyle w:val="af"/>
        <w:numPr>
          <w:ilvl w:val="0"/>
          <w:numId w:val="1"/>
        </w:numPr>
        <w:spacing w:line="360" w:lineRule="auto"/>
        <w:ind w:left="470" w:right="-142" w:hanging="425"/>
        <w:contextualSpacing w:val="0"/>
        <w:jc w:val="both"/>
        <w:rPr>
          <w:rFonts w:cs="David"/>
          <w:sz w:val="24"/>
          <w:szCs w:val="24"/>
        </w:rPr>
      </w:pPr>
      <w:r w:rsidRPr="00C363E5">
        <w:rPr>
          <w:rFonts w:cs="David" w:hint="cs"/>
          <w:sz w:val="24"/>
          <w:szCs w:val="24"/>
          <w:rtl/>
        </w:rPr>
        <w:t>אין ממש בטענה לניגוד עניינים</w:t>
      </w:r>
      <w:r>
        <w:rPr>
          <w:rFonts w:cs="David" w:hint="cs"/>
          <w:sz w:val="24"/>
          <w:szCs w:val="24"/>
          <w:rtl/>
        </w:rPr>
        <w:t>,</w:t>
      </w:r>
      <w:r w:rsidRPr="00C363E5">
        <w:rPr>
          <w:rFonts w:cs="David" w:hint="cs"/>
          <w:sz w:val="24"/>
          <w:szCs w:val="24"/>
          <w:rtl/>
        </w:rPr>
        <w:t xml:space="preserve"> שכן התוכנית המפורטת נועדה לשרת את כלל בעלי הזכויות, כמו גם את תושבי העיר, ואלו אינם מצויים בניגוד עניינים. החלטת הוועדה המקומית מהווה ניסיון פסול לעקוף את חוות דעת </w:t>
      </w:r>
      <w:r w:rsidR="003C3F9F" w:rsidRPr="00C363E5">
        <w:rPr>
          <w:rFonts w:cs="David" w:hint="cs"/>
          <w:sz w:val="24"/>
          <w:szCs w:val="24"/>
          <w:rtl/>
        </w:rPr>
        <w:t>הוועדה למניעת ניגוד עניינים</w:t>
      </w:r>
      <w:r w:rsidRPr="00C363E5">
        <w:rPr>
          <w:rFonts w:cs="David" w:hint="cs"/>
          <w:sz w:val="24"/>
          <w:szCs w:val="24"/>
          <w:rtl/>
        </w:rPr>
        <w:t xml:space="preserve">, שלפיה </w:t>
      </w:r>
      <w:r w:rsidR="003C3F9F" w:rsidRPr="00C363E5">
        <w:rPr>
          <w:rFonts w:cs="David" w:hint="cs"/>
          <w:sz w:val="24"/>
          <w:szCs w:val="24"/>
          <w:rtl/>
        </w:rPr>
        <w:t>חברי הוועדה אינם מנועים מלהצביע על ה</w:t>
      </w:r>
      <w:r>
        <w:rPr>
          <w:rFonts w:cs="David" w:hint="cs"/>
          <w:sz w:val="24"/>
          <w:szCs w:val="24"/>
          <w:rtl/>
        </w:rPr>
        <w:t>פקדת התוכנית המפורטת</w:t>
      </w:r>
      <w:r w:rsidR="003C3F9F" w:rsidRPr="00C363E5">
        <w:rPr>
          <w:rFonts w:cs="David" w:hint="cs"/>
          <w:sz w:val="24"/>
          <w:szCs w:val="24"/>
          <w:rtl/>
        </w:rPr>
        <w:t>.</w:t>
      </w:r>
    </w:p>
    <w:p w14:paraId="63DA3659" w14:textId="77777777" w:rsidR="003C3F9F" w:rsidRPr="00EC5599"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בנוסף, </w:t>
      </w:r>
      <w:r w:rsidR="003C3F9F" w:rsidRPr="00EC5599">
        <w:rPr>
          <w:rFonts w:cs="David" w:hint="cs"/>
          <w:sz w:val="24"/>
          <w:szCs w:val="24"/>
          <w:rtl/>
        </w:rPr>
        <w:t xml:space="preserve">הבחירות </w:t>
      </w:r>
      <w:r>
        <w:rPr>
          <w:rFonts w:cs="David" w:hint="cs"/>
          <w:sz w:val="24"/>
          <w:szCs w:val="24"/>
          <w:rtl/>
        </w:rPr>
        <w:t xml:space="preserve">לרשויות המקומיות היו </w:t>
      </w:r>
      <w:r w:rsidR="003C3F9F" w:rsidRPr="00EC5599">
        <w:rPr>
          <w:rFonts w:cs="David" w:hint="cs"/>
          <w:sz w:val="24"/>
          <w:szCs w:val="24"/>
          <w:rtl/>
        </w:rPr>
        <w:t>עתידות להתקיים כ-</w:t>
      </w:r>
      <w:r>
        <w:rPr>
          <w:rFonts w:cs="David" w:hint="cs"/>
          <w:sz w:val="24"/>
          <w:szCs w:val="24"/>
          <w:rtl/>
        </w:rPr>
        <w:t xml:space="preserve"> </w:t>
      </w:r>
      <w:r w:rsidR="003C3F9F" w:rsidRPr="00EC5599">
        <w:rPr>
          <w:rFonts w:cs="David" w:hint="cs"/>
          <w:sz w:val="24"/>
          <w:szCs w:val="24"/>
          <w:rtl/>
        </w:rPr>
        <w:t xml:space="preserve">6 חודשים לאחר החלטת </w:t>
      </w:r>
      <w:r>
        <w:rPr>
          <w:rFonts w:cs="David" w:hint="cs"/>
          <w:sz w:val="24"/>
          <w:szCs w:val="24"/>
          <w:rtl/>
        </w:rPr>
        <w:t xml:space="preserve">ועדת </w:t>
      </w:r>
      <w:r w:rsidR="003C3F9F" w:rsidRPr="00EC5599">
        <w:rPr>
          <w:rFonts w:cs="David" w:hint="cs"/>
          <w:sz w:val="24"/>
          <w:szCs w:val="24"/>
          <w:rtl/>
        </w:rPr>
        <w:t xml:space="preserve">המשנה </w:t>
      </w:r>
      <w:r>
        <w:rPr>
          <w:rFonts w:cs="David" w:hint="cs"/>
          <w:sz w:val="24"/>
          <w:szCs w:val="24"/>
          <w:rtl/>
        </w:rPr>
        <w:t>ע</w:t>
      </w:r>
      <w:r w:rsidR="003C3F9F" w:rsidRPr="00EC5599">
        <w:rPr>
          <w:rFonts w:cs="David" w:hint="cs"/>
          <w:sz w:val="24"/>
          <w:szCs w:val="24"/>
          <w:rtl/>
        </w:rPr>
        <w:t>ל</w:t>
      </w:r>
      <w:r>
        <w:rPr>
          <w:rFonts w:cs="David" w:hint="cs"/>
          <w:sz w:val="24"/>
          <w:szCs w:val="24"/>
          <w:rtl/>
        </w:rPr>
        <w:t xml:space="preserve"> </w:t>
      </w:r>
      <w:r w:rsidR="003C3F9F" w:rsidRPr="00EC5599">
        <w:rPr>
          <w:rFonts w:cs="David" w:hint="cs"/>
          <w:sz w:val="24"/>
          <w:szCs w:val="24"/>
          <w:rtl/>
        </w:rPr>
        <w:t>הפקדת הת</w:t>
      </w:r>
      <w:r>
        <w:rPr>
          <w:rFonts w:cs="David" w:hint="cs"/>
          <w:sz w:val="24"/>
          <w:szCs w:val="24"/>
          <w:rtl/>
        </w:rPr>
        <w:t>ו</w:t>
      </w:r>
      <w:r w:rsidR="003C3F9F" w:rsidRPr="00EC5599">
        <w:rPr>
          <w:rFonts w:cs="David" w:hint="cs"/>
          <w:sz w:val="24"/>
          <w:szCs w:val="24"/>
          <w:rtl/>
        </w:rPr>
        <w:t>כנית</w:t>
      </w:r>
      <w:r>
        <w:rPr>
          <w:rFonts w:cs="David" w:hint="cs"/>
          <w:sz w:val="24"/>
          <w:szCs w:val="24"/>
          <w:rtl/>
        </w:rPr>
        <w:t xml:space="preserve"> המפורטת.</w:t>
      </w:r>
      <w:r w:rsidR="003C3F9F" w:rsidRPr="00EC5599">
        <w:rPr>
          <w:rFonts w:cs="David" w:hint="cs"/>
          <w:sz w:val="24"/>
          <w:szCs w:val="24"/>
          <w:rtl/>
        </w:rPr>
        <w:t xml:space="preserve"> הנחיות מנהל התכנון ממליצות להימנע מדיון בעניינים המעלים סוגיות עקרוניות או השלכות תכנוניות שלושה חודשים קודם לבחירות.</w:t>
      </w:r>
      <w:r>
        <w:rPr>
          <w:rFonts w:cs="David" w:hint="cs"/>
          <w:sz w:val="24"/>
          <w:szCs w:val="24"/>
          <w:rtl/>
        </w:rPr>
        <w:t xml:space="preserve"> </w:t>
      </w:r>
    </w:p>
    <w:p w14:paraId="4563EE2A" w14:textId="77777777" w:rsidR="003C3F9F" w:rsidRPr="00EC5599" w:rsidRDefault="00C363E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החלטת הוועדה המקומית מנוגדת </w:t>
      </w:r>
      <w:r w:rsidR="003C3F9F" w:rsidRPr="00EC5599">
        <w:rPr>
          <w:rFonts w:cs="David" w:hint="cs"/>
          <w:sz w:val="24"/>
          <w:szCs w:val="24"/>
          <w:rtl/>
        </w:rPr>
        <w:t xml:space="preserve">להחלטת מועצת העיר </w:t>
      </w:r>
      <w:r>
        <w:rPr>
          <w:rFonts w:cs="David" w:hint="cs"/>
          <w:sz w:val="24"/>
          <w:szCs w:val="24"/>
          <w:rtl/>
        </w:rPr>
        <w:t xml:space="preserve">אשר אישרה את </w:t>
      </w:r>
      <w:r w:rsidR="003C3F9F" w:rsidRPr="00EC5599">
        <w:rPr>
          <w:rFonts w:cs="David" w:hint="cs"/>
          <w:sz w:val="24"/>
          <w:szCs w:val="24"/>
          <w:rtl/>
        </w:rPr>
        <w:t>הסכם העקרונות.</w:t>
      </w:r>
    </w:p>
    <w:p w14:paraId="25B4A870" w14:textId="77777777" w:rsidR="003C3F9F" w:rsidRPr="00EC5599" w:rsidRDefault="003C3F9F" w:rsidP="00C363E5">
      <w:pPr>
        <w:pStyle w:val="af"/>
        <w:numPr>
          <w:ilvl w:val="0"/>
          <w:numId w:val="1"/>
        </w:numPr>
        <w:spacing w:line="360" w:lineRule="auto"/>
        <w:ind w:left="470" w:right="-142" w:hanging="425"/>
        <w:contextualSpacing w:val="0"/>
        <w:jc w:val="both"/>
        <w:rPr>
          <w:rFonts w:cs="David"/>
          <w:sz w:val="24"/>
          <w:szCs w:val="24"/>
        </w:rPr>
      </w:pPr>
      <w:r w:rsidRPr="00EC5599">
        <w:rPr>
          <w:rFonts w:cs="David" w:hint="cs"/>
          <w:sz w:val="24"/>
          <w:szCs w:val="24"/>
          <w:rtl/>
        </w:rPr>
        <w:t>נושא היקף שטחי הציבור בתחום התכנית הוכרע זה מכבר על ידי הוועדה המחוזית המוסמכת</w:t>
      </w:r>
      <w:r w:rsidR="00C363E5">
        <w:rPr>
          <w:rFonts w:cs="David" w:hint="cs"/>
          <w:sz w:val="24"/>
          <w:szCs w:val="24"/>
          <w:rtl/>
        </w:rPr>
        <w:t>,</w:t>
      </w:r>
      <w:r w:rsidRPr="00EC5599">
        <w:rPr>
          <w:rFonts w:cs="David" w:hint="cs"/>
          <w:sz w:val="24"/>
          <w:szCs w:val="24"/>
          <w:rtl/>
        </w:rPr>
        <w:t xml:space="preserve"> כך שהדרישה לבחינה מחדש במסגרת התכנית דנן אינה במקומה.</w:t>
      </w:r>
    </w:p>
    <w:p w14:paraId="1EAE88BC" w14:textId="77777777" w:rsidR="003C3F9F" w:rsidRPr="00C363E5" w:rsidRDefault="00C363E5" w:rsidP="00DC367C">
      <w:pPr>
        <w:pStyle w:val="af"/>
        <w:numPr>
          <w:ilvl w:val="0"/>
          <w:numId w:val="1"/>
        </w:numPr>
        <w:spacing w:line="360" w:lineRule="auto"/>
        <w:ind w:left="470" w:right="-142" w:hanging="425"/>
        <w:contextualSpacing w:val="0"/>
        <w:jc w:val="both"/>
        <w:rPr>
          <w:rFonts w:cs="David"/>
          <w:sz w:val="24"/>
          <w:szCs w:val="24"/>
        </w:rPr>
      </w:pPr>
      <w:r w:rsidRPr="00C363E5">
        <w:rPr>
          <w:rFonts w:cs="David" w:hint="cs"/>
          <w:sz w:val="24"/>
          <w:szCs w:val="24"/>
          <w:rtl/>
        </w:rPr>
        <w:t xml:space="preserve">הוועדה המקומית התעלמה מהאינטרס הציבורי והתועלת הציבורית שיש בתוכנית המפורטת, כמו גם מהתאמתה למדיניות התכנונית בעיר. </w:t>
      </w:r>
      <w:r w:rsidR="003C3F9F" w:rsidRPr="00C363E5">
        <w:rPr>
          <w:rFonts w:cs="David" w:hint="cs"/>
          <w:sz w:val="24"/>
          <w:szCs w:val="24"/>
          <w:rtl/>
        </w:rPr>
        <w:t>החלטת הוועדה המקומית פוגעת בפיתוח האזור</w:t>
      </w:r>
      <w:r>
        <w:rPr>
          <w:rFonts w:cs="David" w:hint="cs"/>
          <w:sz w:val="24"/>
          <w:szCs w:val="24"/>
          <w:rtl/>
        </w:rPr>
        <w:t xml:space="preserve">, </w:t>
      </w:r>
      <w:r w:rsidR="003C3F9F" w:rsidRPr="00C363E5">
        <w:rPr>
          <w:rFonts w:cs="David" w:hint="cs"/>
          <w:sz w:val="24"/>
          <w:szCs w:val="24"/>
          <w:rtl/>
        </w:rPr>
        <w:t>מונעת התחדשות עירונית</w:t>
      </w:r>
      <w:r>
        <w:rPr>
          <w:rFonts w:cs="David" w:hint="cs"/>
          <w:sz w:val="24"/>
          <w:szCs w:val="24"/>
          <w:rtl/>
        </w:rPr>
        <w:t xml:space="preserve"> ופוגעת בסביבה הסובלת ממטרד של שימוש תעשייתי בלב העיר</w:t>
      </w:r>
      <w:r w:rsidR="003C3F9F" w:rsidRPr="00C363E5">
        <w:rPr>
          <w:rFonts w:cs="David" w:hint="cs"/>
          <w:sz w:val="24"/>
          <w:szCs w:val="24"/>
          <w:rtl/>
        </w:rPr>
        <w:t>.</w:t>
      </w:r>
    </w:p>
    <w:p w14:paraId="28C0690B" w14:textId="77777777" w:rsidR="003C3F9F" w:rsidRPr="00C363E5" w:rsidRDefault="00C363E5" w:rsidP="0076783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החלטת הוועדה המקומית פוגעת ב</w:t>
      </w:r>
      <w:r w:rsidR="003C3F9F" w:rsidRPr="00C363E5">
        <w:rPr>
          <w:rFonts w:cs="David" w:hint="cs"/>
          <w:sz w:val="24"/>
          <w:szCs w:val="24"/>
          <w:rtl/>
        </w:rPr>
        <w:t>הסתמכות המשיבים</w:t>
      </w:r>
      <w:r>
        <w:rPr>
          <w:rFonts w:cs="David" w:hint="cs"/>
          <w:sz w:val="24"/>
          <w:szCs w:val="24"/>
          <w:rtl/>
        </w:rPr>
        <w:t>,</w:t>
      </w:r>
      <w:r w:rsidR="003C3F9F" w:rsidRPr="00C363E5">
        <w:rPr>
          <w:rFonts w:cs="David" w:hint="cs"/>
          <w:sz w:val="24"/>
          <w:szCs w:val="24"/>
          <w:rtl/>
        </w:rPr>
        <w:t xml:space="preserve"> אשר </w:t>
      </w:r>
      <w:r>
        <w:rPr>
          <w:rFonts w:cs="David" w:hint="cs"/>
          <w:sz w:val="24"/>
          <w:szCs w:val="24"/>
          <w:rtl/>
        </w:rPr>
        <w:t xml:space="preserve">במשך 15 שנים </w:t>
      </w:r>
      <w:r w:rsidR="003C3F9F" w:rsidRPr="00C363E5">
        <w:rPr>
          <w:rFonts w:cs="David" w:hint="cs"/>
          <w:sz w:val="24"/>
          <w:szCs w:val="24"/>
          <w:rtl/>
        </w:rPr>
        <w:t xml:space="preserve">השקיעו </w:t>
      </w:r>
      <w:r>
        <w:rPr>
          <w:rFonts w:cs="David" w:hint="cs"/>
          <w:sz w:val="24"/>
          <w:szCs w:val="24"/>
          <w:rtl/>
        </w:rPr>
        <w:t xml:space="preserve">את </w:t>
      </w:r>
      <w:r w:rsidR="003C3F9F" w:rsidRPr="00C363E5">
        <w:rPr>
          <w:rFonts w:cs="David" w:hint="cs"/>
          <w:sz w:val="24"/>
          <w:szCs w:val="24"/>
          <w:rtl/>
        </w:rPr>
        <w:t>מ</w:t>
      </w:r>
      <w:r>
        <w:rPr>
          <w:rFonts w:cs="David" w:hint="cs"/>
          <w:sz w:val="24"/>
          <w:szCs w:val="24"/>
          <w:rtl/>
        </w:rPr>
        <w:t>י</w:t>
      </w:r>
      <w:r w:rsidR="003C3F9F" w:rsidRPr="00C363E5">
        <w:rPr>
          <w:rFonts w:cs="David" w:hint="cs"/>
          <w:sz w:val="24"/>
          <w:szCs w:val="24"/>
          <w:rtl/>
        </w:rPr>
        <w:t xml:space="preserve">רב כספם ומרצם </w:t>
      </w:r>
      <w:r>
        <w:rPr>
          <w:rFonts w:cs="David" w:hint="cs"/>
          <w:sz w:val="24"/>
          <w:szCs w:val="24"/>
          <w:rtl/>
        </w:rPr>
        <w:t>ב</w:t>
      </w:r>
      <w:r w:rsidR="003C3F9F" w:rsidRPr="00C363E5">
        <w:rPr>
          <w:rFonts w:cs="David" w:hint="cs"/>
          <w:sz w:val="24"/>
          <w:szCs w:val="24"/>
          <w:rtl/>
        </w:rPr>
        <w:t>קידום הת</w:t>
      </w:r>
      <w:r>
        <w:rPr>
          <w:rFonts w:cs="David" w:hint="cs"/>
          <w:sz w:val="24"/>
          <w:szCs w:val="24"/>
          <w:rtl/>
        </w:rPr>
        <w:t>ו</w:t>
      </w:r>
      <w:r w:rsidR="003C3F9F" w:rsidRPr="00C363E5">
        <w:rPr>
          <w:rFonts w:cs="David" w:hint="cs"/>
          <w:sz w:val="24"/>
          <w:szCs w:val="24"/>
          <w:rtl/>
        </w:rPr>
        <w:t>כני</w:t>
      </w:r>
      <w:r>
        <w:rPr>
          <w:rFonts w:cs="David" w:hint="cs"/>
          <w:sz w:val="24"/>
          <w:szCs w:val="24"/>
          <w:rtl/>
        </w:rPr>
        <w:t>ת המפורטת.</w:t>
      </w:r>
      <w:r w:rsidR="00C2191C">
        <w:rPr>
          <w:rFonts w:cs="David" w:hint="cs"/>
          <w:sz w:val="24"/>
          <w:szCs w:val="24"/>
          <w:rtl/>
        </w:rPr>
        <w:t xml:space="preserve"> מדובר באנשים מבוגרים, שנקלעו למאבקים פוליטיים על גבם.</w:t>
      </w:r>
    </w:p>
    <w:p w14:paraId="788A8F2D" w14:textId="77777777" w:rsidR="003C3F9F" w:rsidRDefault="003C3F9F" w:rsidP="003C3F9F">
      <w:pPr>
        <w:spacing w:line="360" w:lineRule="auto"/>
        <w:ind w:firstLine="43"/>
        <w:jc w:val="both"/>
        <w:rPr>
          <w:rFonts w:cs="David"/>
          <w:b/>
          <w:bCs/>
          <w:sz w:val="24"/>
          <w:szCs w:val="24"/>
          <w:u w:val="single"/>
          <w:rtl/>
        </w:rPr>
      </w:pPr>
    </w:p>
    <w:p w14:paraId="76A3BCC9" w14:textId="77777777" w:rsidR="003C3F9F" w:rsidRPr="00A22AFB" w:rsidRDefault="003C3F9F" w:rsidP="003C3F9F">
      <w:pPr>
        <w:spacing w:line="360" w:lineRule="auto"/>
        <w:ind w:firstLine="43"/>
        <w:jc w:val="both"/>
        <w:rPr>
          <w:rFonts w:cs="David"/>
          <w:b/>
          <w:bCs/>
          <w:sz w:val="26"/>
          <w:szCs w:val="26"/>
          <w:u w:val="single"/>
          <w:rtl/>
        </w:rPr>
      </w:pPr>
      <w:r w:rsidRPr="00A22AFB">
        <w:rPr>
          <w:rFonts w:cs="David" w:hint="cs"/>
          <w:b/>
          <w:bCs/>
          <w:sz w:val="26"/>
          <w:szCs w:val="26"/>
          <w:u w:val="single"/>
          <w:rtl/>
        </w:rPr>
        <w:t xml:space="preserve">דיון והכרעה </w:t>
      </w:r>
    </w:p>
    <w:p w14:paraId="028E6C93" w14:textId="77777777" w:rsidR="00CC6573" w:rsidRDefault="00CC6573"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לאחר ששמענו את הצדדים באריכות רבה במהלך הדיון, ועיינו בכל החומר שהוגש על ידם, הגענו למסקנה כי דין הערר להתקבל.</w:t>
      </w:r>
    </w:p>
    <w:p w14:paraId="23859A0C" w14:textId="13423A10" w:rsidR="007102A9" w:rsidRDefault="009E7B9B"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lastRenderedPageBreak/>
        <w:t>החלטת ועדת המשנה לאשר את התוכנית המפורטת נטועה היטב בהמלצות הצוות המקצועי של הוועדה המקומית</w:t>
      </w:r>
      <w:r w:rsidR="007102A9">
        <w:rPr>
          <w:rFonts w:cs="David" w:hint="cs"/>
          <w:sz w:val="24"/>
          <w:szCs w:val="24"/>
          <w:rtl/>
        </w:rPr>
        <w:t>,</w:t>
      </w:r>
      <w:r>
        <w:rPr>
          <w:rFonts w:cs="David" w:hint="cs"/>
          <w:sz w:val="24"/>
          <w:szCs w:val="24"/>
          <w:rtl/>
        </w:rPr>
        <w:t xml:space="preserve"> </w:t>
      </w:r>
      <w:r w:rsidR="00C00899">
        <w:rPr>
          <w:rFonts w:cs="David" w:hint="cs"/>
          <w:sz w:val="24"/>
          <w:szCs w:val="24"/>
          <w:rtl/>
        </w:rPr>
        <w:t xml:space="preserve">אשר סבר כי יש להפקיד את התוכנית. </w:t>
      </w:r>
    </w:p>
    <w:p w14:paraId="471EE5E7" w14:textId="77777777" w:rsidR="007102A9" w:rsidRDefault="00C00899" w:rsidP="00FB3256">
      <w:pPr>
        <w:pStyle w:val="af"/>
        <w:numPr>
          <w:ilvl w:val="0"/>
          <w:numId w:val="1"/>
        </w:numPr>
        <w:spacing w:line="360" w:lineRule="auto"/>
        <w:ind w:left="470" w:right="-142" w:hanging="425"/>
        <w:contextualSpacing w:val="0"/>
        <w:jc w:val="both"/>
        <w:rPr>
          <w:rFonts w:cs="David"/>
          <w:sz w:val="24"/>
          <w:szCs w:val="24"/>
        </w:rPr>
      </w:pPr>
      <w:r w:rsidRPr="007102A9">
        <w:rPr>
          <w:rFonts w:cs="David" w:hint="cs"/>
          <w:sz w:val="24"/>
          <w:szCs w:val="24"/>
          <w:rtl/>
        </w:rPr>
        <w:t>התוכנית המפורטת עולה בקנה אחד עם הסכם העקרונות שנחתם בין העירייה לבין העוררת</w:t>
      </w:r>
      <w:r w:rsidR="007102A9" w:rsidRPr="007102A9">
        <w:rPr>
          <w:rFonts w:cs="David" w:hint="cs"/>
          <w:sz w:val="24"/>
          <w:szCs w:val="24"/>
          <w:rtl/>
        </w:rPr>
        <w:t>, ומסדיר את נושא המטלות הציבוריות, והעירייה הצטרפה כמגישת התוכנית המפורטת</w:t>
      </w:r>
      <w:r w:rsidR="00A10915" w:rsidRPr="007102A9">
        <w:rPr>
          <w:rFonts w:cs="David" w:hint="cs"/>
          <w:sz w:val="24"/>
          <w:szCs w:val="24"/>
          <w:rtl/>
        </w:rPr>
        <w:t xml:space="preserve">. </w:t>
      </w:r>
    </w:p>
    <w:p w14:paraId="5A4D2388" w14:textId="5D640892" w:rsidR="00C00899" w:rsidRPr="007102A9" w:rsidRDefault="007102A9" w:rsidP="00FB3256">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הוועדה המקומית עצמה החליטה, עת סברה שהתוכנית המפורטת מצויה בסמכות הוועדה המחוזית, להמליץ</w:t>
      </w:r>
      <w:r w:rsidR="00C00899" w:rsidRPr="007102A9">
        <w:rPr>
          <w:rFonts w:cs="David" w:hint="cs"/>
          <w:sz w:val="24"/>
          <w:szCs w:val="24"/>
          <w:rtl/>
        </w:rPr>
        <w:t xml:space="preserve"> לוועדה המחוזית להפקיד א</w:t>
      </w:r>
      <w:r>
        <w:rPr>
          <w:rFonts w:cs="David" w:hint="cs"/>
          <w:sz w:val="24"/>
          <w:szCs w:val="24"/>
          <w:rtl/>
        </w:rPr>
        <w:t>ותה</w:t>
      </w:r>
      <w:r w:rsidR="00C00899" w:rsidRPr="007102A9">
        <w:rPr>
          <w:rFonts w:cs="David" w:hint="cs"/>
          <w:sz w:val="24"/>
          <w:szCs w:val="24"/>
          <w:rtl/>
        </w:rPr>
        <w:t xml:space="preserve"> להתנגדויות.</w:t>
      </w:r>
    </w:p>
    <w:p w14:paraId="5C590041" w14:textId="3EF5F478" w:rsidR="00A10915" w:rsidRDefault="00C00899"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הסיבה היחידה </w:t>
      </w:r>
      <w:r w:rsidR="007102A9">
        <w:rPr>
          <w:rFonts w:cs="David" w:hint="cs"/>
          <w:sz w:val="24"/>
          <w:szCs w:val="24"/>
          <w:rtl/>
        </w:rPr>
        <w:t>לקיום דיון נוסף</w:t>
      </w:r>
      <w:r>
        <w:rPr>
          <w:rFonts w:cs="David" w:hint="cs"/>
          <w:sz w:val="24"/>
          <w:szCs w:val="24"/>
          <w:rtl/>
        </w:rPr>
        <w:t xml:space="preserve"> </w:t>
      </w:r>
      <w:r w:rsidR="007102A9">
        <w:rPr>
          <w:rFonts w:cs="David" w:hint="cs"/>
          <w:sz w:val="24"/>
          <w:szCs w:val="24"/>
          <w:rtl/>
        </w:rPr>
        <w:t>ב</w:t>
      </w:r>
      <w:r>
        <w:rPr>
          <w:rFonts w:cs="David" w:hint="cs"/>
          <w:sz w:val="24"/>
          <w:szCs w:val="24"/>
          <w:rtl/>
        </w:rPr>
        <w:t xml:space="preserve">תוכנית </w:t>
      </w:r>
      <w:r w:rsidR="007102A9">
        <w:rPr>
          <w:rFonts w:cs="David" w:hint="cs"/>
          <w:sz w:val="24"/>
          <w:szCs w:val="24"/>
          <w:rtl/>
        </w:rPr>
        <w:t xml:space="preserve">המפורטת </w:t>
      </w:r>
      <w:r w:rsidR="005C7AB5">
        <w:rPr>
          <w:rFonts w:cs="David" w:hint="cs"/>
          <w:sz w:val="24"/>
          <w:szCs w:val="24"/>
          <w:rtl/>
        </w:rPr>
        <w:t>בוועדת המשנה היא</w:t>
      </w:r>
      <w:r w:rsidR="007102A9">
        <w:rPr>
          <w:rFonts w:cs="David" w:hint="cs"/>
          <w:sz w:val="24"/>
          <w:szCs w:val="24"/>
          <w:rtl/>
        </w:rPr>
        <w:t>,</w:t>
      </w:r>
      <w:r w:rsidR="005C7AB5">
        <w:rPr>
          <w:rFonts w:cs="David" w:hint="cs"/>
          <w:sz w:val="24"/>
          <w:szCs w:val="24"/>
          <w:rtl/>
        </w:rPr>
        <w:t xml:space="preserve"> שבינתיים אושרה התוכנית הכוללנית</w:t>
      </w:r>
      <w:r w:rsidR="007102A9">
        <w:rPr>
          <w:rFonts w:cs="David" w:hint="cs"/>
          <w:sz w:val="24"/>
          <w:szCs w:val="24"/>
          <w:rtl/>
        </w:rPr>
        <w:t>,</w:t>
      </w:r>
      <w:r w:rsidR="005C7AB5">
        <w:rPr>
          <w:rFonts w:cs="David" w:hint="cs"/>
          <w:sz w:val="24"/>
          <w:szCs w:val="24"/>
          <w:rtl/>
        </w:rPr>
        <w:t xml:space="preserve"> והתוכנית המפורטת הפכה לתוכנית בסמכות הוועדה המקומית</w:t>
      </w:r>
      <w:r w:rsidR="009E7B9B">
        <w:rPr>
          <w:rFonts w:cs="David" w:hint="cs"/>
          <w:sz w:val="24"/>
          <w:szCs w:val="24"/>
          <w:rtl/>
        </w:rPr>
        <w:t>.</w:t>
      </w:r>
      <w:r w:rsidR="005C7AB5">
        <w:rPr>
          <w:rFonts w:cs="David" w:hint="cs"/>
          <w:sz w:val="24"/>
          <w:szCs w:val="24"/>
          <w:rtl/>
        </w:rPr>
        <w:t xml:space="preserve"> </w:t>
      </w:r>
    </w:p>
    <w:p w14:paraId="5D6BB460" w14:textId="60D9348F" w:rsidR="00A10915" w:rsidRDefault="00A10915"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החלטת הוועדה המקומית לסטות מהמלצות הצוות המקצועי</w:t>
      </w:r>
      <w:r w:rsidR="007102A9">
        <w:rPr>
          <w:rFonts w:cs="David" w:hint="cs"/>
          <w:sz w:val="24"/>
          <w:szCs w:val="24"/>
          <w:rtl/>
        </w:rPr>
        <w:t xml:space="preserve"> ו</w:t>
      </w:r>
      <w:r>
        <w:rPr>
          <w:rFonts w:cs="David" w:hint="cs"/>
          <w:sz w:val="24"/>
          <w:szCs w:val="24"/>
          <w:rtl/>
        </w:rPr>
        <w:t>מהחלטתה הקודמת של הוועדה המקומית</w:t>
      </w:r>
      <w:r w:rsidR="007102A9">
        <w:rPr>
          <w:rFonts w:cs="David" w:hint="cs"/>
          <w:sz w:val="24"/>
          <w:szCs w:val="24"/>
          <w:rtl/>
        </w:rPr>
        <w:t>, ולבטל את החלטת ועדת המשנה</w:t>
      </w:r>
      <w:r>
        <w:rPr>
          <w:rFonts w:cs="David" w:hint="cs"/>
          <w:sz w:val="24"/>
          <w:szCs w:val="24"/>
          <w:rtl/>
        </w:rPr>
        <w:t xml:space="preserve"> לא נומקה כלל</w:t>
      </w:r>
      <w:r w:rsidR="007102A9">
        <w:rPr>
          <w:rFonts w:cs="David" w:hint="cs"/>
          <w:sz w:val="24"/>
          <w:szCs w:val="24"/>
          <w:rtl/>
        </w:rPr>
        <w:t>. החלטה זו התקבלה בחריגה מסדרי הדין החלים בעת קיום דיון חוזר בהחלטת ועדת המשנה, תוך פגיעה בזכות הטיעון של העוררת, ולא נתמכה בשינוי נסיבות או באינטרס ציבורי שיצדיק סטייה מהחלטה קודמת של הוועדה המקומית</w:t>
      </w:r>
      <w:r>
        <w:rPr>
          <w:rFonts w:cs="David" w:hint="cs"/>
          <w:sz w:val="24"/>
          <w:szCs w:val="24"/>
          <w:rtl/>
        </w:rPr>
        <w:t xml:space="preserve">. </w:t>
      </w:r>
    </w:p>
    <w:p w14:paraId="42D9E109" w14:textId="2AFECDF1" w:rsidR="007102A9" w:rsidRDefault="007102A9"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להלן יפורטו הדברים.</w:t>
      </w:r>
    </w:p>
    <w:p w14:paraId="07F39CE5" w14:textId="77777777" w:rsidR="00B5298A" w:rsidRDefault="00B5298A" w:rsidP="00B5298A">
      <w:pPr>
        <w:spacing w:line="360" w:lineRule="auto"/>
        <w:ind w:right="-142"/>
        <w:jc w:val="both"/>
        <w:rPr>
          <w:rFonts w:cs="David"/>
          <w:sz w:val="24"/>
          <w:szCs w:val="24"/>
          <w:u w:val="single"/>
          <w:rtl/>
        </w:rPr>
      </w:pPr>
    </w:p>
    <w:p w14:paraId="27D6C4C0" w14:textId="77777777" w:rsidR="00B5298A" w:rsidRPr="00B5298A" w:rsidRDefault="00B5298A" w:rsidP="00B5298A">
      <w:pPr>
        <w:spacing w:line="360" w:lineRule="auto"/>
        <w:ind w:right="-142"/>
        <w:jc w:val="both"/>
        <w:rPr>
          <w:rFonts w:cs="David"/>
          <w:sz w:val="24"/>
          <w:szCs w:val="24"/>
          <w:u w:val="single"/>
        </w:rPr>
      </w:pPr>
      <w:r w:rsidRPr="00B5298A">
        <w:rPr>
          <w:rFonts w:cs="David" w:hint="cs"/>
          <w:sz w:val="24"/>
          <w:szCs w:val="24"/>
          <w:u w:val="single"/>
          <w:rtl/>
        </w:rPr>
        <w:t xml:space="preserve">אי הנמקת החלטת הוועדה המקומית </w:t>
      </w:r>
    </w:p>
    <w:p w14:paraId="7546BF21" w14:textId="77777777" w:rsidR="00A10915" w:rsidRPr="00A10915" w:rsidRDefault="00A10915" w:rsidP="00A10915">
      <w:pPr>
        <w:pStyle w:val="af"/>
        <w:numPr>
          <w:ilvl w:val="0"/>
          <w:numId w:val="1"/>
        </w:numPr>
        <w:spacing w:line="360" w:lineRule="auto"/>
        <w:ind w:left="470" w:right="-142" w:hanging="425"/>
        <w:contextualSpacing w:val="0"/>
        <w:jc w:val="both"/>
        <w:rPr>
          <w:rFonts w:cs="David"/>
          <w:sz w:val="24"/>
          <w:szCs w:val="24"/>
          <w:rtl/>
        </w:rPr>
      </w:pPr>
      <w:r w:rsidRPr="00A10915">
        <w:rPr>
          <w:rFonts w:cs="David"/>
          <w:sz w:val="24"/>
          <w:szCs w:val="24"/>
          <w:rtl/>
        </w:rPr>
        <w:t xml:space="preserve">על חובת ההנמקה שחלה על רשויות </w:t>
      </w:r>
      <w:proofErr w:type="spellStart"/>
      <w:r w:rsidRPr="00A10915">
        <w:rPr>
          <w:rFonts w:cs="David"/>
          <w:sz w:val="24"/>
          <w:szCs w:val="24"/>
          <w:rtl/>
        </w:rPr>
        <w:t>מינהליות</w:t>
      </w:r>
      <w:proofErr w:type="spellEnd"/>
      <w:r w:rsidRPr="00A10915">
        <w:rPr>
          <w:rFonts w:cs="David"/>
          <w:sz w:val="24"/>
          <w:szCs w:val="24"/>
          <w:rtl/>
        </w:rPr>
        <w:t xml:space="preserve"> עמד כב' </w:t>
      </w:r>
      <w:proofErr w:type="spellStart"/>
      <w:r w:rsidRPr="00A10915">
        <w:rPr>
          <w:rFonts w:cs="David"/>
          <w:sz w:val="24"/>
          <w:szCs w:val="24"/>
          <w:rtl/>
        </w:rPr>
        <w:t>הש</w:t>
      </w:r>
      <w:proofErr w:type="spellEnd"/>
      <w:r w:rsidRPr="00A10915">
        <w:rPr>
          <w:rFonts w:cs="David"/>
          <w:sz w:val="24"/>
          <w:szCs w:val="24"/>
          <w:rtl/>
        </w:rPr>
        <w:t xml:space="preserve">' </w:t>
      </w:r>
      <w:proofErr w:type="spellStart"/>
      <w:r w:rsidRPr="00A10915">
        <w:rPr>
          <w:rFonts w:cs="David"/>
          <w:sz w:val="24"/>
          <w:szCs w:val="24"/>
          <w:rtl/>
        </w:rPr>
        <w:t>טירקל</w:t>
      </w:r>
      <w:proofErr w:type="spellEnd"/>
      <w:r w:rsidRPr="00A10915">
        <w:rPr>
          <w:rFonts w:cs="David"/>
          <w:sz w:val="24"/>
          <w:szCs w:val="24"/>
          <w:rtl/>
        </w:rPr>
        <w:t xml:space="preserve"> ב</w:t>
      </w:r>
      <w:hyperlink r:id="rId10" w:history="1">
        <w:r w:rsidRPr="00A10915">
          <w:rPr>
            <w:rFonts w:cs="David" w:hint="eastAsia"/>
            <w:sz w:val="24"/>
            <w:szCs w:val="24"/>
            <w:rtl/>
          </w:rPr>
          <w:t>בג</w:t>
        </w:r>
        <w:r w:rsidRPr="00A10915">
          <w:rPr>
            <w:rFonts w:cs="David"/>
            <w:sz w:val="24"/>
            <w:szCs w:val="24"/>
            <w:rtl/>
          </w:rPr>
          <w:t>"</w:t>
        </w:r>
        <w:r w:rsidRPr="00A10915">
          <w:rPr>
            <w:rFonts w:cs="David" w:hint="eastAsia"/>
            <w:sz w:val="24"/>
            <w:szCs w:val="24"/>
            <w:rtl/>
          </w:rPr>
          <w:t>ץ</w:t>
        </w:r>
        <w:r w:rsidRPr="00A10915">
          <w:rPr>
            <w:rFonts w:cs="David"/>
            <w:sz w:val="24"/>
            <w:szCs w:val="24"/>
            <w:rtl/>
          </w:rPr>
          <w:t xml:space="preserve"> 7/83</w:t>
        </w:r>
      </w:hyperlink>
      <w:r w:rsidRPr="00A10915">
        <w:rPr>
          <w:rFonts w:cs="David"/>
          <w:sz w:val="24"/>
          <w:szCs w:val="24"/>
          <w:rtl/>
        </w:rPr>
        <w:t xml:space="preserve"> </w:t>
      </w:r>
      <w:r w:rsidRPr="00A10915">
        <w:rPr>
          <w:rFonts w:cs="David"/>
          <w:b/>
          <w:bCs/>
          <w:sz w:val="24"/>
          <w:szCs w:val="24"/>
          <w:rtl/>
        </w:rPr>
        <w:t xml:space="preserve">מסודי </w:t>
      </w:r>
      <w:proofErr w:type="spellStart"/>
      <w:r w:rsidRPr="00A10915">
        <w:rPr>
          <w:rFonts w:cs="David"/>
          <w:b/>
          <w:bCs/>
          <w:sz w:val="24"/>
          <w:szCs w:val="24"/>
          <w:rtl/>
        </w:rPr>
        <w:t>ביארס</w:t>
      </w:r>
      <w:proofErr w:type="spellEnd"/>
      <w:r w:rsidRPr="00A10915">
        <w:rPr>
          <w:rFonts w:cs="David"/>
          <w:b/>
          <w:bCs/>
          <w:sz w:val="24"/>
          <w:szCs w:val="24"/>
          <w:rtl/>
        </w:rPr>
        <w:t xml:space="preserve"> (לשעבר לוי) נ' בית הדין הרבני האזורי חיפה</w:t>
      </w:r>
      <w:r w:rsidRPr="00A10915">
        <w:rPr>
          <w:rFonts w:cs="David"/>
          <w:sz w:val="24"/>
          <w:szCs w:val="24"/>
          <w:rtl/>
        </w:rPr>
        <w:t xml:space="preserve"> (פורסם בנבו, 8.3.1984):</w:t>
      </w:r>
    </w:p>
    <w:p w14:paraId="361F5CD6" w14:textId="77777777" w:rsidR="00A10915" w:rsidRPr="00A10915" w:rsidRDefault="00A10915" w:rsidP="00A10915">
      <w:pPr>
        <w:pStyle w:val="af1"/>
        <w:spacing w:after="240" w:line="240" w:lineRule="auto"/>
        <w:ind w:left="1179" w:right="992"/>
        <w:rPr>
          <w:rtl/>
        </w:rPr>
      </w:pPr>
      <w:r w:rsidRPr="00A10915">
        <w:rPr>
          <w:rtl/>
        </w:rPr>
        <w:t>"על חובת ההנמקה של כל פסק-דין או החלטה בדין הכללי אין צורך להרחיב הדיבור, ו'כלל גדול הוא - כתוב או בלתי כתוב - כי בית-משפט חייב לתת נימוקים להחלטתו' (בג"צ 176/54[31], בעמ' 635; ד' לוין, בספרו הנ"ל, בעמ' 32-</w:t>
      </w:r>
      <w:r>
        <w:rPr>
          <w:rFonts w:hint="cs"/>
          <w:rtl/>
        </w:rPr>
        <w:t>33.</w:t>
      </w:r>
      <w:r w:rsidRPr="00A10915">
        <w:rPr>
          <w:rtl/>
        </w:rPr>
        <w:t xml:space="preserve"> וראה: סעיף 182 ל</w:t>
      </w:r>
      <w:hyperlink r:id="rId11" w:history="1">
        <w:r w:rsidRPr="00A10915">
          <w:rPr>
            <w:rtl/>
          </w:rPr>
          <w:t>חוק סדר הדין הפלילי</w:t>
        </w:r>
      </w:hyperlink>
      <w:r w:rsidRPr="00A10915">
        <w:rPr>
          <w:rtl/>
        </w:rPr>
        <w:t xml:space="preserve"> [נוסח משולב], תשמ"ב-1982, ותקנה 215 לתקנות סדר הדין האזרחי, תשכ"ג-1963). החובה גם מורחבת לא רק על </w:t>
      </w:r>
      <w:proofErr w:type="spellStart"/>
      <w:r w:rsidRPr="00A10915">
        <w:rPr>
          <w:rtl/>
        </w:rPr>
        <w:t>טריבונלים</w:t>
      </w:r>
      <w:proofErr w:type="spellEnd"/>
      <w:r w:rsidRPr="00A10915">
        <w:rPr>
          <w:rtl/>
        </w:rPr>
        <w:t xml:space="preserve"> שיפוטיים ומעין-שיפוטיים אלא אף על רשויות </w:t>
      </w:r>
      <w:proofErr w:type="spellStart"/>
      <w:r w:rsidRPr="00A10915">
        <w:rPr>
          <w:rtl/>
        </w:rPr>
        <w:t>מינהליות</w:t>
      </w:r>
      <w:proofErr w:type="spellEnd"/>
      <w:r w:rsidRPr="00A10915">
        <w:rPr>
          <w:rtl/>
        </w:rPr>
        <w:t xml:space="preserve"> (</w:t>
      </w:r>
      <w:hyperlink r:id="rId12" w:history="1">
        <w:r w:rsidRPr="00A10915">
          <w:rPr>
            <w:rtl/>
          </w:rPr>
          <w:t xml:space="preserve">חוק לתיקון סדרי </w:t>
        </w:r>
        <w:proofErr w:type="spellStart"/>
        <w:r w:rsidRPr="00A10915">
          <w:rPr>
            <w:rtl/>
          </w:rPr>
          <w:t>המינהל</w:t>
        </w:r>
        <w:proofErr w:type="spellEnd"/>
        <w:r w:rsidRPr="00A10915">
          <w:rPr>
            <w:rtl/>
          </w:rPr>
          <w:t xml:space="preserve"> (החלטות והנמקות)</w:t>
        </w:r>
      </w:hyperlink>
      <w:r w:rsidRPr="00A10915">
        <w:rPr>
          <w:rtl/>
        </w:rPr>
        <w:t>, תשי"ט-1958), על-מנת שיוכל בית המשפט להעביר את ההנמקה תחת שבט ביקורתו (</w:t>
      </w:r>
      <w:hyperlink r:id="rId13" w:history="1">
        <w:r w:rsidRPr="00A10915">
          <w:rPr>
            <w:rtl/>
          </w:rPr>
          <w:t>בג"צ 482/71</w:t>
        </w:r>
      </w:hyperlink>
      <w:r w:rsidRPr="00A10915">
        <w:rPr>
          <w:rtl/>
        </w:rPr>
        <w:t xml:space="preserve"> [32]; </w:t>
      </w:r>
      <w:hyperlink r:id="rId14" w:history="1">
        <w:r w:rsidRPr="00A10915">
          <w:rPr>
            <w:rtl/>
          </w:rPr>
          <w:t>בג"צ 2/79</w:t>
        </w:r>
      </w:hyperlink>
      <w:r w:rsidRPr="00A10915">
        <w:rPr>
          <w:rtl/>
        </w:rPr>
        <w:t xml:space="preserve"> [33], בעמ' 513-514; </w:t>
      </w:r>
      <w:hyperlink r:id="rId15" w:history="1">
        <w:r w:rsidRPr="00A10915">
          <w:rPr>
            <w:rtl/>
          </w:rPr>
          <w:t>בג"צ 190/80</w:t>
        </w:r>
      </w:hyperlink>
      <w:r w:rsidRPr="00A10915">
        <w:rPr>
          <w:rtl/>
        </w:rPr>
        <w:t xml:space="preserve"> [34]). (ההדגשה שלי א.ב.)).</w:t>
      </w:r>
    </w:p>
    <w:p w14:paraId="6C393D5B" w14:textId="77777777" w:rsidR="00A10915" w:rsidRPr="00A10915" w:rsidRDefault="00A10915" w:rsidP="00A10915">
      <w:pPr>
        <w:pStyle w:val="af1"/>
        <w:spacing w:after="240" w:line="240" w:lineRule="auto"/>
        <w:ind w:left="1179" w:right="992"/>
        <w:rPr>
          <w:rtl/>
        </w:rPr>
      </w:pPr>
      <w:r w:rsidRPr="00A10915">
        <w:rPr>
          <w:rtl/>
        </w:rPr>
        <w:t xml:space="preserve">ר' בנוסף כב' </w:t>
      </w:r>
      <w:proofErr w:type="spellStart"/>
      <w:r w:rsidRPr="00A10915">
        <w:rPr>
          <w:rtl/>
        </w:rPr>
        <w:t>הש</w:t>
      </w:r>
      <w:proofErr w:type="spellEnd"/>
      <w:r w:rsidRPr="00A10915">
        <w:rPr>
          <w:rtl/>
        </w:rPr>
        <w:t>' ארבל בהתייחס לגופים מנהליים או דו מהותיים ב</w:t>
      </w:r>
      <w:hyperlink r:id="rId16" w:history="1">
        <w:r w:rsidRPr="00A10915">
          <w:rPr>
            <w:rtl/>
          </w:rPr>
          <w:t>ע"א 10419/03</w:t>
        </w:r>
      </w:hyperlink>
      <w:r w:rsidRPr="00A10915">
        <w:rPr>
          <w:rtl/>
        </w:rPr>
        <w:t xml:space="preserve"> תומר דור נ' רמת הדר - כפר שיתופי להתיישבות [פורסם בנבו] (5.9.2005) שם הינה קובעת:</w:t>
      </w:r>
    </w:p>
    <w:p w14:paraId="6AF3AE10" w14:textId="77777777" w:rsidR="00A10915" w:rsidRPr="00A10915" w:rsidRDefault="00A10915" w:rsidP="00A10915">
      <w:pPr>
        <w:pStyle w:val="af1"/>
        <w:spacing w:after="240" w:line="240" w:lineRule="auto"/>
        <w:ind w:left="1179" w:right="992"/>
        <w:rPr>
          <w:rtl/>
        </w:rPr>
      </w:pPr>
      <w:r w:rsidRPr="00A10915">
        <w:rPr>
          <w:rtl/>
        </w:rPr>
        <w:t xml:space="preserve"> "חובת ההנמקה היא אחד מיסודות המשפט הציבורי וכללי הצדק הטבעי. היא היחידה מבין החובות הדיוניות החלות על הפעולה המנהלית המעוגנת ב</w:t>
      </w:r>
      <w:hyperlink r:id="rId17" w:history="1">
        <w:r w:rsidRPr="00A10915">
          <w:rPr>
            <w:rtl/>
          </w:rPr>
          <w:t>חוק הכנסת</w:t>
        </w:r>
      </w:hyperlink>
      <w:r w:rsidRPr="00A10915">
        <w:rPr>
          <w:rtl/>
        </w:rPr>
        <w:t xml:space="preserve">- </w:t>
      </w:r>
      <w:hyperlink r:id="rId18" w:history="1">
        <w:r w:rsidRPr="00A10915">
          <w:rPr>
            <w:rtl/>
          </w:rPr>
          <w:t xml:space="preserve">חוק לתיקון סדרי </w:t>
        </w:r>
        <w:proofErr w:type="spellStart"/>
        <w:r w:rsidRPr="00A10915">
          <w:rPr>
            <w:rtl/>
          </w:rPr>
          <w:t>המינהל</w:t>
        </w:r>
        <w:proofErr w:type="spellEnd"/>
        <w:r w:rsidRPr="00A10915">
          <w:rPr>
            <w:rtl/>
          </w:rPr>
          <w:t xml:space="preserve"> (החלטות והנמקות)</w:t>
        </w:r>
      </w:hyperlink>
      <w:r w:rsidRPr="00A10915">
        <w:rPr>
          <w:rtl/>
        </w:rPr>
        <w:t xml:space="preserve">. (יואב </w:t>
      </w:r>
      <w:hyperlink r:id="rId19" w:history="1">
        <w:r w:rsidRPr="00A10915">
          <w:rPr>
            <w:rtl/>
          </w:rPr>
          <w:t xml:space="preserve">דותן, "חובת ההנמקה של רשויות </w:t>
        </w:r>
      </w:hyperlink>
      <w:proofErr w:type="spellStart"/>
      <w:r w:rsidRPr="00A10915">
        <w:rPr>
          <w:rtl/>
        </w:rPr>
        <w:t>מינהל</w:t>
      </w:r>
      <w:proofErr w:type="spellEnd"/>
      <w:r w:rsidRPr="00A10915">
        <w:rPr>
          <w:rtl/>
        </w:rPr>
        <w:t xml:space="preserve"> וגופים נבחרים", מחקרי משפט </w:t>
      </w:r>
      <w:proofErr w:type="spellStart"/>
      <w:r w:rsidRPr="00A10915">
        <w:rPr>
          <w:rtl/>
        </w:rPr>
        <w:t>יט</w:t>
      </w:r>
      <w:proofErr w:type="spellEnd"/>
      <w:r w:rsidRPr="00A10915">
        <w:rPr>
          <w:rtl/>
        </w:rPr>
        <w:t xml:space="preserve"> (תשס"ב) 5, 13)".</w:t>
      </w:r>
    </w:p>
    <w:p w14:paraId="21698C22" w14:textId="77777777" w:rsidR="00A10915" w:rsidRPr="00A10915" w:rsidRDefault="00A10915" w:rsidP="00A10915">
      <w:pPr>
        <w:pStyle w:val="af"/>
        <w:spacing w:after="240" w:line="240" w:lineRule="auto"/>
        <w:ind w:left="1038" w:right="709"/>
        <w:contextualSpacing w:val="0"/>
        <w:jc w:val="right"/>
        <w:rPr>
          <w:rFonts w:ascii="David" w:hAnsi="David" w:cs="David"/>
          <w:sz w:val="24"/>
          <w:szCs w:val="24"/>
        </w:rPr>
      </w:pPr>
      <w:r w:rsidRPr="00A10915">
        <w:rPr>
          <w:rFonts w:ascii="David" w:hAnsi="David" w:cs="David"/>
          <w:sz w:val="24"/>
          <w:szCs w:val="24"/>
          <w:rtl/>
        </w:rPr>
        <w:t>(ההדגשה אינה במקור, מ.א.)</w:t>
      </w:r>
    </w:p>
    <w:p w14:paraId="6931B29D" w14:textId="77777777" w:rsidR="00A10915" w:rsidRPr="00A10915" w:rsidRDefault="00A10915" w:rsidP="00A10915">
      <w:pPr>
        <w:pStyle w:val="af"/>
        <w:numPr>
          <w:ilvl w:val="0"/>
          <w:numId w:val="1"/>
        </w:numPr>
        <w:spacing w:after="120" w:line="360" w:lineRule="auto"/>
        <w:jc w:val="both"/>
        <w:rPr>
          <w:rStyle w:val="default"/>
          <w:rFonts w:ascii="David" w:hAnsi="David" w:cs="David"/>
          <w:sz w:val="24"/>
          <w:szCs w:val="24"/>
        </w:rPr>
      </w:pPr>
      <w:r w:rsidRPr="00A10915">
        <w:rPr>
          <w:rStyle w:val="default"/>
          <w:rFonts w:ascii="David" w:hAnsi="David" w:cs="David"/>
          <w:sz w:val="24"/>
          <w:szCs w:val="24"/>
          <w:rtl/>
        </w:rPr>
        <w:t xml:space="preserve">על חשיבות חובת ההנמקה של החלטות הרשות </w:t>
      </w:r>
      <w:proofErr w:type="spellStart"/>
      <w:r w:rsidRPr="00A10915">
        <w:rPr>
          <w:rStyle w:val="default"/>
          <w:rFonts w:ascii="David" w:hAnsi="David" w:cs="David"/>
          <w:sz w:val="24"/>
          <w:szCs w:val="24"/>
          <w:rtl/>
        </w:rPr>
        <w:t>המינהלית</w:t>
      </w:r>
      <w:proofErr w:type="spellEnd"/>
      <w:r w:rsidRPr="00A10915">
        <w:rPr>
          <w:rStyle w:val="default"/>
          <w:rFonts w:ascii="David" w:hAnsi="David" w:cs="David"/>
          <w:sz w:val="24"/>
          <w:szCs w:val="24"/>
          <w:rtl/>
        </w:rPr>
        <w:t xml:space="preserve"> וטעמיה עמדה גם כב' נשיאת בית המשפט העליון </w:t>
      </w:r>
      <w:proofErr w:type="spellStart"/>
      <w:r w:rsidRPr="00A10915">
        <w:rPr>
          <w:rStyle w:val="default"/>
          <w:rFonts w:ascii="David" w:hAnsi="David" w:cs="David"/>
          <w:sz w:val="24"/>
          <w:szCs w:val="24"/>
          <w:rtl/>
        </w:rPr>
        <w:t>הש</w:t>
      </w:r>
      <w:proofErr w:type="spellEnd"/>
      <w:r w:rsidRPr="00A10915">
        <w:rPr>
          <w:rStyle w:val="default"/>
          <w:rFonts w:ascii="David" w:hAnsi="David" w:cs="David"/>
          <w:sz w:val="24"/>
          <w:szCs w:val="24"/>
          <w:rtl/>
        </w:rPr>
        <w:t xml:space="preserve">' ד' בייניש </w:t>
      </w:r>
      <w:proofErr w:type="spellStart"/>
      <w:r w:rsidRPr="00A10915">
        <w:rPr>
          <w:rStyle w:val="default"/>
          <w:rFonts w:ascii="David" w:hAnsi="David" w:cs="David"/>
          <w:sz w:val="24"/>
          <w:szCs w:val="24"/>
          <w:rtl/>
        </w:rPr>
        <w:t>בפיסקה</w:t>
      </w:r>
      <w:proofErr w:type="spellEnd"/>
      <w:r w:rsidRPr="00A10915">
        <w:rPr>
          <w:rStyle w:val="default"/>
          <w:rFonts w:ascii="David" w:hAnsi="David" w:cs="David"/>
          <w:sz w:val="24"/>
          <w:szCs w:val="24"/>
          <w:rtl/>
        </w:rPr>
        <w:t xml:space="preserve"> 13 לפסק דינה ב</w:t>
      </w:r>
      <w:hyperlink r:id="rId20" w:history="1">
        <w:r w:rsidRPr="00A10915">
          <w:rPr>
            <w:rStyle w:val="default"/>
            <w:rFonts w:ascii="David" w:hAnsi="David" w:cs="David"/>
            <w:sz w:val="24"/>
            <w:szCs w:val="24"/>
            <w:rtl/>
          </w:rPr>
          <w:t>בג"ץ 5538/09</w:t>
        </w:r>
      </w:hyperlink>
      <w:r w:rsidRPr="00A10915">
        <w:rPr>
          <w:rStyle w:val="default"/>
          <w:rFonts w:ascii="David" w:hAnsi="David" w:cs="David"/>
          <w:sz w:val="24"/>
          <w:szCs w:val="24"/>
          <w:rtl/>
        </w:rPr>
        <w:t xml:space="preserve"> </w:t>
      </w:r>
      <w:r w:rsidRPr="00A10915">
        <w:rPr>
          <w:rStyle w:val="default"/>
          <w:rFonts w:ascii="David" w:hAnsi="David" w:cs="David"/>
          <w:b/>
          <w:bCs/>
          <w:sz w:val="24"/>
          <w:szCs w:val="24"/>
          <w:rtl/>
        </w:rPr>
        <w:t>עו"ד אלישע פלג נ' נציבות שירות המדינה</w:t>
      </w:r>
      <w:r w:rsidRPr="00A10915">
        <w:rPr>
          <w:rStyle w:val="default"/>
          <w:rFonts w:ascii="David" w:hAnsi="David" w:cs="David"/>
          <w:sz w:val="24"/>
          <w:szCs w:val="24"/>
          <w:rtl/>
        </w:rPr>
        <w:t xml:space="preserve"> (פורסם בנבו, 06.07.2010):</w:t>
      </w:r>
    </w:p>
    <w:p w14:paraId="329E2F11" w14:textId="77777777" w:rsidR="00A10915" w:rsidRPr="00A10915" w:rsidRDefault="00A10915" w:rsidP="00A10915">
      <w:pPr>
        <w:pStyle w:val="af1"/>
        <w:spacing w:after="240" w:line="240" w:lineRule="auto"/>
        <w:ind w:left="1179" w:right="992"/>
        <w:rPr>
          <w:rtl/>
        </w:rPr>
      </w:pPr>
      <w:r w:rsidRPr="00A10915">
        <w:rPr>
          <w:rtl/>
        </w:rPr>
        <w:lastRenderedPageBreak/>
        <w:t xml:space="preserve">"על חובת ההנמקה וחשיבותה עמדו מלומדים ובית משפט זה בהרחבה בעבר. כפי שמציין י' זמיר בספרו על </w:t>
      </w:r>
      <w:hyperlink r:id="rId21" w:history="1">
        <w:r w:rsidRPr="00A10915">
          <w:rPr>
            <w:rtl/>
          </w:rPr>
          <w:t xml:space="preserve">הסמכות </w:t>
        </w:r>
        <w:proofErr w:type="spellStart"/>
        <w:r w:rsidRPr="00A10915">
          <w:rPr>
            <w:rtl/>
          </w:rPr>
          <w:t>המינהלית</w:t>
        </w:r>
        <w:proofErr w:type="spellEnd"/>
      </w:hyperlink>
      <w:r w:rsidRPr="00A10915">
        <w:rPr>
          <w:rtl/>
        </w:rPr>
        <w:t xml:space="preserve">, לחובת ההנמקה מספר טעמים. ראשית, ההנמקה מחייבת את מקבל ההחלטה לכתוב באופן סדור ומובנה, ובכך מאפשרת לקיים הליך של בקרה וביקורת עצמיים המקטינים את החשש מפני החלטות  שרירותיות או שגויות. שנית, ההנמקה מאפשרת לרשות </w:t>
      </w:r>
      <w:proofErr w:type="spellStart"/>
      <w:r w:rsidRPr="00A10915">
        <w:rPr>
          <w:rtl/>
        </w:rPr>
        <w:t>המינהלית</w:t>
      </w:r>
      <w:proofErr w:type="spellEnd"/>
      <w:r w:rsidRPr="00A10915">
        <w:rPr>
          <w:rtl/>
        </w:rPr>
        <w:t xml:space="preserve"> לבדוק עצמה לאחר מעשה. שלישית, ההנמקה מאפשרת ביקורת חיצונית על פעולת הרשות </w:t>
      </w:r>
      <w:proofErr w:type="spellStart"/>
      <w:r w:rsidRPr="00A10915">
        <w:rPr>
          <w:rtl/>
        </w:rPr>
        <w:t>המינהלית</w:t>
      </w:r>
      <w:proofErr w:type="spellEnd"/>
      <w:r w:rsidRPr="00A10915">
        <w:rPr>
          <w:rtl/>
        </w:rPr>
        <w:t xml:space="preserve">, הן של הממונים על הרשות והן של האזרח המושפע מן ההחלטה. רביעית, ההנמקה תורמת למערכת היחסים שבין הפרט והשלטון, שכן היא מקהה את התחושה שהשלטון מתנהל בשרירות." </w:t>
      </w:r>
    </w:p>
    <w:p w14:paraId="79806694" w14:textId="77777777" w:rsidR="00A10915" w:rsidRPr="00A10915" w:rsidRDefault="00A10915" w:rsidP="00A10915">
      <w:pPr>
        <w:pStyle w:val="af"/>
        <w:spacing w:after="240" w:line="240" w:lineRule="auto"/>
        <w:ind w:left="1038" w:right="709"/>
        <w:contextualSpacing w:val="0"/>
        <w:jc w:val="right"/>
        <w:rPr>
          <w:rFonts w:ascii="David" w:hAnsi="David" w:cs="David"/>
          <w:sz w:val="24"/>
          <w:szCs w:val="24"/>
        </w:rPr>
      </w:pPr>
      <w:r w:rsidRPr="00A10915">
        <w:rPr>
          <w:rFonts w:ascii="David" w:hAnsi="David" w:cs="David"/>
          <w:sz w:val="24"/>
          <w:szCs w:val="24"/>
          <w:rtl/>
        </w:rPr>
        <w:t>(ההדגשות אינן במקור, מ.א.)</w:t>
      </w:r>
    </w:p>
    <w:p w14:paraId="4DEC3FF0" w14:textId="77777777" w:rsidR="00A10915" w:rsidRPr="00A10915" w:rsidRDefault="00A10915" w:rsidP="00A10915">
      <w:pPr>
        <w:pStyle w:val="af"/>
        <w:spacing w:after="120" w:line="360" w:lineRule="auto"/>
        <w:ind w:left="360"/>
        <w:jc w:val="both"/>
        <w:rPr>
          <w:rStyle w:val="default"/>
          <w:rFonts w:ascii="David" w:hAnsi="David" w:cs="David"/>
          <w:sz w:val="24"/>
          <w:szCs w:val="24"/>
          <w:rtl/>
        </w:rPr>
      </w:pPr>
      <w:r w:rsidRPr="00A10915">
        <w:rPr>
          <w:rStyle w:val="default"/>
          <w:rFonts w:ascii="David" w:hAnsi="David" w:cs="David"/>
          <w:sz w:val="24"/>
          <w:szCs w:val="24"/>
          <w:rtl/>
        </w:rPr>
        <w:t xml:space="preserve">טעמים נוספים לחובת ההנמקה תוארו בעמ' 297 לפסק דינה של </w:t>
      </w:r>
      <w:proofErr w:type="spellStart"/>
      <w:r w:rsidRPr="00A10915">
        <w:rPr>
          <w:rStyle w:val="default"/>
          <w:rFonts w:ascii="David" w:hAnsi="David" w:cs="David"/>
          <w:sz w:val="24"/>
          <w:szCs w:val="24"/>
          <w:rtl/>
        </w:rPr>
        <w:t>כ'ב</w:t>
      </w:r>
      <w:proofErr w:type="spellEnd"/>
      <w:r w:rsidRPr="00A10915">
        <w:rPr>
          <w:rStyle w:val="default"/>
          <w:rFonts w:ascii="David" w:hAnsi="David" w:cs="David"/>
          <w:sz w:val="24"/>
          <w:szCs w:val="24"/>
          <w:rtl/>
        </w:rPr>
        <w:t xml:space="preserve"> </w:t>
      </w:r>
      <w:proofErr w:type="spellStart"/>
      <w:r w:rsidRPr="00A10915">
        <w:rPr>
          <w:rStyle w:val="default"/>
          <w:rFonts w:ascii="David" w:hAnsi="David" w:cs="David"/>
          <w:sz w:val="24"/>
          <w:szCs w:val="24"/>
          <w:rtl/>
        </w:rPr>
        <w:t>הש</w:t>
      </w:r>
      <w:proofErr w:type="spellEnd"/>
      <w:r w:rsidRPr="00A10915">
        <w:rPr>
          <w:rStyle w:val="default"/>
          <w:rFonts w:ascii="David" w:hAnsi="David" w:cs="David"/>
          <w:sz w:val="24"/>
          <w:szCs w:val="24"/>
          <w:rtl/>
        </w:rPr>
        <w:t>' ע' ארבל ב</w:t>
      </w:r>
      <w:hyperlink r:id="rId22" w:history="1">
        <w:r w:rsidRPr="00A10915">
          <w:rPr>
            <w:rStyle w:val="default"/>
            <w:rFonts w:ascii="David" w:hAnsi="David" w:cs="David"/>
            <w:sz w:val="24"/>
            <w:szCs w:val="24"/>
            <w:rtl/>
          </w:rPr>
          <w:t>ע"א 10419/03</w:t>
        </w:r>
      </w:hyperlink>
      <w:r w:rsidRPr="00A10915">
        <w:rPr>
          <w:rStyle w:val="default"/>
          <w:rFonts w:ascii="David" w:hAnsi="David" w:cs="David"/>
          <w:sz w:val="24"/>
          <w:szCs w:val="24"/>
          <w:rtl/>
        </w:rPr>
        <w:t xml:space="preserve"> </w:t>
      </w:r>
      <w:r w:rsidRPr="00A10915">
        <w:rPr>
          <w:rStyle w:val="default"/>
          <w:rFonts w:ascii="David" w:hAnsi="David" w:cs="David"/>
          <w:b/>
          <w:bCs/>
          <w:sz w:val="24"/>
          <w:szCs w:val="24"/>
          <w:rtl/>
        </w:rPr>
        <w:t>תומר דור נ' רמת הדר – כפר שיתופי להתיישבות חקלאית בע"מ</w:t>
      </w:r>
      <w:r w:rsidRPr="00A10915">
        <w:rPr>
          <w:rStyle w:val="default"/>
          <w:rFonts w:ascii="David" w:hAnsi="David" w:cs="David"/>
          <w:sz w:val="24"/>
          <w:szCs w:val="24"/>
          <w:rtl/>
        </w:rPr>
        <w:t xml:space="preserve"> (פורסם בנבו, 5.9.2005):</w:t>
      </w:r>
    </w:p>
    <w:p w14:paraId="7B5DC3E8" w14:textId="77777777" w:rsidR="00A10915" w:rsidRPr="00A10915" w:rsidRDefault="00A10915" w:rsidP="007102A9">
      <w:pPr>
        <w:pStyle w:val="af1"/>
        <w:spacing w:after="120" w:line="240" w:lineRule="auto"/>
        <w:ind w:left="1179" w:right="992"/>
        <w:rPr>
          <w:rtl/>
        </w:rPr>
      </w:pPr>
      <w:r w:rsidRPr="00A10915">
        <w:rPr>
          <w:rtl/>
        </w:rPr>
        <w:t xml:space="preserve">"ההנמקה ודאי תורמת לאיכות ההחלטה; ההנמקה היא מרכיב חשוב ביכולתו של הפרט להתמודד עם ההחלטה ומעניק לו את היכולת לתקוף אותה, לערער עליה, ולנסות להפריך את הנימוקים שהועלו, ובסופו של דבר להביא לשינויה. ככל שההחלטה חשובה יותר ופוגעת במושא ההחלטה תהא חשיבות גדולה יותר להנמקה גם בתחומי המגזר הפרטי. היחס האנושי והסביר לרגשותיו ולכבודו של הפרט מצדיק מתן תשובה והסבר לדחייתו, ומשליך גם על חשיבות ההנמקה. גם האינטרס הרגשי של הפרט ראוי לו שיזכה להגנה. ראוי שלא יהיה היחיד ניצב מול קיר אטום ושותק. גם כאן ניתן לומר כדברי השופט מ' חשין כי "...[]מי שלבו טהור, מצפונו נקי ועשייתו נאמנה, לא יירא ולא </w:t>
      </w:r>
      <w:proofErr w:type="spellStart"/>
      <w:r w:rsidRPr="00A10915">
        <w:rPr>
          <w:rtl/>
        </w:rPr>
        <w:t>ייחת</w:t>
      </w:r>
      <w:proofErr w:type="spellEnd"/>
      <w:r w:rsidRPr="00A10915">
        <w:rPr>
          <w:rtl/>
        </w:rPr>
        <w:t>" (עניין מספנות ישראל [18], בעמ' 799). הדברים נאמרו אמנם בעניין גוף ציבורי, אך יפים הם גם לגוף פרטי ולאנשים שבו."</w:t>
      </w:r>
    </w:p>
    <w:p w14:paraId="5731A6CC" w14:textId="77777777" w:rsidR="00A10915" w:rsidRPr="0086607A" w:rsidRDefault="00A10915" w:rsidP="00A10915">
      <w:pPr>
        <w:pStyle w:val="af"/>
        <w:spacing w:after="240" w:line="240" w:lineRule="auto"/>
        <w:ind w:left="1038" w:right="709"/>
        <w:contextualSpacing w:val="0"/>
        <w:jc w:val="right"/>
        <w:rPr>
          <w:rFonts w:ascii="David" w:hAnsi="David" w:cs="David"/>
          <w:sz w:val="26"/>
          <w:szCs w:val="26"/>
        </w:rPr>
      </w:pPr>
      <w:r w:rsidRPr="0086607A">
        <w:rPr>
          <w:rFonts w:ascii="David" w:hAnsi="David" w:cs="David"/>
          <w:sz w:val="26"/>
          <w:szCs w:val="26"/>
          <w:rtl/>
        </w:rPr>
        <w:t>(ההדגש</w:t>
      </w:r>
      <w:r>
        <w:rPr>
          <w:rFonts w:ascii="David" w:hAnsi="David" w:cs="David"/>
          <w:sz w:val="26"/>
          <w:szCs w:val="26"/>
          <w:rtl/>
        </w:rPr>
        <w:t>ות</w:t>
      </w:r>
      <w:r w:rsidRPr="0086607A">
        <w:rPr>
          <w:rFonts w:ascii="David" w:hAnsi="David" w:cs="David"/>
          <w:sz w:val="26"/>
          <w:szCs w:val="26"/>
          <w:rtl/>
        </w:rPr>
        <w:t xml:space="preserve"> אינ</w:t>
      </w:r>
      <w:r>
        <w:rPr>
          <w:rFonts w:ascii="David" w:hAnsi="David" w:cs="David"/>
          <w:sz w:val="26"/>
          <w:szCs w:val="26"/>
          <w:rtl/>
        </w:rPr>
        <w:t>ן</w:t>
      </w:r>
      <w:r w:rsidRPr="0086607A">
        <w:rPr>
          <w:rFonts w:ascii="David" w:hAnsi="David" w:cs="David"/>
          <w:sz w:val="26"/>
          <w:szCs w:val="26"/>
          <w:rtl/>
        </w:rPr>
        <w:t xml:space="preserve"> במקור, מ.א.)</w:t>
      </w:r>
    </w:p>
    <w:p w14:paraId="26D8C258" w14:textId="77777777" w:rsidR="006741F8" w:rsidRPr="006741F8" w:rsidRDefault="006741F8" w:rsidP="006741F8">
      <w:pPr>
        <w:pStyle w:val="af"/>
        <w:spacing w:line="360" w:lineRule="auto"/>
        <w:ind w:left="470" w:right="-142"/>
        <w:contextualSpacing w:val="0"/>
        <w:jc w:val="both"/>
        <w:rPr>
          <w:rFonts w:cs="David"/>
          <w:sz w:val="24"/>
          <w:szCs w:val="24"/>
        </w:rPr>
      </w:pPr>
      <w:r>
        <w:rPr>
          <w:rFonts w:cs="David" w:hint="cs"/>
          <w:sz w:val="24"/>
          <w:szCs w:val="24"/>
          <w:rtl/>
        </w:rPr>
        <w:t>לחובת ההנמקה החלה על הוועדות המקומיות ראו גם:</w:t>
      </w:r>
      <w:r>
        <w:rPr>
          <w:rFonts w:cs="David" w:hint="cs"/>
          <w:sz w:val="24"/>
          <w:szCs w:val="24"/>
        </w:rPr>
        <w:t xml:space="preserve"> </w:t>
      </w:r>
      <w:r w:rsidRPr="006741F8">
        <w:rPr>
          <w:rFonts w:cs="David"/>
          <w:sz w:val="24"/>
          <w:szCs w:val="24"/>
          <w:rtl/>
        </w:rPr>
        <w:t>ערר (מרכז) 1041-08-23 </w:t>
      </w:r>
      <w:r w:rsidRPr="006741F8">
        <w:rPr>
          <w:rFonts w:cs="David"/>
          <w:b/>
          <w:bCs/>
          <w:sz w:val="24"/>
          <w:szCs w:val="24"/>
          <w:rtl/>
        </w:rPr>
        <w:t xml:space="preserve">חברת </w:t>
      </w:r>
      <w:proofErr w:type="spellStart"/>
      <w:r w:rsidRPr="006741F8">
        <w:rPr>
          <w:rFonts w:cs="David"/>
          <w:b/>
          <w:bCs/>
          <w:sz w:val="24"/>
          <w:szCs w:val="24"/>
          <w:rtl/>
        </w:rPr>
        <w:t>ווי.אם</w:t>
      </w:r>
      <w:proofErr w:type="spellEnd"/>
      <w:r w:rsidRPr="006741F8">
        <w:rPr>
          <w:rFonts w:cs="David"/>
          <w:b/>
          <w:bCs/>
          <w:sz w:val="24"/>
          <w:szCs w:val="24"/>
          <w:rtl/>
        </w:rPr>
        <w:t xml:space="preserve"> </w:t>
      </w:r>
      <w:proofErr w:type="spellStart"/>
      <w:r w:rsidRPr="006741F8">
        <w:rPr>
          <w:rFonts w:cs="David"/>
          <w:b/>
          <w:bCs/>
          <w:sz w:val="24"/>
          <w:szCs w:val="24"/>
          <w:rtl/>
        </w:rPr>
        <w:t>בילדינג</w:t>
      </w:r>
      <w:proofErr w:type="spellEnd"/>
      <w:r w:rsidRPr="006741F8">
        <w:rPr>
          <w:rFonts w:cs="David"/>
          <w:b/>
          <w:bCs/>
          <w:sz w:val="24"/>
          <w:szCs w:val="24"/>
          <w:rtl/>
        </w:rPr>
        <w:t xml:space="preserve"> יזמות בע"מ נ</w:t>
      </w:r>
      <w:r w:rsidRPr="006741F8">
        <w:rPr>
          <w:rFonts w:cs="David" w:hint="cs"/>
          <w:b/>
          <w:bCs/>
          <w:sz w:val="24"/>
          <w:szCs w:val="24"/>
          <w:rtl/>
        </w:rPr>
        <w:t xml:space="preserve">' </w:t>
      </w:r>
      <w:r w:rsidRPr="006741F8">
        <w:rPr>
          <w:rFonts w:cs="David"/>
          <w:b/>
          <w:bCs/>
          <w:sz w:val="24"/>
          <w:szCs w:val="24"/>
          <w:rtl/>
        </w:rPr>
        <w:t xml:space="preserve">הוועדה המקומית לתכנון ולבנייה </w:t>
      </w:r>
      <w:proofErr w:type="spellStart"/>
      <w:r w:rsidRPr="006741F8">
        <w:rPr>
          <w:rFonts w:cs="David"/>
          <w:b/>
          <w:bCs/>
          <w:sz w:val="24"/>
          <w:szCs w:val="24"/>
          <w:rtl/>
        </w:rPr>
        <w:t>שרונים</w:t>
      </w:r>
      <w:proofErr w:type="spellEnd"/>
      <w:r>
        <w:rPr>
          <w:rFonts w:cs="David" w:hint="cs"/>
          <w:sz w:val="24"/>
          <w:szCs w:val="24"/>
          <w:rtl/>
        </w:rPr>
        <w:t xml:space="preserve"> (פורסם בנבו, 14.11.2023); וערר (מרכז) 1040-08-23 </w:t>
      </w:r>
      <w:r w:rsidRPr="006741F8">
        <w:rPr>
          <w:rFonts w:cs="David"/>
          <w:b/>
          <w:bCs/>
          <w:sz w:val="24"/>
          <w:szCs w:val="24"/>
          <w:rtl/>
        </w:rPr>
        <w:t xml:space="preserve">לן </w:t>
      </w:r>
      <w:proofErr w:type="spellStart"/>
      <w:r w:rsidRPr="006741F8">
        <w:rPr>
          <w:rFonts w:cs="David"/>
          <w:b/>
          <w:bCs/>
          <w:sz w:val="24"/>
          <w:szCs w:val="24"/>
          <w:rtl/>
        </w:rPr>
        <w:t>ור</w:t>
      </w:r>
      <w:proofErr w:type="spellEnd"/>
      <w:r w:rsidRPr="006741F8">
        <w:rPr>
          <w:rFonts w:cs="David"/>
          <w:b/>
          <w:bCs/>
          <w:sz w:val="24"/>
          <w:szCs w:val="24"/>
          <w:rtl/>
        </w:rPr>
        <w:t xml:space="preserve"> פתרונות טכנולוגיים בע"מ נ</w:t>
      </w:r>
      <w:r w:rsidRPr="006741F8">
        <w:rPr>
          <w:rFonts w:cs="David" w:hint="cs"/>
          <w:b/>
          <w:bCs/>
          <w:sz w:val="24"/>
          <w:szCs w:val="24"/>
          <w:rtl/>
        </w:rPr>
        <w:t>'</w:t>
      </w:r>
      <w:r w:rsidRPr="006741F8">
        <w:rPr>
          <w:rFonts w:cs="David"/>
          <w:b/>
          <w:bCs/>
          <w:sz w:val="24"/>
          <w:szCs w:val="24"/>
        </w:rPr>
        <w:t> </w:t>
      </w:r>
      <w:r w:rsidRPr="006741F8">
        <w:rPr>
          <w:rFonts w:cs="David"/>
          <w:b/>
          <w:bCs/>
          <w:sz w:val="24"/>
          <w:szCs w:val="24"/>
          <w:rtl/>
        </w:rPr>
        <w:t>הראל גילאון ו-40 אחרים</w:t>
      </w:r>
      <w:r>
        <w:rPr>
          <w:rFonts w:cs="David" w:hint="cs"/>
          <w:sz w:val="24"/>
          <w:szCs w:val="24"/>
          <w:rtl/>
        </w:rPr>
        <w:t xml:space="preserve"> (פורסם בנבו, 11.12.2023).</w:t>
      </w:r>
    </w:p>
    <w:p w14:paraId="64A46276" w14:textId="1D38373C" w:rsidR="006741F8" w:rsidRPr="006741F8" w:rsidRDefault="003B7E8F" w:rsidP="00DF4C03">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חילופי הדברים ב</w:t>
      </w:r>
      <w:r w:rsidR="006741F8" w:rsidRPr="006741F8">
        <w:rPr>
          <w:rFonts w:cs="David" w:hint="cs"/>
          <w:sz w:val="24"/>
          <w:szCs w:val="24"/>
          <w:rtl/>
        </w:rPr>
        <w:t>דיון שהתקיים במליאת הוועדה המקומית אינ</w:t>
      </w:r>
      <w:r>
        <w:rPr>
          <w:rFonts w:cs="David" w:hint="cs"/>
          <w:sz w:val="24"/>
          <w:szCs w:val="24"/>
          <w:rtl/>
        </w:rPr>
        <w:t>ם</w:t>
      </w:r>
      <w:r w:rsidR="006741F8" w:rsidRPr="006741F8">
        <w:rPr>
          <w:rFonts w:cs="David" w:hint="cs"/>
          <w:sz w:val="24"/>
          <w:szCs w:val="24"/>
          <w:rtl/>
        </w:rPr>
        <w:t xml:space="preserve"> יכול</w:t>
      </w:r>
      <w:r>
        <w:rPr>
          <w:rFonts w:cs="David" w:hint="cs"/>
          <w:sz w:val="24"/>
          <w:szCs w:val="24"/>
          <w:rtl/>
        </w:rPr>
        <w:t>ים</w:t>
      </w:r>
      <w:r w:rsidR="006741F8" w:rsidRPr="006741F8">
        <w:rPr>
          <w:rFonts w:cs="David" w:hint="cs"/>
          <w:sz w:val="24"/>
          <w:szCs w:val="24"/>
          <w:rtl/>
        </w:rPr>
        <w:t xml:space="preserve"> להחליף </w:t>
      </w:r>
      <w:r>
        <w:rPr>
          <w:rFonts w:cs="David" w:hint="cs"/>
          <w:sz w:val="24"/>
          <w:szCs w:val="24"/>
          <w:rtl/>
        </w:rPr>
        <w:t>נימוקים בגוף ה</w:t>
      </w:r>
      <w:r w:rsidR="006741F8" w:rsidRPr="006741F8">
        <w:rPr>
          <w:rFonts w:cs="David" w:hint="cs"/>
          <w:sz w:val="24"/>
          <w:szCs w:val="24"/>
          <w:rtl/>
        </w:rPr>
        <w:t>החלטה</w:t>
      </w:r>
      <w:r>
        <w:rPr>
          <w:rFonts w:cs="David" w:hint="cs"/>
          <w:sz w:val="24"/>
          <w:szCs w:val="24"/>
          <w:rtl/>
        </w:rPr>
        <w:t>,</w:t>
      </w:r>
      <w:r w:rsidR="006741F8" w:rsidRPr="006741F8">
        <w:rPr>
          <w:rFonts w:cs="David" w:hint="cs"/>
          <w:sz w:val="24"/>
          <w:szCs w:val="24"/>
          <w:rtl/>
        </w:rPr>
        <w:t xml:space="preserve"> ש</w:t>
      </w:r>
      <w:r>
        <w:rPr>
          <w:rFonts w:cs="David" w:hint="cs"/>
          <w:sz w:val="24"/>
          <w:szCs w:val="24"/>
          <w:rtl/>
        </w:rPr>
        <w:t xml:space="preserve">רק </w:t>
      </w:r>
      <w:r w:rsidR="006741F8" w:rsidRPr="006741F8">
        <w:rPr>
          <w:rFonts w:cs="David" w:hint="cs"/>
          <w:sz w:val="24"/>
          <w:szCs w:val="24"/>
          <w:rtl/>
        </w:rPr>
        <w:t xml:space="preserve">לגביה נערכת הצבעה בקרב חברי הוועדה המקומית. אין בשעה המאוחרת שבה נערך הדיון כדי להצדיק הצבעה על החלטה לא מנומקת כלל; מה עוד, שהוראות הדין לא </w:t>
      </w:r>
      <w:r w:rsidR="006741F8">
        <w:rPr>
          <w:rFonts w:cs="David" w:hint="cs"/>
          <w:sz w:val="24"/>
          <w:szCs w:val="24"/>
          <w:rtl/>
        </w:rPr>
        <w:t xml:space="preserve">חייבו הצבעה על ההחלטה עוד בליל הדיון. </w:t>
      </w:r>
      <w:r w:rsidR="006741F8" w:rsidRPr="006741F8">
        <w:rPr>
          <w:rFonts w:cs="David" w:hint="cs"/>
          <w:sz w:val="24"/>
          <w:szCs w:val="24"/>
          <w:rtl/>
        </w:rPr>
        <w:t>תקנה 6 לתקנות דיון חוזר קובעת, כי לרשות מוסד תכנון עומדים 30 ימים להכרעה בעניין שהובא לדיון חוזר. על כן לא הייתה כל מני</w:t>
      </w:r>
      <w:r w:rsidR="006741F8">
        <w:rPr>
          <w:rFonts w:cs="David" w:hint="cs"/>
          <w:sz w:val="24"/>
          <w:szCs w:val="24"/>
          <w:rtl/>
        </w:rPr>
        <w:t>עה מניסוח החלטה מנומקת היטב והבאתה להצבעה.</w:t>
      </w:r>
    </w:p>
    <w:p w14:paraId="1162476D" w14:textId="1F9306C0" w:rsidR="006741F8" w:rsidRPr="006741F8" w:rsidRDefault="006741F8" w:rsidP="00187DA0">
      <w:pPr>
        <w:pStyle w:val="af"/>
        <w:numPr>
          <w:ilvl w:val="0"/>
          <w:numId w:val="1"/>
        </w:numPr>
        <w:spacing w:line="360" w:lineRule="auto"/>
        <w:ind w:left="470" w:right="-142" w:hanging="425"/>
        <w:contextualSpacing w:val="0"/>
        <w:jc w:val="both"/>
        <w:rPr>
          <w:rFonts w:cs="David"/>
          <w:sz w:val="24"/>
          <w:szCs w:val="24"/>
        </w:rPr>
      </w:pPr>
      <w:r w:rsidRPr="006741F8">
        <w:rPr>
          <w:rFonts w:cs="David" w:hint="cs"/>
          <w:sz w:val="24"/>
          <w:szCs w:val="24"/>
          <w:rtl/>
        </w:rPr>
        <w:t xml:space="preserve">אי הנמקת החלטת הוועדה המקומית מהווה פגם חמור שדבק בהחלטתה, שמתווסף לפגמים שנפלו </w:t>
      </w:r>
      <w:r w:rsidR="007102A9">
        <w:rPr>
          <w:rFonts w:cs="David" w:hint="cs"/>
          <w:sz w:val="24"/>
          <w:szCs w:val="24"/>
          <w:rtl/>
        </w:rPr>
        <w:t>בהליך</w:t>
      </w:r>
      <w:r w:rsidRPr="006741F8">
        <w:rPr>
          <w:rFonts w:cs="David" w:hint="cs"/>
          <w:sz w:val="24"/>
          <w:szCs w:val="24"/>
          <w:rtl/>
        </w:rPr>
        <w:t xml:space="preserve"> הדיון החוזר</w:t>
      </w:r>
      <w:r w:rsidR="00BE7827">
        <w:rPr>
          <w:rFonts w:cs="David" w:hint="cs"/>
          <w:sz w:val="24"/>
          <w:szCs w:val="24"/>
          <w:rtl/>
        </w:rPr>
        <w:t>, כמפורט להלן.</w:t>
      </w:r>
      <w:r w:rsidRPr="006741F8">
        <w:rPr>
          <w:rFonts w:cs="David" w:hint="cs"/>
          <w:sz w:val="24"/>
          <w:szCs w:val="24"/>
        </w:rPr>
        <w:t xml:space="preserve"> </w:t>
      </w:r>
    </w:p>
    <w:p w14:paraId="025ACC0F" w14:textId="77777777" w:rsidR="00700B8A" w:rsidRDefault="00700B8A" w:rsidP="00700B8A">
      <w:pPr>
        <w:spacing w:line="360" w:lineRule="auto"/>
        <w:ind w:left="45" w:right="-142"/>
        <w:jc w:val="both"/>
        <w:rPr>
          <w:rFonts w:cs="David"/>
          <w:sz w:val="24"/>
          <w:szCs w:val="24"/>
          <w:rtl/>
        </w:rPr>
      </w:pPr>
    </w:p>
    <w:p w14:paraId="70531C69" w14:textId="77777777" w:rsidR="00700B8A" w:rsidRPr="00700B8A" w:rsidRDefault="00700B8A" w:rsidP="00700B8A">
      <w:pPr>
        <w:spacing w:line="360" w:lineRule="auto"/>
        <w:ind w:left="45" w:right="-142"/>
        <w:jc w:val="both"/>
        <w:rPr>
          <w:rFonts w:cs="David"/>
          <w:sz w:val="24"/>
          <w:szCs w:val="24"/>
          <w:u w:val="single"/>
        </w:rPr>
      </w:pPr>
      <w:r>
        <w:rPr>
          <w:rFonts w:cs="David" w:hint="cs"/>
          <w:sz w:val="24"/>
          <w:szCs w:val="24"/>
          <w:u w:val="single"/>
          <w:rtl/>
        </w:rPr>
        <w:t>אי קיום הוראות הדין לגבי הליך הדיון החוזר</w:t>
      </w:r>
    </w:p>
    <w:p w14:paraId="3F75D47E" w14:textId="77777777" w:rsidR="00BE7827" w:rsidRDefault="00BE7827"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הסמכות לקיום דיון חוזר בהחלטה של ועדת משנה עוגנה בהוראות סעיף 18 לחוק, הקובעות בין השאר את אלו:</w:t>
      </w:r>
    </w:p>
    <w:p w14:paraId="2665C95B" w14:textId="77777777" w:rsidR="00BE7827" w:rsidRDefault="00BE7827" w:rsidP="00BE7827">
      <w:pPr>
        <w:pStyle w:val="af"/>
        <w:numPr>
          <w:ilvl w:val="1"/>
          <w:numId w:val="1"/>
        </w:numPr>
        <w:spacing w:line="360" w:lineRule="auto"/>
        <w:ind w:left="1035" w:right="-142" w:hanging="567"/>
        <w:contextualSpacing w:val="0"/>
        <w:jc w:val="both"/>
        <w:rPr>
          <w:rFonts w:cs="David"/>
          <w:sz w:val="24"/>
          <w:szCs w:val="24"/>
        </w:rPr>
      </w:pPr>
      <w:r>
        <w:rPr>
          <w:rFonts w:cs="David" w:hint="cs"/>
          <w:sz w:val="24"/>
          <w:szCs w:val="24"/>
          <w:rtl/>
        </w:rPr>
        <w:lastRenderedPageBreak/>
        <w:t>סעיפים 18(ה) ו- 18(ו) לחוק קובעים, כי ועדה מקומית תקים ועדת משנה לתכנון ובנייה, שלה יוקנו כל הסמכויות של הוועדה המקומית, ודין החלטתה כדין החלטת הוועדה המקומית, בכפוף לאמור בסעיף 18(ז) לחוק.</w:t>
      </w:r>
    </w:p>
    <w:p w14:paraId="29EA6AE5" w14:textId="77777777" w:rsidR="00BE7827" w:rsidRDefault="00BE7827" w:rsidP="00BE7827">
      <w:pPr>
        <w:pStyle w:val="af"/>
        <w:numPr>
          <w:ilvl w:val="1"/>
          <w:numId w:val="1"/>
        </w:numPr>
        <w:spacing w:line="360" w:lineRule="auto"/>
        <w:ind w:left="1035" w:right="-142" w:hanging="567"/>
        <w:contextualSpacing w:val="0"/>
        <w:jc w:val="both"/>
        <w:rPr>
          <w:rFonts w:cs="David"/>
          <w:sz w:val="24"/>
          <w:szCs w:val="24"/>
        </w:rPr>
      </w:pPr>
      <w:r>
        <w:rPr>
          <w:rFonts w:cs="David" w:hint="cs"/>
          <w:sz w:val="24"/>
          <w:szCs w:val="24"/>
          <w:rtl/>
        </w:rPr>
        <w:t>סעיף 18(ז) לחוק קובע את זכותו של חבר ועדה מקומית לדרוש דיון חוזר במליאת הוועדה המקומית בעניין שניתנה בו החלטת ועדת המשנה:</w:t>
      </w:r>
    </w:p>
    <w:p w14:paraId="2113ADEF" w14:textId="77777777" w:rsidR="00BE7827" w:rsidRPr="00754F99" w:rsidRDefault="00BE7827" w:rsidP="00BE7827">
      <w:pPr>
        <w:pStyle w:val="af1"/>
        <w:spacing w:after="120" w:line="240" w:lineRule="auto"/>
        <w:ind w:left="1886" w:right="992" w:hanging="709"/>
        <w:rPr>
          <w:rtl/>
        </w:rPr>
      </w:pPr>
      <w:r>
        <w:rPr>
          <w:rFonts w:hint="cs"/>
          <w:rtl/>
        </w:rPr>
        <w:t>"</w:t>
      </w:r>
      <w:r w:rsidRPr="00754F99">
        <w:rPr>
          <w:rtl/>
        </w:rPr>
        <w:t>(</w:t>
      </w:r>
      <w:r w:rsidRPr="00754F99">
        <w:rPr>
          <w:rFonts w:hint="cs"/>
          <w:rtl/>
        </w:rPr>
        <w:t>ז</w:t>
      </w:r>
      <w:r w:rsidRPr="00754F99">
        <w:rPr>
          <w:rtl/>
        </w:rPr>
        <w:t>)</w:t>
      </w:r>
      <w:r>
        <w:rPr>
          <w:rFonts w:hint="cs"/>
          <w:rtl/>
        </w:rPr>
        <w:t xml:space="preserve"> </w:t>
      </w:r>
      <w:r w:rsidRPr="00754F99">
        <w:rPr>
          <w:rFonts w:hint="cs"/>
          <w:rtl/>
        </w:rPr>
        <w:t>(1)</w:t>
      </w:r>
      <w:r>
        <w:rPr>
          <w:rFonts w:hint="cs"/>
          <w:rtl/>
        </w:rPr>
        <w:t xml:space="preserve"> </w:t>
      </w:r>
      <w:r w:rsidRPr="00754F99">
        <w:rPr>
          <w:rFonts w:hint="cs"/>
          <w:rtl/>
        </w:rPr>
        <w:t>כ</w:t>
      </w:r>
      <w:r w:rsidRPr="00754F99">
        <w:rPr>
          <w:rtl/>
        </w:rPr>
        <w:t>ל</w:t>
      </w:r>
      <w:r w:rsidRPr="00754F99">
        <w:rPr>
          <w:rFonts w:hint="cs"/>
          <w:rtl/>
        </w:rPr>
        <w:t xml:space="preserve"> החלט</w:t>
      </w:r>
      <w:r w:rsidRPr="00754F99">
        <w:rPr>
          <w:rtl/>
        </w:rPr>
        <w:t>ה</w:t>
      </w:r>
      <w:r w:rsidRPr="00754F99">
        <w:rPr>
          <w:rFonts w:hint="cs"/>
          <w:rtl/>
        </w:rPr>
        <w:t xml:space="preserve"> </w:t>
      </w:r>
      <w:r w:rsidRPr="00754F99">
        <w:rPr>
          <w:rtl/>
        </w:rPr>
        <w:t>ש</w:t>
      </w:r>
      <w:r w:rsidRPr="00754F99">
        <w:rPr>
          <w:rFonts w:hint="cs"/>
          <w:rtl/>
        </w:rPr>
        <w:t>ל ועדת המשנה תישלח לכל חברי ה</w:t>
      </w:r>
      <w:r w:rsidRPr="00754F99">
        <w:rPr>
          <w:rtl/>
        </w:rPr>
        <w:t>ו</w:t>
      </w:r>
      <w:r w:rsidRPr="00754F99">
        <w:rPr>
          <w:rFonts w:hint="cs"/>
          <w:rtl/>
        </w:rPr>
        <w:t>ע</w:t>
      </w:r>
      <w:r w:rsidRPr="00754F99">
        <w:rPr>
          <w:rtl/>
        </w:rPr>
        <w:t>ד</w:t>
      </w:r>
      <w:r w:rsidRPr="00754F99">
        <w:rPr>
          <w:rFonts w:hint="cs"/>
          <w:rtl/>
        </w:rPr>
        <w:t>ה</w:t>
      </w:r>
      <w:r w:rsidRPr="00754F99">
        <w:rPr>
          <w:rtl/>
        </w:rPr>
        <w:t xml:space="preserve"> </w:t>
      </w:r>
      <w:r w:rsidRPr="00754F99">
        <w:rPr>
          <w:rFonts w:hint="cs"/>
          <w:rtl/>
        </w:rPr>
        <w:t>ה</w:t>
      </w:r>
      <w:r w:rsidRPr="00754F99">
        <w:rPr>
          <w:rtl/>
        </w:rPr>
        <w:t>מ</w:t>
      </w:r>
      <w:r w:rsidRPr="00754F99">
        <w:rPr>
          <w:rFonts w:hint="cs"/>
          <w:rtl/>
        </w:rPr>
        <w:t>קומית</w:t>
      </w:r>
      <w:r w:rsidRPr="00754F99">
        <w:rPr>
          <w:rtl/>
        </w:rPr>
        <w:t xml:space="preserve"> </w:t>
      </w:r>
      <w:r w:rsidRPr="00754F99">
        <w:rPr>
          <w:rFonts w:hint="cs"/>
          <w:rtl/>
        </w:rPr>
        <w:t>ולנציגים בעלי הדעה המייעצת</w:t>
      </w:r>
      <w:r w:rsidRPr="00754F99">
        <w:rPr>
          <w:rtl/>
        </w:rPr>
        <w:t xml:space="preserve">, </w:t>
      </w:r>
      <w:r w:rsidRPr="00754F99">
        <w:rPr>
          <w:rFonts w:hint="cs"/>
          <w:rtl/>
        </w:rPr>
        <w:t>תוך ע</w:t>
      </w:r>
      <w:r w:rsidRPr="00754F99">
        <w:rPr>
          <w:rtl/>
        </w:rPr>
        <w:t>ש</w:t>
      </w:r>
      <w:r w:rsidRPr="00754F99">
        <w:rPr>
          <w:rFonts w:hint="cs"/>
          <w:rtl/>
        </w:rPr>
        <w:t>ר</w:t>
      </w:r>
      <w:r w:rsidRPr="00754F99">
        <w:rPr>
          <w:rtl/>
        </w:rPr>
        <w:t>ה</w:t>
      </w:r>
      <w:r w:rsidRPr="00754F99">
        <w:rPr>
          <w:rFonts w:hint="cs"/>
          <w:rtl/>
        </w:rPr>
        <w:t xml:space="preserve"> ימים מיום קבלתה;</w:t>
      </w:r>
    </w:p>
    <w:p w14:paraId="0B045C08" w14:textId="77777777" w:rsidR="00BE7827" w:rsidRPr="00754F99" w:rsidRDefault="00BE7827" w:rsidP="00BE7827">
      <w:pPr>
        <w:pStyle w:val="af1"/>
        <w:spacing w:after="120" w:line="240" w:lineRule="auto"/>
        <w:ind w:left="1886" w:right="992" w:hanging="284"/>
        <w:rPr>
          <w:rtl/>
        </w:rPr>
      </w:pPr>
      <w:r w:rsidRPr="00754F99">
        <w:rPr>
          <w:rtl/>
        </w:rPr>
        <w:t>(</w:t>
      </w:r>
      <w:r w:rsidRPr="00754F99">
        <w:rPr>
          <w:rFonts w:hint="cs"/>
          <w:rtl/>
        </w:rPr>
        <w:t>2</w:t>
      </w:r>
      <w:r w:rsidRPr="00754F99">
        <w:rPr>
          <w:rtl/>
        </w:rPr>
        <w:t>)</w:t>
      </w:r>
      <w:r w:rsidRPr="00754F99">
        <w:rPr>
          <w:rtl/>
        </w:rPr>
        <w:tab/>
      </w:r>
      <w:r w:rsidRPr="00754F99">
        <w:rPr>
          <w:rFonts w:hint="cs"/>
          <w:rtl/>
        </w:rPr>
        <w:t>אחד מחברי הוועדה המקומית או נציג בעל דעה מייעצת רשאים לדרוש בכתב, בתוך 14 ימים מיום קבלת ההחלטה לידיהם, שיתקיים במליאת הוועדה המקומית דיון בעניין; הדרישה תכלול את פרטי הנימוקים;</w:t>
      </w:r>
    </w:p>
    <w:p w14:paraId="414B46D8" w14:textId="77777777" w:rsidR="00BE7827" w:rsidRPr="00754F99" w:rsidRDefault="00BE7827" w:rsidP="00BE7827">
      <w:pPr>
        <w:pStyle w:val="af1"/>
        <w:spacing w:after="240" w:line="240" w:lineRule="auto"/>
        <w:ind w:left="1889" w:right="992" w:hanging="284"/>
        <w:rPr>
          <w:rtl/>
        </w:rPr>
      </w:pPr>
      <w:r w:rsidRPr="00754F99">
        <w:rPr>
          <w:rFonts w:hint="cs"/>
          <w:rtl/>
        </w:rPr>
        <w:t>(3)</w:t>
      </w:r>
      <w:r w:rsidRPr="00754F99">
        <w:rPr>
          <w:rtl/>
        </w:rPr>
        <w:tab/>
        <w:t>הו</w:t>
      </w:r>
      <w:r w:rsidRPr="00754F99">
        <w:rPr>
          <w:rFonts w:hint="cs"/>
          <w:rtl/>
        </w:rPr>
        <w:t>גשה דרישה כאמור, יידון</w:t>
      </w:r>
      <w:r w:rsidRPr="00754F99">
        <w:rPr>
          <w:rtl/>
        </w:rPr>
        <w:t xml:space="preserve"> </w:t>
      </w:r>
      <w:proofErr w:type="spellStart"/>
      <w:r w:rsidRPr="00754F99">
        <w:rPr>
          <w:rFonts w:hint="cs"/>
          <w:rtl/>
        </w:rPr>
        <w:t>ה</w:t>
      </w:r>
      <w:r w:rsidRPr="00754F99">
        <w:rPr>
          <w:rtl/>
        </w:rPr>
        <w:t>ע</w:t>
      </w:r>
      <w:r w:rsidRPr="00754F99">
        <w:rPr>
          <w:rFonts w:hint="cs"/>
          <w:rtl/>
        </w:rPr>
        <w:t>נ</w:t>
      </w:r>
      <w:r w:rsidRPr="00754F99">
        <w:rPr>
          <w:rtl/>
        </w:rPr>
        <w:t>י</w:t>
      </w:r>
      <w:r w:rsidRPr="00754F99">
        <w:rPr>
          <w:rFonts w:hint="cs"/>
          <w:rtl/>
        </w:rPr>
        <w:t>ן</w:t>
      </w:r>
      <w:proofErr w:type="spellEnd"/>
      <w:r w:rsidRPr="00754F99">
        <w:rPr>
          <w:rtl/>
        </w:rPr>
        <w:t xml:space="preserve"> </w:t>
      </w:r>
      <w:r w:rsidRPr="00754F99">
        <w:rPr>
          <w:rFonts w:hint="cs"/>
          <w:rtl/>
        </w:rPr>
        <w:t>בישיבה הקרובה של הועדה המקומית;</w:t>
      </w:r>
      <w:r w:rsidRPr="00754F99">
        <w:rPr>
          <w:rtl/>
        </w:rPr>
        <w:t xml:space="preserve"> לא </w:t>
      </w:r>
      <w:r w:rsidRPr="00754F99">
        <w:rPr>
          <w:rFonts w:hint="cs"/>
          <w:rtl/>
        </w:rPr>
        <w:t>הוגש</w:t>
      </w:r>
      <w:r w:rsidRPr="00754F99">
        <w:rPr>
          <w:rtl/>
        </w:rPr>
        <w:t>ה דר</w:t>
      </w:r>
      <w:r w:rsidRPr="00754F99">
        <w:rPr>
          <w:rFonts w:hint="cs"/>
          <w:rtl/>
        </w:rPr>
        <w:t>ישה</w:t>
      </w:r>
      <w:r w:rsidRPr="00754F99">
        <w:rPr>
          <w:rtl/>
        </w:rPr>
        <w:t xml:space="preserve"> כאמור, ר</w:t>
      </w:r>
      <w:r w:rsidRPr="00754F99">
        <w:rPr>
          <w:rFonts w:hint="cs"/>
          <w:rtl/>
        </w:rPr>
        <w:t>ואים את החלטתה של ועדת המשנה כהחלטת הועדה המקומית, לכל</w:t>
      </w:r>
      <w:r w:rsidRPr="00754F99">
        <w:rPr>
          <w:rtl/>
        </w:rPr>
        <w:t xml:space="preserve"> ד</w:t>
      </w:r>
      <w:r w:rsidRPr="00754F99">
        <w:rPr>
          <w:rFonts w:hint="cs"/>
          <w:rtl/>
        </w:rPr>
        <w:t>בר.</w:t>
      </w:r>
      <w:r>
        <w:rPr>
          <w:rFonts w:hint="cs"/>
          <w:rtl/>
        </w:rPr>
        <w:t>"</w:t>
      </w:r>
    </w:p>
    <w:p w14:paraId="7FE99F30" w14:textId="77777777" w:rsidR="00BE7827" w:rsidRDefault="00BE7827"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ההיבט </w:t>
      </w:r>
      <w:proofErr w:type="spellStart"/>
      <w:r>
        <w:rPr>
          <w:rFonts w:cs="David" w:hint="cs"/>
          <w:sz w:val="24"/>
          <w:szCs w:val="24"/>
          <w:rtl/>
        </w:rPr>
        <w:t>ההליכי</w:t>
      </w:r>
      <w:proofErr w:type="spellEnd"/>
      <w:r>
        <w:rPr>
          <w:rFonts w:cs="David" w:hint="cs"/>
          <w:sz w:val="24"/>
          <w:szCs w:val="24"/>
          <w:rtl/>
        </w:rPr>
        <w:t xml:space="preserve"> של קיום דיון חוזר הוסדר בתקנות התכנון והבניה (סדרי הדיון בקיום דיון חוזר במוסד תכנון), תשס"ג-2003 (להלן: "</w:t>
      </w:r>
      <w:r w:rsidRPr="00853FA4">
        <w:rPr>
          <w:rFonts w:cs="David" w:hint="cs"/>
          <w:b/>
          <w:bCs/>
          <w:sz w:val="24"/>
          <w:szCs w:val="24"/>
          <w:rtl/>
        </w:rPr>
        <w:t xml:space="preserve">תקנות </w:t>
      </w:r>
      <w:r>
        <w:rPr>
          <w:rFonts w:cs="David" w:hint="cs"/>
          <w:b/>
          <w:bCs/>
          <w:sz w:val="24"/>
          <w:szCs w:val="24"/>
          <w:rtl/>
        </w:rPr>
        <w:t>דיון חוזר</w:t>
      </w:r>
      <w:r>
        <w:rPr>
          <w:rFonts w:cs="David" w:hint="cs"/>
          <w:sz w:val="24"/>
          <w:szCs w:val="24"/>
          <w:rtl/>
        </w:rPr>
        <w:t xml:space="preserve">"). תקנות דיון חוזר מתוות את סדרי עבודתה של הוועדה המקומית לצורך קבלת החלטה בדיון חוזר שנערך על ידי מליאת הוועדה המקומית (ראו: </w:t>
      </w:r>
      <w:r w:rsidRPr="0006593E">
        <w:rPr>
          <w:rFonts w:cs="David" w:hint="cs"/>
          <w:b/>
          <w:bCs/>
          <w:sz w:val="24"/>
          <w:szCs w:val="24"/>
          <w:rtl/>
        </w:rPr>
        <w:t>ברק ארז</w:t>
      </w:r>
      <w:r>
        <w:rPr>
          <w:rFonts w:cs="David" w:hint="cs"/>
          <w:sz w:val="24"/>
          <w:szCs w:val="24"/>
          <w:rtl/>
        </w:rPr>
        <w:t xml:space="preserve">, עמ' 266, </w:t>
      </w:r>
      <w:proofErr w:type="spellStart"/>
      <w:r>
        <w:rPr>
          <w:rFonts w:cs="David" w:hint="cs"/>
          <w:sz w:val="24"/>
          <w:szCs w:val="24"/>
          <w:rtl/>
        </w:rPr>
        <w:t>ה"ש</w:t>
      </w:r>
      <w:proofErr w:type="spellEnd"/>
      <w:r>
        <w:rPr>
          <w:rFonts w:cs="David" w:hint="cs"/>
          <w:sz w:val="24"/>
          <w:szCs w:val="24"/>
          <w:rtl/>
        </w:rPr>
        <w:t xml:space="preserve"> 13). </w:t>
      </w:r>
    </w:p>
    <w:p w14:paraId="408CE2A8" w14:textId="77777777" w:rsidR="00BE7827" w:rsidRDefault="00BE7827" w:rsidP="00DB76BC">
      <w:pPr>
        <w:pStyle w:val="af"/>
        <w:numPr>
          <w:ilvl w:val="0"/>
          <w:numId w:val="1"/>
        </w:numPr>
        <w:spacing w:after="0" w:line="360" w:lineRule="auto"/>
        <w:ind w:left="470" w:right="-142" w:hanging="425"/>
        <w:contextualSpacing w:val="0"/>
        <w:jc w:val="both"/>
        <w:rPr>
          <w:rFonts w:cs="David"/>
          <w:sz w:val="24"/>
          <w:szCs w:val="24"/>
        </w:rPr>
      </w:pPr>
      <w:r>
        <w:rPr>
          <w:rFonts w:cs="David" w:hint="cs"/>
          <w:sz w:val="24"/>
          <w:szCs w:val="24"/>
          <w:rtl/>
        </w:rPr>
        <w:t>תקנות דיון חוזר קובעות, בין השאר, כך:</w:t>
      </w:r>
    </w:p>
    <w:p w14:paraId="77E0285C" w14:textId="77777777" w:rsidR="00BE7827" w:rsidRPr="0043331E" w:rsidRDefault="00BE7827" w:rsidP="00BE7827">
      <w:pPr>
        <w:pStyle w:val="af1"/>
        <w:spacing w:after="120" w:line="240" w:lineRule="auto"/>
        <w:ind w:left="1460" w:right="992" w:hanging="283"/>
        <w:rPr>
          <w:rtl/>
        </w:rPr>
      </w:pPr>
      <w:r>
        <w:rPr>
          <w:rFonts w:hint="cs"/>
          <w:rtl/>
        </w:rPr>
        <w:t xml:space="preserve">"2. </w:t>
      </w:r>
      <w:r w:rsidRPr="0043331E">
        <w:rPr>
          <w:rFonts w:hint="cs"/>
          <w:rtl/>
        </w:rPr>
        <w:t xml:space="preserve">חבר או נציג במוסד תכנון, </w:t>
      </w:r>
      <w:proofErr w:type="spellStart"/>
      <w:r w:rsidRPr="0043331E">
        <w:rPr>
          <w:rFonts w:hint="cs"/>
          <w:rtl/>
        </w:rPr>
        <w:t>ובועדה</w:t>
      </w:r>
      <w:proofErr w:type="spellEnd"/>
      <w:r w:rsidRPr="0043331E">
        <w:rPr>
          <w:rFonts w:hint="cs"/>
          <w:rtl/>
        </w:rPr>
        <w:t xml:space="preserve"> מחוזית שני נציגים לפחות, הדורשים לקיים דיון חוזר, יודיעו על כך </w:t>
      </w:r>
      <w:r w:rsidRPr="0043331E">
        <w:rPr>
          <w:rFonts w:hint="cs"/>
          <w:u w:val="single"/>
          <w:rtl/>
        </w:rPr>
        <w:t>בדרישה מנומקת בכתב</w:t>
      </w:r>
      <w:r w:rsidRPr="0043331E">
        <w:rPr>
          <w:rFonts w:hint="cs"/>
          <w:rtl/>
        </w:rPr>
        <w:t>, ליושב ראש מוסד התכנון ולמזכיר מוסד התכנון, בתוך שבעה ימים מיום קבלת החלטתה של ועדת המשנה לידיהם.</w:t>
      </w:r>
    </w:p>
    <w:p w14:paraId="6D794FC0" w14:textId="77777777" w:rsidR="00BE7827" w:rsidRPr="0043331E" w:rsidRDefault="00BE7827" w:rsidP="00BE7827">
      <w:pPr>
        <w:pStyle w:val="af1"/>
        <w:spacing w:after="120" w:line="240" w:lineRule="auto"/>
        <w:ind w:left="1460" w:right="992" w:hanging="283"/>
        <w:rPr>
          <w:rtl/>
        </w:rPr>
      </w:pPr>
      <w:bookmarkStart w:id="0" w:name="Seif3"/>
      <w:bookmarkEnd w:id="0"/>
      <w:r w:rsidRPr="0043331E">
        <w:rPr>
          <w:rtl/>
        </w:rPr>
        <w:t>3.</w:t>
      </w:r>
      <w:r w:rsidRPr="0043331E">
        <w:rPr>
          <w:rtl/>
        </w:rPr>
        <w:tab/>
      </w:r>
      <w:r w:rsidRPr="0043331E">
        <w:rPr>
          <w:rFonts w:hint="cs"/>
          <w:rtl/>
        </w:rPr>
        <w:t xml:space="preserve">מוסד תכנון יקיים דיון חוזר </w:t>
      </w:r>
      <w:r w:rsidRPr="0043331E">
        <w:rPr>
          <w:rFonts w:hint="cs"/>
          <w:u w:val="single"/>
          <w:rtl/>
        </w:rPr>
        <w:t>בישיבתו הקרובה</w:t>
      </w:r>
      <w:r w:rsidRPr="0043331E">
        <w:rPr>
          <w:rFonts w:hint="cs"/>
          <w:rtl/>
        </w:rPr>
        <w:t xml:space="preserve"> שלאחר הגשת הדרישה כאמור בתקנה 2, ואולם הוגשה הדרישה במועצה הארצית או </w:t>
      </w:r>
      <w:proofErr w:type="spellStart"/>
      <w:r w:rsidRPr="0043331E">
        <w:rPr>
          <w:rFonts w:hint="cs"/>
          <w:rtl/>
        </w:rPr>
        <w:t>בועדה</w:t>
      </w:r>
      <w:proofErr w:type="spellEnd"/>
      <w:r w:rsidRPr="0043331E">
        <w:rPr>
          <w:rFonts w:hint="cs"/>
          <w:rtl/>
        </w:rPr>
        <w:t xml:space="preserve"> מחוזית חמישה עשר ימים או פחות לפני מועד ישיבתו של מוסד התכנון, יידחה הדיון החוזר לישיבה שלאחר מכן.</w:t>
      </w:r>
    </w:p>
    <w:p w14:paraId="61F55C2E" w14:textId="77777777" w:rsidR="00BE7827" w:rsidRPr="0043331E" w:rsidRDefault="00BE7827" w:rsidP="00BE7827">
      <w:pPr>
        <w:pStyle w:val="af1"/>
        <w:spacing w:after="120" w:line="240" w:lineRule="auto"/>
        <w:ind w:left="1460" w:right="992" w:hanging="283"/>
        <w:rPr>
          <w:rtl/>
        </w:rPr>
      </w:pPr>
      <w:bookmarkStart w:id="1" w:name="Seif4"/>
      <w:bookmarkEnd w:id="1"/>
      <w:r w:rsidRPr="0043331E">
        <w:rPr>
          <w:rFonts w:hint="cs"/>
          <w:rtl/>
        </w:rPr>
        <w:t>4</w:t>
      </w:r>
      <w:r w:rsidRPr="0043331E">
        <w:rPr>
          <w:rtl/>
        </w:rPr>
        <w:t>.</w:t>
      </w:r>
      <w:r w:rsidRPr="0043331E">
        <w:rPr>
          <w:rtl/>
        </w:rPr>
        <w:tab/>
      </w:r>
      <w:r w:rsidRPr="0043331E">
        <w:rPr>
          <w:rFonts w:hint="cs"/>
          <w:u w:val="single"/>
          <w:rtl/>
        </w:rPr>
        <w:t>מוסד תכנון המקיים דיון חוזר רשאי</w:t>
      </w:r>
      <w:r w:rsidRPr="0043331E">
        <w:rPr>
          <w:rFonts w:hint="cs"/>
          <w:rtl/>
        </w:rPr>
        <w:t xml:space="preserve"> להותיר את החלטת ועדת המשנה על כנה, להחזיר את </w:t>
      </w:r>
      <w:proofErr w:type="spellStart"/>
      <w:r w:rsidRPr="0043331E">
        <w:rPr>
          <w:rFonts w:hint="cs"/>
          <w:rtl/>
        </w:rPr>
        <w:t>הענין</w:t>
      </w:r>
      <w:proofErr w:type="spellEnd"/>
      <w:r w:rsidRPr="0043331E">
        <w:rPr>
          <w:rFonts w:hint="cs"/>
          <w:rtl/>
        </w:rPr>
        <w:t xml:space="preserve"> לדיון </w:t>
      </w:r>
      <w:proofErr w:type="spellStart"/>
      <w:r w:rsidRPr="0043331E">
        <w:rPr>
          <w:rFonts w:hint="cs"/>
          <w:rtl/>
        </w:rPr>
        <w:t>בועדת</w:t>
      </w:r>
      <w:proofErr w:type="spellEnd"/>
      <w:r w:rsidRPr="0043331E">
        <w:rPr>
          <w:rFonts w:hint="cs"/>
          <w:rtl/>
        </w:rPr>
        <w:t xml:space="preserve"> המשנה שלגבי החלטתה נדרש הדיון החוזר, עם הוראות או בלעדיהן, או </w:t>
      </w:r>
      <w:r w:rsidRPr="0043331E">
        <w:rPr>
          <w:rFonts w:hint="cs"/>
          <w:u w:val="single"/>
          <w:rtl/>
        </w:rPr>
        <w:t>לשנות את החלטת ועדת המשנה</w:t>
      </w:r>
      <w:r w:rsidRPr="0043331E">
        <w:rPr>
          <w:rFonts w:hint="cs"/>
          <w:rtl/>
        </w:rPr>
        <w:t>.</w:t>
      </w:r>
    </w:p>
    <w:p w14:paraId="1CDE2C0D" w14:textId="77777777" w:rsidR="00BE7827" w:rsidRPr="0043331E" w:rsidRDefault="00BE7827" w:rsidP="00BE7827">
      <w:pPr>
        <w:pStyle w:val="af1"/>
        <w:tabs>
          <w:tab w:val="left" w:pos="1460"/>
        </w:tabs>
        <w:spacing w:after="120" w:line="240" w:lineRule="auto"/>
        <w:ind w:left="1744" w:right="992" w:hanging="567"/>
        <w:rPr>
          <w:rtl/>
        </w:rPr>
      </w:pPr>
      <w:bookmarkStart w:id="2" w:name="Seif5"/>
      <w:bookmarkEnd w:id="2"/>
      <w:r w:rsidRPr="0043331E">
        <w:rPr>
          <w:rFonts w:hint="cs"/>
          <w:rtl/>
        </w:rPr>
        <w:t>5</w:t>
      </w:r>
      <w:r w:rsidRPr="0043331E">
        <w:rPr>
          <w:rtl/>
        </w:rPr>
        <w:t>.</w:t>
      </w:r>
      <w:r w:rsidRPr="0043331E">
        <w:rPr>
          <w:rtl/>
        </w:rPr>
        <w:tab/>
      </w:r>
      <w:r w:rsidRPr="0043331E">
        <w:rPr>
          <w:rFonts w:hint="cs"/>
          <w:rtl/>
        </w:rPr>
        <w:t>(א)</w:t>
      </w:r>
      <w:r>
        <w:rPr>
          <w:rFonts w:hint="cs"/>
          <w:rtl/>
        </w:rPr>
        <w:t xml:space="preserve"> </w:t>
      </w:r>
      <w:r w:rsidRPr="0043331E">
        <w:rPr>
          <w:rFonts w:hint="cs"/>
          <w:rtl/>
        </w:rPr>
        <w:t xml:space="preserve">מוסד תכנון שמקיים דיון חוזר, </w:t>
      </w:r>
      <w:r w:rsidRPr="0043331E">
        <w:rPr>
          <w:rFonts w:hint="cs"/>
          <w:u w:val="single"/>
          <w:rtl/>
        </w:rPr>
        <w:t>יחליט תחילה</w:t>
      </w:r>
      <w:r w:rsidRPr="0043331E">
        <w:rPr>
          <w:rFonts w:hint="cs"/>
          <w:rtl/>
        </w:rPr>
        <w:t xml:space="preserve"> אם יש להותיר את החלטת ועדת המשנה על כנה או להחזיר את </w:t>
      </w:r>
      <w:proofErr w:type="spellStart"/>
      <w:r w:rsidRPr="0043331E">
        <w:rPr>
          <w:rFonts w:hint="cs"/>
          <w:rtl/>
        </w:rPr>
        <w:t>הענין</w:t>
      </w:r>
      <w:proofErr w:type="spellEnd"/>
      <w:r w:rsidRPr="0043331E">
        <w:rPr>
          <w:rFonts w:hint="cs"/>
          <w:rtl/>
        </w:rPr>
        <w:t xml:space="preserve"> </w:t>
      </w:r>
      <w:proofErr w:type="spellStart"/>
      <w:r w:rsidRPr="0043331E">
        <w:rPr>
          <w:rFonts w:hint="cs"/>
          <w:rtl/>
        </w:rPr>
        <w:t>לועדת</w:t>
      </w:r>
      <w:proofErr w:type="spellEnd"/>
      <w:r w:rsidRPr="0043331E">
        <w:rPr>
          <w:rFonts w:hint="cs"/>
          <w:rtl/>
        </w:rPr>
        <w:t xml:space="preserve"> המשנה.</w:t>
      </w:r>
    </w:p>
    <w:p w14:paraId="124CB250" w14:textId="77777777" w:rsidR="00BE7827" w:rsidRPr="0043331E" w:rsidRDefault="00BE7827" w:rsidP="00BE7827">
      <w:pPr>
        <w:pStyle w:val="af1"/>
        <w:tabs>
          <w:tab w:val="left" w:pos="1460"/>
        </w:tabs>
        <w:spacing w:after="120" w:line="240" w:lineRule="auto"/>
        <w:ind w:left="1744" w:right="992" w:hanging="567"/>
        <w:rPr>
          <w:rtl/>
        </w:rPr>
      </w:pPr>
      <w:r w:rsidRPr="0043331E">
        <w:rPr>
          <w:rFonts w:hint="cs"/>
          <w:rtl/>
        </w:rPr>
        <w:tab/>
        <w:t>(ב)</w:t>
      </w:r>
      <w:r w:rsidRPr="0043331E">
        <w:rPr>
          <w:rFonts w:hint="cs"/>
          <w:rtl/>
        </w:rPr>
        <w:tab/>
      </w:r>
      <w:r w:rsidRPr="0043331E">
        <w:rPr>
          <w:rFonts w:hint="cs"/>
          <w:u w:val="single"/>
          <w:rtl/>
        </w:rPr>
        <w:t xml:space="preserve">לא החליט מוסד התכנון כאמור בתקנת משנה (א) </w:t>
      </w:r>
      <w:r w:rsidRPr="0043331E">
        <w:rPr>
          <w:u w:val="single"/>
          <w:rtl/>
        </w:rPr>
        <w:t>–</w:t>
      </w:r>
      <w:r w:rsidRPr="0043331E">
        <w:rPr>
          <w:rFonts w:hint="cs"/>
          <w:u w:val="single"/>
          <w:rtl/>
        </w:rPr>
        <w:t xml:space="preserve"> לא ישנה את החלטת ועדת המשנה בטרם נתן הזדמנות לצדדים הנוגעים בדבר להשמיע את טענותיהם </w:t>
      </w:r>
      <w:proofErr w:type="spellStart"/>
      <w:r w:rsidRPr="0043331E">
        <w:rPr>
          <w:rFonts w:hint="cs"/>
          <w:u w:val="single"/>
          <w:rtl/>
        </w:rPr>
        <w:t>בענין</w:t>
      </w:r>
      <w:proofErr w:type="spellEnd"/>
      <w:r w:rsidRPr="0043331E">
        <w:rPr>
          <w:rFonts w:hint="cs"/>
          <w:u w:val="single"/>
          <w:rtl/>
        </w:rPr>
        <w:t>, בכתב או בעל פה, כפי שיחליט</w:t>
      </w:r>
      <w:r w:rsidRPr="0043331E">
        <w:rPr>
          <w:rFonts w:hint="cs"/>
          <w:rtl/>
        </w:rPr>
        <w:t>.</w:t>
      </w:r>
    </w:p>
    <w:p w14:paraId="23615465" w14:textId="77777777" w:rsidR="00BE7827" w:rsidRPr="0043331E" w:rsidRDefault="00BE7827" w:rsidP="00BE7827">
      <w:pPr>
        <w:pStyle w:val="af1"/>
        <w:spacing w:after="240" w:line="240" w:lineRule="auto"/>
        <w:ind w:left="1463" w:right="992" w:hanging="284"/>
        <w:rPr>
          <w:rtl/>
        </w:rPr>
      </w:pPr>
      <w:bookmarkStart w:id="3" w:name="Seif6"/>
      <w:bookmarkEnd w:id="3"/>
      <w:r w:rsidRPr="0043331E">
        <w:rPr>
          <w:rFonts w:hint="cs"/>
          <w:rtl/>
        </w:rPr>
        <w:t>6</w:t>
      </w:r>
      <w:r w:rsidRPr="0043331E">
        <w:rPr>
          <w:rtl/>
        </w:rPr>
        <w:t>.</w:t>
      </w:r>
      <w:r>
        <w:rPr>
          <w:rFonts w:hint="cs"/>
          <w:rtl/>
        </w:rPr>
        <w:t xml:space="preserve"> </w:t>
      </w:r>
      <w:r w:rsidRPr="0043331E">
        <w:rPr>
          <w:rFonts w:hint="cs"/>
          <w:rtl/>
        </w:rPr>
        <w:t xml:space="preserve">קיים מוסד תכנון </w:t>
      </w:r>
      <w:r w:rsidRPr="0043331E">
        <w:rPr>
          <w:rFonts w:hint="cs"/>
          <w:u w:val="single"/>
          <w:rtl/>
        </w:rPr>
        <w:t>דיון חוזר</w:t>
      </w:r>
      <w:r w:rsidRPr="0043331E">
        <w:rPr>
          <w:rFonts w:hint="cs"/>
          <w:rtl/>
        </w:rPr>
        <w:t xml:space="preserve">, יכריע </w:t>
      </w:r>
      <w:proofErr w:type="spellStart"/>
      <w:r w:rsidRPr="0043331E">
        <w:rPr>
          <w:rFonts w:hint="cs"/>
          <w:rtl/>
        </w:rPr>
        <w:t>בענין</w:t>
      </w:r>
      <w:proofErr w:type="spellEnd"/>
      <w:r w:rsidRPr="0043331E">
        <w:rPr>
          <w:rFonts w:hint="cs"/>
          <w:rtl/>
        </w:rPr>
        <w:t xml:space="preserve"> </w:t>
      </w:r>
      <w:r w:rsidRPr="0043331E">
        <w:rPr>
          <w:rFonts w:hint="cs"/>
          <w:u w:val="single"/>
          <w:rtl/>
        </w:rPr>
        <w:t>בתוך שלושים ימים</w:t>
      </w:r>
      <w:r w:rsidRPr="0043331E">
        <w:rPr>
          <w:rFonts w:hint="cs"/>
          <w:rtl/>
        </w:rPr>
        <w:t xml:space="preserve"> ממועד הדיון.</w:t>
      </w:r>
      <w:r>
        <w:rPr>
          <w:rFonts w:hint="cs"/>
          <w:rtl/>
        </w:rPr>
        <w:t>"</w:t>
      </w:r>
    </w:p>
    <w:p w14:paraId="67EF7C68" w14:textId="77777777" w:rsidR="00BE7827" w:rsidRPr="0043331E" w:rsidRDefault="00BE7827" w:rsidP="00BE7827">
      <w:pPr>
        <w:pStyle w:val="af1"/>
        <w:spacing w:after="240" w:line="240" w:lineRule="auto"/>
        <w:ind w:left="1463" w:right="992" w:hanging="284"/>
        <w:jc w:val="right"/>
        <w:rPr>
          <w:rFonts w:ascii="David" w:hAnsi="David" w:cs="David"/>
        </w:rPr>
      </w:pPr>
      <w:r w:rsidRPr="0043331E">
        <w:rPr>
          <w:rFonts w:ascii="David" w:hAnsi="David" w:cs="David"/>
          <w:rtl/>
        </w:rPr>
        <w:t>(ההדגשות אינן במקור, הח"מ)</w:t>
      </w:r>
    </w:p>
    <w:p w14:paraId="69849A30" w14:textId="5C3AB27A" w:rsidR="00DB76BC" w:rsidRDefault="00DB76BC" w:rsidP="00974779">
      <w:pPr>
        <w:pStyle w:val="af"/>
        <w:numPr>
          <w:ilvl w:val="0"/>
          <w:numId w:val="1"/>
        </w:numPr>
        <w:spacing w:line="360" w:lineRule="auto"/>
        <w:ind w:left="470" w:right="-142" w:hanging="425"/>
        <w:contextualSpacing w:val="0"/>
        <w:jc w:val="both"/>
        <w:rPr>
          <w:rFonts w:cs="David"/>
          <w:sz w:val="24"/>
          <w:szCs w:val="24"/>
        </w:rPr>
      </w:pPr>
      <w:r w:rsidRPr="00DB76BC">
        <w:rPr>
          <w:rFonts w:cs="David" w:hint="cs"/>
          <w:sz w:val="24"/>
          <w:szCs w:val="24"/>
          <w:rtl/>
        </w:rPr>
        <w:t xml:space="preserve">הנה כי כן, הליך קיומו של דיון חוזר בהחלטת מוסד התכנון מבוסס על מתכונת מדורגת: בשלב הראשון נערך הדיון על סמך נימוקי הבקשה לדיון החוזר וללא מתן זכות טיעון לצדדים. אם בתום השלב הראשון מתקבלת החלטה לשנות את החלטת ועדת המשנה, ורק במקרה כזה, מתקיים השלב השני בהליך שבו ניתנת זכות טיעון לכל הצדדים הנוגעים בדבר, בכתב או בעל פה. </w:t>
      </w:r>
    </w:p>
    <w:p w14:paraId="1F1C1FAC" w14:textId="77777777" w:rsidR="00BE7827" w:rsidRPr="00DB76BC" w:rsidRDefault="00DB76BC" w:rsidP="00DB76BC">
      <w:pPr>
        <w:pStyle w:val="af"/>
        <w:numPr>
          <w:ilvl w:val="0"/>
          <w:numId w:val="1"/>
        </w:numPr>
        <w:spacing w:after="120" w:line="360" w:lineRule="auto"/>
        <w:ind w:left="470" w:right="-142" w:hanging="425"/>
        <w:contextualSpacing w:val="0"/>
        <w:jc w:val="both"/>
        <w:rPr>
          <w:rFonts w:cs="David"/>
          <w:sz w:val="24"/>
          <w:szCs w:val="24"/>
        </w:rPr>
      </w:pPr>
      <w:r w:rsidRPr="00DB76BC">
        <w:rPr>
          <w:rFonts w:cs="David" w:hint="cs"/>
          <w:sz w:val="24"/>
          <w:szCs w:val="24"/>
          <w:rtl/>
        </w:rPr>
        <w:t>עמדה על כ</w:t>
      </w:r>
      <w:r>
        <w:rPr>
          <w:rFonts w:cs="David" w:hint="cs"/>
          <w:sz w:val="24"/>
          <w:szCs w:val="24"/>
          <w:rtl/>
        </w:rPr>
        <w:t>ך</w:t>
      </w:r>
      <w:r w:rsidRPr="00DB76BC">
        <w:rPr>
          <w:rFonts w:cs="David" w:hint="cs"/>
          <w:sz w:val="24"/>
          <w:szCs w:val="24"/>
          <w:rtl/>
        </w:rPr>
        <w:t xml:space="preserve"> </w:t>
      </w:r>
      <w:r w:rsidR="00BE7827" w:rsidRPr="00DB76BC">
        <w:rPr>
          <w:rFonts w:cs="David" w:hint="cs"/>
          <w:sz w:val="24"/>
          <w:szCs w:val="24"/>
          <w:rtl/>
        </w:rPr>
        <w:t xml:space="preserve">כב' </w:t>
      </w:r>
      <w:proofErr w:type="spellStart"/>
      <w:r w:rsidR="00BE7827" w:rsidRPr="00DB76BC">
        <w:rPr>
          <w:rFonts w:cs="David" w:hint="cs"/>
          <w:sz w:val="24"/>
          <w:szCs w:val="24"/>
          <w:rtl/>
        </w:rPr>
        <w:t>הש</w:t>
      </w:r>
      <w:proofErr w:type="spellEnd"/>
      <w:r w:rsidR="00BE7827" w:rsidRPr="00DB76BC">
        <w:rPr>
          <w:rFonts w:cs="David" w:hint="cs"/>
          <w:sz w:val="24"/>
          <w:szCs w:val="24"/>
          <w:rtl/>
        </w:rPr>
        <w:t>' א' חיות (כתוארה דאז) ב</w:t>
      </w:r>
      <w:r>
        <w:rPr>
          <w:rFonts w:cs="David" w:hint="cs"/>
          <w:sz w:val="24"/>
          <w:szCs w:val="24"/>
          <w:rtl/>
        </w:rPr>
        <w:t xml:space="preserve">פסק דינה </w:t>
      </w:r>
      <w:proofErr w:type="spellStart"/>
      <w:r>
        <w:rPr>
          <w:rFonts w:cs="David" w:hint="cs"/>
          <w:sz w:val="24"/>
          <w:szCs w:val="24"/>
          <w:rtl/>
        </w:rPr>
        <w:t>ב</w:t>
      </w:r>
      <w:r w:rsidR="00BE7827" w:rsidRPr="00DB76BC">
        <w:rPr>
          <w:rFonts w:cs="David" w:hint="cs"/>
          <w:sz w:val="24"/>
          <w:szCs w:val="24"/>
          <w:rtl/>
        </w:rPr>
        <w:t>עע"מ</w:t>
      </w:r>
      <w:proofErr w:type="spellEnd"/>
      <w:r w:rsidR="00BE7827" w:rsidRPr="00DB76BC">
        <w:rPr>
          <w:rFonts w:cs="David" w:hint="cs"/>
          <w:sz w:val="24"/>
          <w:szCs w:val="24"/>
          <w:rtl/>
        </w:rPr>
        <w:t xml:space="preserve"> 2418/05 </w:t>
      </w:r>
      <w:r w:rsidR="00BE7827" w:rsidRPr="00DB76BC">
        <w:rPr>
          <w:rFonts w:cs="David" w:hint="cs"/>
          <w:b/>
          <w:bCs/>
          <w:sz w:val="24"/>
          <w:szCs w:val="24"/>
          <w:rtl/>
        </w:rPr>
        <w:t xml:space="preserve">צ'רלס </w:t>
      </w:r>
      <w:proofErr w:type="spellStart"/>
      <w:r w:rsidR="00BE7827" w:rsidRPr="00DB76BC">
        <w:rPr>
          <w:rFonts w:cs="David" w:hint="cs"/>
          <w:b/>
          <w:bCs/>
          <w:sz w:val="24"/>
          <w:szCs w:val="24"/>
          <w:rtl/>
        </w:rPr>
        <w:t>מילגרום</w:t>
      </w:r>
      <w:proofErr w:type="spellEnd"/>
      <w:r w:rsidR="00BE7827" w:rsidRPr="00DB76BC">
        <w:rPr>
          <w:rFonts w:cs="David" w:hint="cs"/>
          <w:b/>
          <w:bCs/>
          <w:sz w:val="24"/>
          <w:szCs w:val="24"/>
          <w:rtl/>
        </w:rPr>
        <w:t xml:space="preserve"> נ' הוועדה המחוזית לתכנון ובניה ירושלים</w:t>
      </w:r>
      <w:r w:rsidR="00BE7827" w:rsidRPr="00DB76BC">
        <w:rPr>
          <w:rFonts w:cs="David" w:hint="cs"/>
          <w:sz w:val="24"/>
          <w:szCs w:val="24"/>
          <w:rtl/>
        </w:rPr>
        <w:t xml:space="preserve"> (פורסם בנבו, 24.11.2005)</w:t>
      </w:r>
      <w:r>
        <w:rPr>
          <w:rFonts w:cs="David" w:hint="cs"/>
          <w:sz w:val="24"/>
          <w:szCs w:val="24"/>
          <w:rtl/>
        </w:rPr>
        <w:t xml:space="preserve">, </w:t>
      </w:r>
      <w:r w:rsidR="00BE7827" w:rsidRPr="00DB76BC">
        <w:rPr>
          <w:rFonts w:cs="David" w:hint="cs"/>
          <w:sz w:val="24"/>
          <w:szCs w:val="24"/>
          <w:rtl/>
        </w:rPr>
        <w:t>פיסקה 20:</w:t>
      </w:r>
    </w:p>
    <w:p w14:paraId="14F7C31B" w14:textId="77777777" w:rsidR="00BE7827" w:rsidRPr="004A5DBB" w:rsidRDefault="00BE7827" w:rsidP="00DB76BC">
      <w:pPr>
        <w:pStyle w:val="af1"/>
        <w:spacing w:after="240" w:line="240" w:lineRule="auto"/>
        <w:ind w:left="1321" w:right="992" w:hanging="142"/>
      </w:pPr>
      <w:r w:rsidRPr="004A5DBB">
        <w:rPr>
          <w:rFonts w:hint="cs"/>
          <w:rtl/>
        </w:rPr>
        <w:lastRenderedPageBreak/>
        <w:t xml:space="preserve">"(...) מתוך הוראות </w:t>
      </w:r>
      <w:hyperlink r:id="rId23" w:history="1">
        <w:r w:rsidRPr="004A5DBB">
          <w:rPr>
            <w:rtl/>
          </w:rPr>
          <w:t>תקנה 5</w:t>
        </w:r>
      </w:hyperlink>
      <w:r w:rsidRPr="004A5DBB">
        <w:rPr>
          <w:rFonts w:hint="cs"/>
          <w:rtl/>
        </w:rPr>
        <w:t xml:space="preserve"> עולה, אפוא, מתכונת דו שלבית לדיון החוזר המתקיים בפני מוסד התכנון. תחילה, מקיים מוסד התכנון דיון אשר בו אין לצדדים הנוגעים בדבר זכות להשמיע טיעונים. זהו מעין דיון סף המתקיים על בסיס הטענות הכתובות המועלות בבקשה לדיון חוזר, ובו מחליט מוסד התכנון האם מעלה הבקשה על פניה נימוקים המצדיקים החזרת הדיון אל ועדת המשנה, אף בלא צורך לשמוע את טענות כל הצדדים הנוגעים בדבר, או שהוא מחליט להותיר את החלטת ועדת המשנה על כנה, משום שמצא שאין בבקשה ממש על פניה ומן הראוי לדחותה, אף זאת בלא צורך לשמוע טיעונים נוספים של הצדדים הנוגעים בדבר. לעומת זאת, אם סבור מוסד התכנון כי יש מקום לשנות מהחלטת ועדת המשנה, עליו לקיים את השלב השני של הדיון החוזר ולאפשר לכל הצדדים הנוגעים בדבר להשמיע את טענותיהם בכתב או בעל-פה, כאמור ב</w:t>
      </w:r>
      <w:hyperlink r:id="rId24" w:history="1">
        <w:r w:rsidRPr="004A5DBB">
          <w:rPr>
            <w:rtl/>
          </w:rPr>
          <w:t>תקנה 5(ב)</w:t>
        </w:r>
      </w:hyperlink>
      <w:r w:rsidRPr="004A5DBB">
        <w:rPr>
          <w:rFonts w:hint="cs"/>
          <w:rtl/>
        </w:rPr>
        <w:t xml:space="preserve">. בשלב זה של הדיון מוסמך מוסד התכנון </w:t>
      </w:r>
      <w:proofErr w:type="spellStart"/>
      <w:r w:rsidRPr="004A5DBB">
        <w:rPr>
          <w:rFonts w:hint="cs"/>
          <w:rtl/>
        </w:rPr>
        <w:t>ליתן</w:t>
      </w:r>
      <w:proofErr w:type="spellEnd"/>
      <w:r w:rsidRPr="004A5DBB">
        <w:rPr>
          <w:rFonts w:hint="cs"/>
          <w:rtl/>
        </w:rPr>
        <w:t xml:space="preserve"> הוראות מתאימות לעניין הגשת כל חומר הנוגע לעניין, ובמסגרת זו רשאי מוסד התכנון להפעיל את שיקול הדעת המסור לו ולמקד את הדיון מבחינת הטיעונים ומבחינת החומר המוגש, לאותם עניינים הצריכים להחלטה."</w:t>
      </w:r>
    </w:p>
    <w:p w14:paraId="0004B070" w14:textId="42726DD2" w:rsidR="007D62F8" w:rsidRDefault="00DB76BC"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במקרה שלפנינו, לא התקיים הדיון במתכונת דו-שלבית: </w:t>
      </w:r>
      <w:r w:rsidR="00C73ED4">
        <w:rPr>
          <w:rFonts w:cs="David" w:hint="cs"/>
          <w:sz w:val="24"/>
          <w:szCs w:val="24"/>
          <w:rtl/>
        </w:rPr>
        <w:t>בתום הדיון הארוך שנערך ביום 11.6.2023 - דיון שהוקדש ברובו המכריע לנושא היתרונות שצומחים ל</w:t>
      </w:r>
      <w:r w:rsidR="007E0025">
        <w:rPr>
          <w:rFonts w:cs="David" w:hint="cs"/>
          <w:sz w:val="24"/>
          <w:szCs w:val="24"/>
          <w:rtl/>
        </w:rPr>
        <w:t>עירייה, כבעלת זכויות במקרקעין,</w:t>
      </w:r>
      <w:r w:rsidR="00C73ED4">
        <w:rPr>
          <w:rFonts w:cs="David" w:hint="cs"/>
          <w:sz w:val="24"/>
          <w:szCs w:val="24"/>
          <w:rtl/>
        </w:rPr>
        <w:t xml:space="preserve"> כתוצאה מהתוכנית המפורטת - קיבלה </w:t>
      </w:r>
      <w:r>
        <w:rPr>
          <w:rFonts w:cs="David" w:hint="cs"/>
          <w:sz w:val="24"/>
          <w:szCs w:val="24"/>
          <w:rtl/>
        </w:rPr>
        <w:t>הוועדה המקומית החלטה אחת ויחידה: החלטה שלפיה היא לא מאשרת את החלטת ועדת המשנה על הפקדת התוכנית.</w:t>
      </w:r>
      <w:r w:rsidR="007D62F8">
        <w:rPr>
          <w:rFonts w:cs="David" w:hint="cs"/>
          <w:sz w:val="24"/>
          <w:szCs w:val="24"/>
          <w:rtl/>
        </w:rPr>
        <w:t xml:space="preserve"> </w:t>
      </w:r>
    </w:p>
    <w:p w14:paraId="4EF1730E" w14:textId="77777777" w:rsidR="007D62F8" w:rsidRDefault="007D62F8" w:rsidP="007D62F8">
      <w:pPr>
        <w:pStyle w:val="af"/>
        <w:numPr>
          <w:ilvl w:val="0"/>
          <w:numId w:val="1"/>
        </w:numPr>
        <w:spacing w:after="0" w:line="360" w:lineRule="auto"/>
        <w:ind w:left="470" w:right="-142" w:hanging="425"/>
        <w:contextualSpacing w:val="0"/>
        <w:jc w:val="both"/>
        <w:rPr>
          <w:rFonts w:cs="David"/>
          <w:sz w:val="24"/>
          <w:szCs w:val="24"/>
        </w:rPr>
      </w:pPr>
      <w:r>
        <w:rPr>
          <w:rFonts w:cs="David" w:hint="cs"/>
          <w:sz w:val="24"/>
          <w:szCs w:val="24"/>
          <w:rtl/>
        </w:rPr>
        <w:t xml:space="preserve">יובהר: התקנות אינן בגדר המלצה, ולא הותקנו על ידי שר הפנים לתפארת המליצה בלבד. כפי שציין יצחק זמיר במאמרו </w:t>
      </w:r>
      <w:r w:rsidRPr="000D260C">
        <w:rPr>
          <w:rFonts w:cs="David"/>
          <w:sz w:val="24"/>
          <w:szCs w:val="24"/>
          <w:rtl/>
        </w:rPr>
        <w:t>"השופט יואל זוסמן: עם פרישתו מבית המשפט העליון</w:t>
      </w:r>
      <w:r>
        <w:rPr>
          <w:rFonts w:cs="David" w:hint="cs"/>
          <w:sz w:val="24"/>
          <w:szCs w:val="24"/>
          <w:rtl/>
        </w:rPr>
        <w:t xml:space="preserve">" </w:t>
      </w:r>
      <w:r w:rsidRPr="000D260C">
        <w:rPr>
          <w:rFonts w:cs="David" w:hint="cs"/>
          <w:b/>
          <w:bCs/>
          <w:sz w:val="24"/>
          <w:szCs w:val="24"/>
          <w:rtl/>
        </w:rPr>
        <w:t>משפטים</w:t>
      </w:r>
      <w:r>
        <w:rPr>
          <w:rFonts w:cs="David" w:hint="cs"/>
          <w:sz w:val="24"/>
          <w:szCs w:val="24"/>
          <w:rtl/>
        </w:rPr>
        <w:t xml:space="preserve"> </w:t>
      </w:r>
      <w:r w:rsidRPr="000D260C">
        <w:rPr>
          <w:rFonts w:cs="David" w:hint="cs"/>
          <w:b/>
          <w:bCs/>
          <w:sz w:val="24"/>
          <w:szCs w:val="24"/>
          <w:rtl/>
        </w:rPr>
        <w:t xml:space="preserve">י </w:t>
      </w:r>
      <w:r>
        <w:rPr>
          <w:rFonts w:cs="David" w:hint="cs"/>
          <w:sz w:val="24"/>
          <w:szCs w:val="24"/>
          <w:rtl/>
        </w:rPr>
        <w:t>(</w:t>
      </w:r>
      <w:proofErr w:type="spellStart"/>
      <w:r>
        <w:rPr>
          <w:rFonts w:cs="David" w:hint="cs"/>
          <w:sz w:val="24"/>
          <w:szCs w:val="24"/>
          <w:rtl/>
        </w:rPr>
        <w:t>תש"ם</w:t>
      </w:r>
      <w:proofErr w:type="spellEnd"/>
      <w:r>
        <w:rPr>
          <w:rFonts w:cs="David" w:hint="cs"/>
          <w:sz w:val="24"/>
          <w:szCs w:val="24"/>
          <w:rtl/>
        </w:rPr>
        <w:t>), 187 בעמ' 190:</w:t>
      </w:r>
    </w:p>
    <w:p w14:paraId="1FD7CD09" w14:textId="77777777" w:rsidR="007D62F8" w:rsidRPr="000D260C" w:rsidRDefault="007D62F8" w:rsidP="007D62F8">
      <w:pPr>
        <w:pStyle w:val="af1"/>
        <w:spacing w:after="240" w:line="240" w:lineRule="auto"/>
        <w:ind w:left="1321" w:right="992" w:hanging="142"/>
      </w:pPr>
      <w:r w:rsidRPr="000D260C">
        <w:rPr>
          <w:rFonts w:hint="cs"/>
          <w:rtl/>
        </w:rPr>
        <w:t xml:space="preserve">"תשעה </w:t>
      </w:r>
      <w:proofErr w:type="spellStart"/>
      <w:r w:rsidRPr="000D260C">
        <w:rPr>
          <w:rFonts w:hint="cs"/>
          <w:rtl/>
        </w:rPr>
        <w:t>קבין</w:t>
      </w:r>
      <w:proofErr w:type="spellEnd"/>
      <w:r w:rsidRPr="000D260C">
        <w:rPr>
          <w:rFonts w:hint="cs"/>
          <w:rtl/>
        </w:rPr>
        <w:t xml:space="preserve"> של הגנה על האזרח מפני פגיעה בזכויותיו על ידי רשות </w:t>
      </w:r>
      <w:proofErr w:type="spellStart"/>
      <w:r w:rsidRPr="000D260C">
        <w:rPr>
          <w:rFonts w:hint="cs"/>
          <w:rtl/>
        </w:rPr>
        <w:t>מינהלית</w:t>
      </w:r>
      <w:proofErr w:type="spellEnd"/>
      <w:r w:rsidRPr="000D260C">
        <w:rPr>
          <w:rFonts w:hint="cs"/>
          <w:rtl/>
        </w:rPr>
        <w:t xml:space="preserve"> נובעים מן הפרוצדורה</w:t>
      </w:r>
      <w:r>
        <w:rPr>
          <w:rFonts w:hint="cs"/>
          <w:rtl/>
        </w:rPr>
        <w:t>.</w:t>
      </w:r>
      <w:r w:rsidRPr="000D260C">
        <w:rPr>
          <w:rFonts w:hint="cs"/>
          <w:rtl/>
        </w:rPr>
        <w:t>"</w:t>
      </w:r>
    </w:p>
    <w:p w14:paraId="34E197A7" w14:textId="196F4426" w:rsidR="007D62F8" w:rsidRDefault="007D62F8"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המתכונת הדו-שלבית שהוגדרה בתקנות משקפת איזון בין הצורך בקידום יעיל של ההליך התכנוני לבין שמירת זכות הטיעון של מי שעלול להיפגע כתוצאה מביטול החלטה של ועדת המשנה. מתכונת זו מאפשרת לנוגעים בדבר לממש את זכות הטיעון שלהם</w:t>
      </w:r>
      <w:r w:rsidR="007B4CD6">
        <w:rPr>
          <w:rFonts w:cs="David" w:hint="cs"/>
          <w:sz w:val="24"/>
          <w:szCs w:val="24"/>
          <w:rtl/>
        </w:rPr>
        <w:t>,</w:t>
      </w:r>
      <w:r>
        <w:rPr>
          <w:rFonts w:cs="David" w:hint="cs"/>
          <w:sz w:val="24"/>
          <w:szCs w:val="24"/>
          <w:rtl/>
        </w:rPr>
        <w:t xml:space="preserve"> </w:t>
      </w:r>
      <w:r w:rsidR="007B4CD6">
        <w:rPr>
          <w:rFonts w:cs="David" w:hint="cs"/>
          <w:sz w:val="24"/>
          <w:szCs w:val="24"/>
          <w:rtl/>
        </w:rPr>
        <w:t xml:space="preserve">אם וכאשר מתקבלת החלטה </w:t>
      </w:r>
      <w:r>
        <w:rPr>
          <w:rFonts w:cs="David" w:hint="cs"/>
          <w:sz w:val="24"/>
          <w:szCs w:val="24"/>
          <w:rtl/>
        </w:rPr>
        <w:t>לשנות את החלטת ועדת המשנה.</w:t>
      </w:r>
    </w:p>
    <w:p w14:paraId="4D83C326" w14:textId="77777777" w:rsidR="00700B8A" w:rsidRPr="007B4CD6" w:rsidRDefault="00700B8A" w:rsidP="00700B8A">
      <w:pPr>
        <w:spacing w:line="360" w:lineRule="auto"/>
        <w:ind w:right="-142"/>
        <w:jc w:val="both"/>
        <w:rPr>
          <w:rFonts w:cs="David"/>
          <w:sz w:val="24"/>
          <w:szCs w:val="24"/>
          <w:rtl/>
        </w:rPr>
      </w:pPr>
    </w:p>
    <w:p w14:paraId="52E26EB5" w14:textId="77777777" w:rsidR="00700B8A" w:rsidRPr="00700B8A" w:rsidRDefault="00700B8A" w:rsidP="00700B8A">
      <w:pPr>
        <w:spacing w:line="360" w:lineRule="auto"/>
        <w:ind w:right="-142"/>
        <w:jc w:val="both"/>
        <w:rPr>
          <w:rFonts w:cs="David"/>
          <w:sz w:val="24"/>
          <w:szCs w:val="24"/>
          <w:u w:val="single"/>
        </w:rPr>
      </w:pPr>
      <w:r w:rsidRPr="00700B8A">
        <w:rPr>
          <w:rFonts w:cs="David" w:hint="cs"/>
          <w:sz w:val="24"/>
          <w:szCs w:val="24"/>
          <w:u w:val="single"/>
          <w:rtl/>
        </w:rPr>
        <w:t>הפגיעה בזכות הטיעון של העוררת</w:t>
      </w:r>
    </w:p>
    <w:p w14:paraId="53BDF0CA" w14:textId="77777777" w:rsidR="00AA6CE1" w:rsidRDefault="007D62F8"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קבלת מידע היא תנאי למימוש זכות הטיעון. </w:t>
      </w:r>
      <w:r w:rsidR="00AA6CE1">
        <w:rPr>
          <w:rFonts w:cs="David" w:hint="cs"/>
          <w:sz w:val="24"/>
          <w:szCs w:val="24"/>
          <w:rtl/>
        </w:rPr>
        <w:t>"</w:t>
      </w:r>
      <w:r w:rsidR="00AA6CE1" w:rsidRPr="00AA6CE1">
        <w:rPr>
          <w:rFonts w:ascii="FrankRuehl" w:hAnsi="FrankRuehl" w:cs="FrankRuehl"/>
          <w:sz w:val="24"/>
          <w:szCs w:val="24"/>
          <w:rtl/>
        </w:rPr>
        <w:t>באופן עקרוני, טיעון אפקטיבי מחייב ידיעה של הטענות שבהן אמורה רשות להחליט</w:t>
      </w:r>
      <w:r w:rsidR="00AA6CE1">
        <w:rPr>
          <w:rFonts w:cs="David" w:hint="cs"/>
          <w:sz w:val="24"/>
          <w:szCs w:val="24"/>
          <w:rtl/>
        </w:rPr>
        <w:t>" (</w:t>
      </w:r>
      <w:r w:rsidR="00AA6CE1" w:rsidRPr="00AA6CE1">
        <w:rPr>
          <w:rFonts w:cs="David" w:hint="cs"/>
          <w:b/>
          <w:bCs/>
          <w:sz w:val="24"/>
          <w:szCs w:val="24"/>
          <w:rtl/>
        </w:rPr>
        <w:t>ברק-ארז</w:t>
      </w:r>
      <w:r w:rsidR="00AA6CE1">
        <w:rPr>
          <w:rFonts w:cs="David" w:hint="cs"/>
          <w:sz w:val="24"/>
          <w:szCs w:val="24"/>
          <w:rtl/>
        </w:rPr>
        <w:t>, עמ' 499).</w:t>
      </w:r>
    </w:p>
    <w:p w14:paraId="57885069" w14:textId="77777777" w:rsidR="007B4CD6" w:rsidRDefault="00AA6CE1"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במקרה ז</w:t>
      </w:r>
      <w:r w:rsidR="00D43065">
        <w:rPr>
          <w:rFonts w:cs="David" w:hint="cs"/>
          <w:sz w:val="24"/>
          <w:szCs w:val="24"/>
          <w:rtl/>
        </w:rPr>
        <w:t>ה</w:t>
      </w:r>
      <w:r>
        <w:rPr>
          <w:rFonts w:cs="David" w:hint="cs"/>
          <w:sz w:val="24"/>
          <w:szCs w:val="24"/>
          <w:rtl/>
        </w:rPr>
        <w:t xml:space="preserve">, </w:t>
      </w:r>
      <w:r w:rsidR="00D43065">
        <w:rPr>
          <w:rFonts w:cs="David" w:hint="cs"/>
          <w:sz w:val="24"/>
          <w:szCs w:val="24"/>
          <w:rtl/>
        </w:rPr>
        <w:t xml:space="preserve">לא קיבלו </w:t>
      </w:r>
      <w:r w:rsidR="00DB76BC">
        <w:rPr>
          <w:rFonts w:cs="David" w:hint="cs"/>
          <w:sz w:val="24"/>
          <w:szCs w:val="24"/>
          <w:rtl/>
        </w:rPr>
        <w:t>נציגי העוררת זכות טיעון כדין.</w:t>
      </w:r>
      <w:r w:rsidR="00C73ED4">
        <w:rPr>
          <w:rFonts w:cs="David" w:hint="cs"/>
          <w:sz w:val="24"/>
          <w:szCs w:val="24"/>
          <w:rtl/>
        </w:rPr>
        <w:t xml:space="preserve"> </w:t>
      </w:r>
    </w:p>
    <w:p w14:paraId="069516BC" w14:textId="77777777" w:rsidR="007B4CD6" w:rsidRDefault="007B4CD6" w:rsidP="007B4CD6">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טרם כניסתו של נציג העוררת לאולם הדיונים לא התקבלה החלטה לשנות את החלטת ועדת המשנה, וממילא לא הודע על קיומה של החלטה כאמור לנציג העוררת. </w:t>
      </w:r>
    </w:p>
    <w:p w14:paraId="2095E27F" w14:textId="3AD4DF35" w:rsidR="007B4CD6" w:rsidRDefault="007B4CD6" w:rsidP="007B4CD6">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בנוסף, לא הוצגו בפני נציג העוררת הטענות או הנושאים העיקריים שנדונו טרם כניסתו לדיון, לא ניתנה לו הזדמנות להתייחס אליהם או לנושאים שעלו לאחר צאתו מאולם הדיון </w:t>
      </w:r>
      <w:r>
        <w:rPr>
          <w:rFonts w:cs="David"/>
          <w:sz w:val="24"/>
          <w:szCs w:val="24"/>
          <w:rtl/>
        </w:rPr>
        <w:t>–</w:t>
      </w:r>
      <w:r>
        <w:rPr>
          <w:rFonts w:cs="David" w:hint="cs"/>
          <w:sz w:val="24"/>
          <w:szCs w:val="24"/>
          <w:rtl/>
        </w:rPr>
        <w:t xml:space="preserve"> זכויות הבנייה, התועלות הציבוריות והשלביות </w:t>
      </w:r>
      <w:r>
        <w:rPr>
          <w:rFonts w:cs="David"/>
          <w:sz w:val="24"/>
          <w:szCs w:val="24"/>
          <w:rtl/>
        </w:rPr>
        <w:t>–</w:t>
      </w:r>
      <w:r>
        <w:rPr>
          <w:rFonts w:cs="David" w:hint="cs"/>
          <w:sz w:val="24"/>
          <w:szCs w:val="24"/>
          <w:rtl/>
        </w:rPr>
        <w:t xml:space="preserve"> נושאים שעמדו בבסיס ההחלטה שלא נומקה, וזאת לטענת הוועדה המקומית עצמה.</w:t>
      </w:r>
    </w:p>
    <w:p w14:paraId="38CB69D2" w14:textId="70C40D9C" w:rsidR="00C73ED4" w:rsidRDefault="00C73ED4"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lastRenderedPageBreak/>
        <w:t>כאמור,</w:t>
      </w:r>
      <w:r w:rsidR="00DB76BC">
        <w:rPr>
          <w:rFonts w:cs="David" w:hint="cs"/>
          <w:sz w:val="24"/>
          <w:szCs w:val="24"/>
          <w:rtl/>
        </w:rPr>
        <w:t xml:space="preserve"> </w:t>
      </w:r>
      <w:r>
        <w:rPr>
          <w:rFonts w:cs="David" w:hint="cs"/>
          <w:sz w:val="24"/>
          <w:szCs w:val="24"/>
          <w:rtl/>
        </w:rPr>
        <w:t>רוב רובו של הדיון הוקדש לשאלה אם התוכנית משיאה תועלות ציבוריות מספיקות לוועדה המקומית. מתמליל הדיון עולה, שנציגי העוררת</w:t>
      </w:r>
      <w:r w:rsidR="00B5298A">
        <w:rPr>
          <w:rFonts w:cs="David" w:hint="cs"/>
          <w:sz w:val="24"/>
          <w:szCs w:val="24"/>
          <w:rtl/>
        </w:rPr>
        <w:t xml:space="preserve"> ובעלי הזכויות</w:t>
      </w:r>
      <w:r>
        <w:rPr>
          <w:rFonts w:cs="David" w:hint="cs"/>
          <w:sz w:val="24"/>
          <w:szCs w:val="24"/>
          <w:rtl/>
        </w:rPr>
        <w:t xml:space="preserve"> הוזמנו להיכנס לאולם הדיונים לאחר כ- 50 עמודים של תמליל, </w:t>
      </w:r>
      <w:r w:rsidR="00562FB9">
        <w:rPr>
          <w:rFonts w:cs="David" w:hint="cs"/>
          <w:sz w:val="24"/>
          <w:szCs w:val="24"/>
          <w:rtl/>
        </w:rPr>
        <w:t xml:space="preserve">על מנת </w:t>
      </w:r>
      <w:r>
        <w:rPr>
          <w:rFonts w:cs="David" w:hint="cs"/>
          <w:sz w:val="24"/>
          <w:szCs w:val="24"/>
          <w:rtl/>
        </w:rPr>
        <w:t xml:space="preserve"> להשיב לשאלות</w:t>
      </w:r>
      <w:r w:rsidR="00562FB9">
        <w:rPr>
          <w:rFonts w:cs="David" w:hint="cs"/>
          <w:sz w:val="24"/>
          <w:szCs w:val="24"/>
          <w:rtl/>
        </w:rPr>
        <w:t xml:space="preserve"> של חברי הוועדה ולא על מנת לממש את זכות הטיעון שלהם</w:t>
      </w:r>
      <w:r>
        <w:rPr>
          <w:rFonts w:cs="David" w:hint="cs"/>
          <w:sz w:val="24"/>
          <w:szCs w:val="24"/>
          <w:rtl/>
        </w:rPr>
        <w:t>:</w:t>
      </w:r>
    </w:p>
    <w:p w14:paraId="6EA78177" w14:textId="77777777" w:rsidR="00C73ED4" w:rsidRPr="00562FB9" w:rsidRDefault="00C73ED4" w:rsidP="00562FB9">
      <w:pPr>
        <w:pStyle w:val="af1"/>
        <w:spacing w:after="120" w:line="240" w:lineRule="auto"/>
        <w:ind w:left="1321" w:right="992" w:hanging="142"/>
        <w:rPr>
          <w:rtl/>
        </w:rPr>
      </w:pPr>
      <w:r w:rsidRPr="00562FB9">
        <w:rPr>
          <w:rFonts w:hint="cs"/>
          <w:rtl/>
        </w:rPr>
        <w:t>"</w:t>
      </w:r>
      <w:r w:rsidR="00562FB9">
        <w:rPr>
          <w:rFonts w:hint="cs"/>
          <w:rtl/>
        </w:rPr>
        <w:t xml:space="preserve"> </w:t>
      </w:r>
      <w:r w:rsidRPr="00562FB9">
        <w:rPr>
          <w:rFonts w:hint="cs"/>
          <w:b/>
          <w:bCs/>
          <w:u w:val="single"/>
          <w:rtl/>
        </w:rPr>
        <w:t>גב' כנרת אלישע כהן</w:t>
      </w:r>
      <w:r w:rsidRPr="00562FB9">
        <w:rPr>
          <w:rFonts w:hint="cs"/>
          <w:rtl/>
        </w:rPr>
        <w:t>: אוקי. אז אתם הוזמנתם כי העלו פה גם קודם כל שחברי הוועדה, אם יש להם שאלות, יוכלו לשאול. אז אתם רוצים לשאול, להתחיל? משה, אלון, אתם הבאתם את זה, את הדיון לפה חזרה.</w:t>
      </w:r>
    </w:p>
    <w:p w14:paraId="2B1EACD1" w14:textId="77777777" w:rsidR="00C73ED4" w:rsidRPr="00562FB9" w:rsidRDefault="00C73ED4" w:rsidP="00562FB9">
      <w:pPr>
        <w:pStyle w:val="af1"/>
        <w:spacing w:after="120" w:line="240" w:lineRule="auto"/>
        <w:ind w:left="1321" w:right="992" w:hanging="2"/>
        <w:rPr>
          <w:rtl/>
        </w:rPr>
      </w:pPr>
      <w:r w:rsidRPr="00562FB9">
        <w:rPr>
          <w:rFonts w:hint="cs"/>
          <w:b/>
          <w:bCs/>
          <w:u w:val="single"/>
          <w:rtl/>
        </w:rPr>
        <w:t>מר משה חנוכה</w:t>
      </w:r>
      <w:r w:rsidRPr="00562FB9">
        <w:rPr>
          <w:rFonts w:hint="cs"/>
          <w:rtl/>
        </w:rPr>
        <w:t xml:space="preserve">: השאלות שלי הן כמו שאמרתי הן לא ליזם, כמו גם הטענות שלי, אז אין לנו שאלות- </w:t>
      </w:r>
    </w:p>
    <w:p w14:paraId="52D887B2" w14:textId="77777777" w:rsidR="00C73ED4" w:rsidRPr="00562FB9" w:rsidRDefault="00562FB9" w:rsidP="00562FB9">
      <w:pPr>
        <w:pStyle w:val="af1"/>
        <w:spacing w:after="120" w:line="240" w:lineRule="auto"/>
        <w:ind w:left="1321" w:right="992" w:hanging="2"/>
      </w:pPr>
      <w:r w:rsidRPr="00562FB9">
        <w:rPr>
          <w:rFonts w:hint="cs"/>
          <w:b/>
          <w:bCs/>
          <w:u w:val="single"/>
          <w:rtl/>
        </w:rPr>
        <w:t>גב' כנרת אלישע כהן</w:t>
      </w:r>
      <w:r w:rsidRPr="00562FB9">
        <w:rPr>
          <w:rFonts w:hint="cs"/>
          <w:rtl/>
        </w:rPr>
        <w:t>: אז אין לכם שאלות ליזם?</w:t>
      </w:r>
    </w:p>
    <w:p w14:paraId="57DA933A" w14:textId="77777777" w:rsidR="00562FB9" w:rsidRPr="00562FB9" w:rsidRDefault="00562FB9" w:rsidP="00562FB9">
      <w:pPr>
        <w:pStyle w:val="af1"/>
        <w:spacing w:after="120" w:line="240" w:lineRule="auto"/>
        <w:ind w:left="1321" w:right="992" w:hanging="2"/>
        <w:rPr>
          <w:rtl/>
        </w:rPr>
      </w:pPr>
      <w:r w:rsidRPr="00562FB9">
        <w:rPr>
          <w:rFonts w:hint="cs"/>
          <w:b/>
          <w:bCs/>
          <w:u w:val="single"/>
          <w:rtl/>
        </w:rPr>
        <w:t>מר משה חנוכה</w:t>
      </w:r>
      <w:r w:rsidRPr="00562FB9">
        <w:rPr>
          <w:rFonts w:hint="cs"/>
          <w:rtl/>
        </w:rPr>
        <w:t>: ליזם, לא, לא-</w:t>
      </w:r>
    </w:p>
    <w:p w14:paraId="774EF08F" w14:textId="77777777" w:rsidR="00562FB9" w:rsidRPr="00562FB9" w:rsidRDefault="00562FB9" w:rsidP="00562FB9">
      <w:pPr>
        <w:pStyle w:val="af"/>
        <w:spacing w:after="120" w:line="240" w:lineRule="auto"/>
        <w:ind w:left="1069" w:right="-142" w:firstLine="250"/>
        <w:contextualSpacing w:val="0"/>
        <w:jc w:val="both"/>
        <w:rPr>
          <w:rFonts w:ascii="FrankRuehl" w:hAnsi="FrankRuehl" w:cs="FrankRuehl"/>
          <w:sz w:val="24"/>
          <w:szCs w:val="24"/>
          <w:rtl/>
        </w:rPr>
      </w:pPr>
      <w:r w:rsidRPr="00562FB9">
        <w:rPr>
          <w:rFonts w:cs="FrankRuehl" w:hint="cs"/>
          <w:b/>
          <w:bCs/>
          <w:sz w:val="24"/>
          <w:szCs w:val="24"/>
          <w:u w:val="single"/>
          <w:rtl/>
        </w:rPr>
        <w:t>גב' כנרת אלישע כהן</w:t>
      </w:r>
      <w:r w:rsidRPr="00562FB9">
        <w:rPr>
          <w:rFonts w:cs="FrankRuehl" w:hint="cs"/>
          <w:sz w:val="24"/>
          <w:szCs w:val="24"/>
          <w:rtl/>
        </w:rPr>
        <w:t>:</w:t>
      </w:r>
      <w:r>
        <w:rPr>
          <w:rFonts w:cs="David" w:hint="cs"/>
          <w:sz w:val="24"/>
          <w:szCs w:val="24"/>
          <w:rtl/>
        </w:rPr>
        <w:t xml:space="preserve"> </w:t>
      </w:r>
      <w:r w:rsidRPr="00562FB9">
        <w:rPr>
          <w:rFonts w:ascii="FrankRuehl" w:hAnsi="FrankRuehl" w:cs="FrankRuehl" w:hint="cs"/>
          <w:sz w:val="24"/>
          <w:szCs w:val="24"/>
          <w:rtl/>
        </w:rPr>
        <w:t>אוקי, אז הנה, אז נכון, כי ביקשו קודם לדבר על השוכרים-</w:t>
      </w:r>
    </w:p>
    <w:p w14:paraId="2A6F8BA5" w14:textId="77777777" w:rsidR="00562FB9" w:rsidRPr="00562FB9" w:rsidRDefault="00562FB9" w:rsidP="00562FB9">
      <w:pPr>
        <w:pStyle w:val="af"/>
        <w:spacing w:after="120" w:line="240" w:lineRule="auto"/>
        <w:ind w:left="1069" w:right="-142" w:firstLine="250"/>
        <w:contextualSpacing w:val="0"/>
        <w:jc w:val="both"/>
        <w:rPr>
          <w:rFonts w:ascii="FrankRuehl" w:hAnsi="FrankRuehl" w:cs="FrankRuehl"/>
          <w:sz w:val="24"/>
          <w:szCs w:val="24"/>
          <w:rtl/>
        </w:rPr>
      </w:pPr>
      <w:r>
        <w:rPr>
          <w:rFonts w:cs="FrankRuehl" w:hint="cs"/>
          <w:b/>
          <w:bCs/>
          <w:sz w:val="24"/>
          <w:szCs w:val="24"/>
          <w:u w:val="single"/>
          <w:rtl/>
        </w:rPr>
        <w:t xml:space="preserve">מר מאיר </w:t>
      </w:r>
      <w:proofErr w:type="spellStart"/>
      <w:r>
        <w:rPr>
          <w:rFonts w:cs="FrankRuehl" w:hint="cs"/>
          <w:b/>
          <w:bCs/>
          <w:sz w:val="24"/>
          <w:szCs w:val="24"/>
          <w:u w:val="single"/>
          <w:rtl/>
        </w:rPr>
        <w:t>חלוואני</w:t>
      </w:r>
      <w:proofErr w:type="spellEnd"/>
      <w:r>
        <w:rPr>
          <w:rFonts w:cs="FrankRuehl" w:hint="cs"/>
          <w:b/>
          <w:bCs/>
          <w:sz w:val="24"/>
          <w:szCs w:val="24"/>
          <w:u w:val="single"/>
          <w:rtl/>
        </w:rPr>
        <w:t>:</w:t>
      </w:r>
      <w:r>
        <w:rPr>
          <w:rFonts w:cs="David" w:hint="cs"/>
          <w:sz w:val="24"/>
          <w:szCs w:val="24"/>
        </w:rPr>
        <w:t xml:space="preserve"> </w:t>
      </w:r>
      <w:r w:rsidRPr="00562FB9">
        <w:rPr>
          <w:rFonts w:ascii="FrankRuehl" w:hAnsi="FrankRuehl" w:cs="FrankRuehl" w:hint="cs"/>
          <w:sz w:val="24"/>
          <w:szCs w:val="24"/>
          <w:rtl/>
        </w:rPr>
        <w:t>דיברתם קודם על העניין-</w:t>
      </w:r>
    </w:p>
    <w:p w14:paraId="144D0FC9" w14:textId="77777777" w:rsidR="00562FB9" w:rsidRDefault="00562FB9" w:rsidP="00562FB9">
      <w:pPr>
        <w:pStyle w:val="af1"/>
        <w:spacing w:after="120" w:line="240" w:lineRule="auto"/>
        <w:ind w:left="1321" w:right="992" w:hanging="2"/>
        <w:rPr>
          <w:rFonts w:cs="David"/>
          <w:rtl/>
        </w:rPr>
      </w:pPr>
      <w:r w:rsidRPr="00562FB9">
        <w:rPr>
          <w:rFonts w:hint="cs"/>
          <w:b/>
          <w:bCs/>
          <w:u w:val="single"/>
          <w:rtl/>
        </w:rPr>
        <w:t>גב' כנרת אלישע כהן</w:t>
      </w:r>
      <w:r w:rsidRPr="00562FB9">
        <w:rPr>
          <w:rFonts w:hint="cs"/>
          <w:rtl/>
        </w:rPr>
        <w:t>:</w:t>
      </w:r>
      <w:r>
        <w:rPr>
          <w:rFonts w:hint="cs"/>
          <w:rtl/>
        </w:rPr>
        <w:t xml:space="preserve"> לא, לא, לא, חיים דיבר קודם על השוכרים, ולכן אני שואלת אם אין לו שאלות, ויש לו. בבקשה, חיים.</w:t>
      </w:r>
    </w:p>
    <w:p w14:paraId="6B635980" w14:textId="77777777" w:rsidR="00562FB9" w:rsidRPr="00562FB9" w:rsidRDefault="00562FB9" w:rsidP="00562FB9">
      <w:pPr>
        <w:pStyle w:val="af1"/>
        <w:spacing w:after="120" w:line="240" w:lineRule="auto"/>
        <w:ind w:left="1321" w:right="992" w:hanging="2"/>
        <w:rPr>
          <w:rtl/>
        </w:rPr>
      </w:pPr>
      <w:r>
        <w:rPr>
          <w:rFonts w:hint="cs"/>
          <w:b/>
          <w:bCs/>
          <w:u w:val="single"/>
          <w:rtl/>
        </w:rPr>
        <w:t>מר חיים שאבי</w:t>
      </w:r>
      <w:r w:rsidRPr="00562FB9">
        <w:rPr>
          <w:rFonts w:cs="David" w:hint="cs"/>
          <w:rtl/>
        </w:rPr>
        <w:t>:</w:t>
      </w:r>
      <w:r>
        <w:rPr>
          <w:rFonts w:cs="David" w:hint="cs"/>
          <w:rtl/>
        </w:rPr>
        <w:t xml:space="preserve"> </w:t>
      </w:r>
      <w:r w:rsidRPr="00562FB9">
        <w:rPr>
          <w:rFonts w:hint="cs"/>
          <w:rtl/>
        </w:rPr>
        <w:t>בישיבה האחרונה בנושא הזה, נדמה לי שזה היה בהסכם, נאמר במפורש פה שיהיה מו"מ עם השוכרים, שחלקם אפילו אמרו שאיימו עליהם, לא איימו עליהם, לא משנה מה לצורך העניין, היו הכחשות לזה. אבל מאז עד היום לא נעשה שום דבר עם אלה שלא דיברו איתם. יכול להיות שיש כאלה שדיברו איתם וחתומים והכל בסדר, אבל יש חלק מהאנשים שמאז שהובטח להם במפורש פה, וגם אני, על בסיס הבטחות פה אמרתי להם, בטוח שדיברו איתם. לא דיברו איתם, לא התייחסו לזה, ואנחנו שותפים לזה.</w:t>
      </w:r>
    </w:p>
    <w:p w14:paraId="5D6D6847" w14:textId="77777777" w:rsidR="00562FB9" w:rsidRDefault="00562FB9" w:rsidP="00562FB9">
      <w:pPr>
        <w:pStyle w:val="af1"/>
        <w:widowControl w:val="0"/>
        <w:spacing w:after="120" w:line="240" w:lineRule="auto"/>
        <w:ind w:left="1321" w:right="992"/>
        <w:rPr>
          <w:rtl/>
        </w:rPr>
      </w:pPr>
      <w:r w:rsidRPr="00562FB9">
        <w:rPr>
          <w:rFonts w:hint="cs"/>
          <w:b/>
          <w:bCs/>
          <w:u w:val="single"/>
          <w:rtl/>
        </w:rPr>
        <w:t>גב' כנרת אלישע כהן</w:t>
      </w:r>
      <w:r w:rsidRPr="00562FB9">
        <w:rPr>
          <w:rFonts w:hint="cs"/>
          <w:rtl/>
        </w:rPr>
        <w:t>:</w:t>
      </w:r>
      <w:r>
        <w:rPr>
          <w:rFonts w:hint="cs"/>
          <w:rtl/>
        </w:rPr>
        <w:t xml:space="preserve"> אז אני אמרתי לך קודם, ואני אומרת שוב שאני, בוועדה שאני נכחתי לפני שבועיים גם ירון הוזמן, ושאלנו אותו את השאלה הזאת והוא ענה לנו. חברי המליאה לא היו, אז אני מציעה שתתייחס לזה עכשיו גם פה, שגם הם יקבלו את התשובה.</w:t>
      </w:r>
    </w:p>
    <w:p w14:paraId="49465178" w14:textId="77777777" w:rsidR="00562FB9" w:rsidRDefault="00562FB9" w:rsidP="00562FB9">
      <w:pPr>
        <w:pStyle w:val="af1"/>
        <w:widowControl w:val="0"/>
        <w:spacing w:after="120" w:line="240" w:lineRule="auto"/>
        <w:ind w:left="1321" w:right="992"/>
        <w:rPr>
          <w:rtl/>
        </w:rPr>
      </w:pPr>
      <w:r w:rsidRPr="00562FB9">
        <w:rPr>
          <w:rFonts w:hint="cs"/>
          <w:b/>
          <w:bCs/>
          <w:u w:val="single"/>
          <w:rtl/>
        </w:rPr>
        <w:t>מר ירון שמש</w:t>
      </w:r>
      <w:r w:rsidRPr="00562FB9">
        <w:rPr>
          <w:rFonts w:hint="cs"/>
          <w:rtl/>
        </w:rPr>
        <w:t>: אוקי</w:t>
      </w:r>
      <w:r>
        <w:rPr>
          <w:rFonts w:hint="cs"/>
          <w:rtl/>
        </w:rPr>
        <w:t>, אז קודם כל אני רוצה להתחיל לאסוף. אולי אתם לא יודעים, אנחנו כמעט 85%</w:t>
      </w:r>
      <w:r w:rsidRPr="00FD7711">
        <w:rPr>
          <w:rFonts w:hint="cs"/>
          <w:rtl/>
        </w:rPr>
        <w:t xml:space="preserve"> </w:t>
      </w:r>
      <w:r w:rsidR="00FD7711" w:rsidRPr="00FD7711">
        <w:rPr>
          <w:rFonts w:hint="cs"/>
          <w:rtl/>
        </w:rPr>
        <w:t>מבעלי המתחם כבר חתומים בהסכמה וברצון טוב על ההסכם בינינו, אך אחד לא אוים ואף אחד לא הוכרח לחתום על זה, כולם קיבלו את ההסברים הכי ממצים וכולם חתמו מרצון, זה 1. 2, אני קצת מתפלא שעניין שקשור ליחסים המסחריים בין יזם לב</w:t>
      </w:r>
      <w:r w:rsidR="00FD7711">
        <w:rPr>
          <w:rFonts w:hint="cs"/>
          <w:rtl/>
        </w:rPr>
        <w:t>עלי קרקע עולה לדיון, ואבוי לנו שזה ככה, כי אחרת אתה יודע, זה לא נראה טוב, בוא נקרא לזה בלשון המעטה, שחברי ועדה מתערבים במה שקשור ליחסים בין השוכרים או בין הבעלים ליזם. זה לא נראה טוב, אבל אני כאן כדי-</w:t>
      </w:r>
    </w:p>
    <w:p w14:paraId="29B05517" w14:textId="77777777" w:rsidR="00FD7711" w:rsidRDefault="00FD7711" w:rsidP="00FD7711">
      <w:pPr>
        <w:pStyle w:val="af1"/>
        <w:spacing w:after="120" w:line="240" w:lineRule="auto"/>
        <w:ind w:left="1321" w:right="992" w:hanging="2"/>
        <w:rPr>
          <w:rtl/>
        </w:rPr>
      </w:pPr>
      <w:r w:rsidRPr="00562FB9">
        <w:rPr>
          <w:rFonts w:hint="cs"/>
          <w:b/>
          <w:bCs/>
          <w:u w:val="single"/>
          <w:rtl/>
        </w:rPr>
        <w:t>מר משה חנוכה</w:t>
      </w:r>
      <w:r w:rsidRPr="00562FB9">
        <w:rPr>
          <w:rFonts w:hint="cs"/>
          <w:rtl/>
        </w:rPr>
        <w:t xml:space="preserve">: </w:t>
      </w:r>
      <w:r>
        <w:rPr>
          <w:rFonts w:hint="cs"/>
          <w:rtl/>
        </w:rPr>
        <w:t>יש הרבה דברים שהם לא נראים טוב.</w:t>
      </w:r>
    </w:p>
    <w:p w14:paraId="6CBD2DCB" w14:textId="77777777" w:rsidR="00FD7711" w:rsidRPr="00FD7711" w:rsidRDefault="00FD7711" w:rsidP="00FD7711">
      <w:pPr>
        <w:pStyle w:val="af1"/>
        <w:spacing w:after="120" w:line="240" w:lineRule="auto"/>
        <w:ind w:left="1321" w:right="992" w:hanging="2"/>
        <w:rPr>
          <w:rtl/>
        </w:rPr>
      </w:pPr>
      <w:r w:rsidRPr="00FD7711">
        <w:rPr>
          <w:rFonts w:hint="cs"/>
          <w:rtl/>
        </w:rPr>
        <w:t>(מדברים ביחד)</w:t>
      </w:r>
    </w:p>
    <w:p w14:paraId="3092A7CD" w14:textId="77777777" w:rsidR="00FD7711" w:rsidRDefault="00FD7711" w:rsidP="00562FB9">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cs="David" w:hint="cs"/>
          <w:rtl/>
        </w:rPr>
        <w:t xml:space="preserve"> </w:t>
      </w:r>
      <w:r>
        <w:rPr>
          <w:rFonts w:hint="cs"/>
          <w:rtl/>
        </w:rPr>
        <w:t>אנחנו פה אישרנו הסכם. דקה, דקה, דקה-</w:t>
      </w:r>
    </w:p>
    <w:p w14:paraId="053C4269" w14:textId="77777777" w:rsidR="00FD7711" w:rsidRDefault="00FD7711" w:rsidP="00562FB9">
      <w:pPr>
        <w:pStyle w:val="af1"/>
        <w:widowControl w:val="0"/>
        <w:spacing w:after="120" w:line="240" w:lineRule="auto"/>
        <w:ind w:left="1321" w:right="992"/>
        <w:rPr>
          <w:rtl/>
        </w:rPr>
      </w:pPr>
      <w:r w:rsidRPr="00FD7711">
        <w:rPr>
          <w:rFonts w:hint="cs"/>
          <w:b/>
          <w:bCs/>
          <w:u w:val="single"/>
          <w:rtl/>
        </w:rPr>
        <w:t xml:space="preserve">גב' אביבה </w:t>
      </w:r>
      <w:proofErr w:type="spellStart"/>
      <w:r w:rsidRPr="00FD7711">
        <w:rPr>
          <w:rFonts w:hint="cs"/>
          <w:b/>
          <w:bCs/>
          <w:u w:val="single"/>
          <w:rtl/>
        </w:rPr>
        <w:t>גוטרמן</w:t>
      </w:r>
      <w:proofErr w:type="spellEnd"/>
      <w:r>
        <w:rPr>
          <w:rFonts w:hint="cs"/>
          <w:rtl/>
        </w:rPr>
        <w:t>: אבל זה היה ההסכם.</w:t>
      </w:r>
    </w:p>
    <w:p w14:paraId="73CC6EF0" w14:textId="77777777" w:rsidR="00FD7711" w:rsidRDefault="00FD7711" w:rsidP="00FD7711">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cs="David" w:hint="cs"/>
          <w:rtl/>
        </w:rPr>
        <w:t xml:space="preserve"> </w:t>
      </w:r>
      <w:r>
        <w:rPr>
          <w:rFonts w:hint="cs"/>
          <w:rtl/>
        </w:rPr>
        <w:t>סליחה, אנחנו אישרנו פה הסכם על סמך הבטחות שאנחנו מצטרפים לתכנית, שמישהו פה מייצג את התושבים-</w:t>
      </w:r>
    </w:p>
    <w:p w14:paraId="04C8E141" w14:textId="77777777" w:rsidR="00FD7711" w:rsidRDefault="00FD7711" w:rsidP="00FD7711">
      <w:pPr>
        <w:pStyle w:val="af1"/>
        <w:widowControl w:val="0"/>
        <w:spacing w:after="120" w:line="240" w:lineRule="auto"/>
        <w:ind w:left="1321" w:right="992"/>
        <w:rPr>
          <w:rtl/>
        </w:rPr>
      </w:pPr>
      <w:r w:rsidRPr="00562FB9">
        <w:rPr>
          <w:rFonts w:hint="cs"/>
          <w:b/>
          <w:bCs/>
          <w:u w:val="single"/>
          <w:rtl/>
        </w:rPr>
        <w:t>מר ירון שמש</w:t>
      </w:r>
      <w:r w:rsidRPr="00562FB9">
        <w:rPr>
          <w:rFonts w:hint="cs"/>
          <w:rtl/>
        </w:rPr>
        <w:t>:</w:t>
      </w:r>
      <w:r>
        <w:rPr>
          <w:rFonts w:hint="cs"/>
          <w:rtl/>
        </w:rPr>
        <w:t xml:space="preserve"> אני לא סיימתי לענות-</w:t>
      </w:r>
    </w:p>
    <w:p w14:paraId="29763C07" w14:textId="77777777" w:rsidR="00FD7711" w:rsidRDefault="00FD7711" w:rsidP="00FD7711">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hint="cs"/>
          <w:rtl/>
        </w:rPr>
        <w:t xml:space="preserve"> לא את היזמים, עם כל הכבוד-</w:t>
      </w:r>
    </w:p>
    <w:p w14:paraId="37E9A1F9" w14:textId="77777777" w:rsidR="00FD7711" w:rsidRDefault="00FD7711" w:rsidP="00FD7711">
      <w:pPr>
        <w:pStyle w:val="af1"/>
        <w:widowControl w:val="0"/>
        <w:spacing w:after="120" w:line="240" w:lineRule="auto"/>
        <w:ind w:left="1321" w:right="992"/>
        <w:rPr>
          <w:rtl/>
        </w:rPr>
      </w:pPr>
      <w:r>
        <w:rPr>
          <w:rFonts w:hint="cs"/>
          <w:b/>
          <w:bCs/>
          <w:u w:val="single"/>
          <w:rtl/>
        </w:rPr>
        <w:t>מר ירון שמש</w:t>
      </w:r>
      <w:r>
        <w:rPr>
          <w:rFonts w:hint="cs"/>
          <w:rtl/>
        </w:rPr>
        <w:t>: שאלת שאלות-</w:t>
      </w:r>
    </w:p>
    <w:p w14:paraId="18F7A799" w14:textId="77777777" w:rsidR="00FD7711" w:rsidRDefault="00FD7711" w:rsidP="00FD7711">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hint="cs"/>
          <w:rtl/>
        </w:rPr>
        <w:t xml:space="preserve"> אני הצבעתי להסכם הזה שהייתה הבטחה שמישהו מדבר איתם, לא נכנסנו להסכם, לא נכנסנו לכסף, לא נכנסנו לכלום. עם כל הכבוד, עם כל הכבוד-</w:t>
      </w:r>
    </w:p>
    <w:p w14:paraId="6FE55FC3" w14:textId="77777777" w:rsidR="00FD7711" w:rsidRDefault="00FD7711" w:rsidP="00FD7711">
      <w:pPr>
        <w:pStyle w:val="af1"/>
        <w:widowControl w:val="0"/>
        <w:spacing w:after="120" w:line="240" w:lineRule="auto"/>
        <w:ind w:left="1321" w:right="992"/>
        <w:rPr>
          <w:rtl/>
        </w:rPr>
      </w:pPr>
      <w:r>
        <w:rPr>
          <w:rFonts w:hint="cs"/>
          <w:b/>
          <w:bCs/>
          <w:u w:val="single"/>
          <w:rtl/>
        </w:rPr>
        <w:lastRenderedPageBreak/>
        <w:t>מר ירון שמש</w:t>
      </w:r>
      <w:r>
        <w:rPr>
          <w:rFonts w:hint="cs"/>
          <w:rtl/>
        </w:rPr>
        <w:t>: אני יכול לענות? אני יכול לענות?</w:t>
      </w:r>
    </w:p>
    <w:p w14:paraId="4D97AB1C" w14:textId="77777777" w:rsidR="00FD7711" w:rsidRDefault="00FD7711" w:rsidP="00FD7711">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hint="cs"/>
          <w:rtl/>
        </w:rPr>
        <w:t xml:space="preserve"> אתה מה תענה? אני פה הצבעתי, ואני הייתי בין אלה שגרמו להסכם הזה לעבור על בסיס הבטחות שהתושבים האלה לא נזרקים ואנו שותפים לזה. זה </w:t>
      </w:r>
      <w:proofErr w:type="spellStart"/>
      <w:r>
        <w:rPr>
          <w:rFonts w:hint="cs"/>
          <w:rtl/>
        </w:rPr>
        <w:t>הכל</w:t>
      </w:r>
      <w:proofErr w:type="spellEnd"/>
      <w:r>
        <w:rPr>
          <w:rFonts w:hint="cs"/>
          <w:rtl/>
        </w:rPr>
        <w:t>-</w:t>
      </w:r>
    </w:p>
    <w:p w14:paraId="4E8C20F8" w14:textId="77777777" w:rsidR="00FD7711" w:rsidRDefault="00FD7711" w:rsidP="00FD7711">
      <w:pPr>
        <w:pStyle w:val="af1"/>
        <w:widowControl w:val="0"/>
        <w:spacing w:after="120" w:line="240" w:lineRule="auto"/>
        <w:ind w:left="1321" w:right="992"/>
        <w:rPr>
          <w:rtl/>
        </w:rPr>
      </w:pPr>
      <w:r>
        <w:rPr>
          <w:rFonts w:hint="cs"/>
          <w:b/>
          <w:bCs/>
          <w:u w:val="single"/>
          <w:rtl/>
        </w:rPr>
        <w:t>מר ירון שמש</w:t>
      </w:r>
      <w:r>
        <w:rPr>
          <w:rFonts w:hint="cs"/>
          <w:rtl/>
        </w:rPr>
        <w:t xml:space="preserve">: אני יכול לענות? </w:t>
      </w:r>
    </w:p>
    <w:p w14:paraId="70D9B517" w14:textId="77777777" w:rsidR="00FD7711" w:rsidRDefault="00FD7711" w:rsidP="00FD7711">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hint="cs"/>
          <w:rtl/>
        </w:rPr>
        <w:t xml:space="preserve"> ואם אנחנו לא מסוגלים לעמוד מאחורי ההבטחות שלנו פה, אז אנחנו בבעיה, עם כל הכבוד-</w:t>
      </w:r>
    </w:p>
    <w:p w14:paraId="6B051BE1" w14:textId="77777777" w:rsidR="00FD7711" w:rsidRDefault="00FD7711" w:rsidP="00FD7711">
      <w:pPr>
        <w:pStyle w:val="af1"/>
        <w:widowControl w:val="0"/>
        <w:spacing w:after="120" w:line="240" w:lineRule="auto"/>
        <w:ind w:left="1321" w:right="992"/>
        <w:rPr>
          <w:rtl/>
        </w:rPr>
      </w:pPr>
      <w:r>
        <w:rPr>
          <w:rFonts w:hint="cs"/>
          <w:b/>
          <w:bCs/>
          <w:u w:val="single"/>
          <w:rtl/>
        </w:rPr>
        <w:t>מר ירון שמש</w:t>
      </w:r>
      <w:r>
        <w:rPr>
          <w:rFonts w:hint="cs"/>
          <w:rtl/>
        </w:rPr>
        <w:t xml:space="preserve">: אני יכול לענות? </w:t>
      </w:r>
    </w:p>
    <w:p w14:paraId="3E0B6F90" w14:textId="77777777" w:rsidR="00FD7711" w:rsidRDefault="00FD7711" w:rsidP="00FD7711">
      <w:pPr>
        <w:pStyle w:val="af1"/>
        <w:widowControl w:val="0"/>
        <w:spacing w:after="120" w:line="240" w:lineRule="auto"/>
        <w:ind w:left="1321" w:right="992"/>
        <w:rPr>
          <w:rtl/>
        </w:rPr>
      </w:pPr>
      <w:r>
        <w:rPr>
          <w:rFonts w:hint="cs"/>
          <w:b/>
          <w:bCs/>
          <w:u w:val="single"/>
          <w:rtl/>
        </w:rPr>
        <w:t>מר חיים שאבי</w:t>
      </w:r>
      <w:r w:rsidRPr="00562FB9">
        <w:rPr>
          <w:rFonts w:cs="David" w:hint="cs"/>
          <w:rtl/>
        </w:rPr>
        <w:t>:</w:t>
      </w:r>
      <w:r>
        <w:rPr>
          <w:rFonts w:hint="cs"/>
          <w:rtl/>
        </w:rPr>
        <w:t xml:space="preserve"> לא יכול להיות שאנחנו נהיה שותפים כמו שאלה שישבו פה מקודם, רק כשנצטרף. אחרי זה, </w:t>
      </w:r>
      <w:proofErr w:type="spellStart"/>
      <w:r>
        <w:rPr>
          <w:rFonts w:hint="cs"/>
          <w:rtl/>
        </w:rPr>
        <w:t>הכל</w:t>
      </w:r>
      <w:proofErr w:type="spellEnd"/>
      <w:r>
        <w:rPr>
          <w:rFonts w:hint="cs"/>
          <w:rtl/>
        </w:rPr>
        <w:t xml:space="preserve"> בסדר, </w:t>
      </w:r>
      <w:proofErr w:type="spellStart"/>
      <w:r>
        <w:rPr>
          <w:rFonts w:hint="cs"/>
          <w:rtl/>
        </w:rPr>
        <w:t>הכל</w:t>
      </w:r>
      <w:proofErr w:type="spellEnd"/>
      <w:r>
        <w:rPr>
          <w:rFonts w:hint="cs"/>
          <w:rtl/>
        </w:rPr>
        <w:t xml:space="preserve"> בסדר.</w:t>
      </w:r>
    </w:p>
    <w:p w14:paraId="57C3C5A5" w14:textId="77777777" w:rsidR="00FD7711" w:rsidRDefault="00FD7711" w:rsidP="00FD7711">
      <w:pPr>
        <w:pStyle w:val="af1"/>
        <w:widowControl w:val="0"/>
        <w:spacing w:after="120" w:line="240" w:lineRule="auto"/>
        <w:ind w:left="1321" w:right="992"/>
        <w:rPr>
          <w:rtl/>
        </w:rPr>
      </w:pPr>
      <w:r>
        <w:rPr>
          <w:rFonts w:hint="cs"/>
          <w:b/>
          <w:bCs/>
          <w:u w:val="single"/>
          <w:rtl/>
        </w:rPr>
        <w:t>מר ירון שמש</w:t>
      </w:r>
      <w:r>
        <w:rPr>
          <w:rFonts w:hint="cs"/>
          <w:rtl/>
        </w:rPr>
        <w:t xml:space="preserve">: אני יכול לענות? </w:t>
      </w:r>
    </w:p>
    <w:p w14:paraId="0C823F15" w14:textId="77777777" w:rsidR="00FD7711" w:rsidRDefault="00FD7711" w:rsidP="00562FB9">
      <w:pPr>
        <w:pStyle w:val="af1"/>
        <w:widowControl w:val="0"/>
        <w:spacing w:after="120" w:line="240" w:lineRule="auto"/>
        <w:ind w:left="1321" w:right="992"/>
        <w:rPr>
          <w:rtl/>
        </w:rPr>
      </w:pPr>
      <w:r>
        <w:rPr>
          <w:rFonts w:hint="cs"/>
          <w:rtl/>
        </w:rPr>
        <w:t>(...)"</w:t>
      </w:r>
    </w:p>
    <w:p w14:paraId="7BBAD0EE" w14:textId="77777777" w:rsidR="00FD7711" w:rsidRDefault="00FD7711" w:rsidP="00FD7711">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בעמוד 57 לתמליל הדיון </w:t>
      </w:r>
      <w:r w:rsidR="007E03E5">
        <w:rPr>
          <w:rFonts w:cs="David" w:hint="cs"/>
          <w:sz w:val="24"/>
          <w:szCs w:val="24"/>
          <w:rtl/>
        </w:rPr>
        <w:t xml:space="preserve">הועלתה בפני </w:t>
      </w:r>
      <w:r w:rsidR="00B5298A">
        <w:rPr>
          <w:rFonts w:cs="David" w:hint="cs"/>
          <w:sz w:val="24"/>
          <w:szCs w:val="24"/>
          <w:rtl/>
        </w:rPr>
        <w:t>נציג העוררת</w:t>
      </w:r>
      <w:r w:rsidR="007E03E5">
        <w:rPr>
          <w:rFonts w:cs="David" w:hint="cs"/>
          <w:sz w:val="24"/>
          <w:szCs w:val="24"/>
          <w:rtl/>
        </w:rPr>
        <w:t xml:space="preserve"> המופתע טענה בקשר לזכויות העירייה במתחם:</w:t>
      </w:r>
    </w:p>
    <w:p w14:paraId="48EE4587" w14:textId="77777777" w:rsidR="007E03E5" w:rsidRDefault="007E03E5" w:rsidP="007E03E5">
      <w:pPr>
        <w:pStyle w:val="af1"/>
        <w:widowControl w:val="0"/>
        <w:spacing w:after="120" w:line="240" w:lineRule="auto"/>
        <w:ind w:left="1321" w:right="992"/>
        <w:rPr>
          <w:rtl/>
        </w:rPr>
      </w:pPr>
      <w:r>
        <w:rPr>
          <w:rFonts w:hint="cs"/>
          <w:b/>
          <w:bCs/>
          <w:u w:val="single"/>
          <w:rtl/>
        </w:rPr>
        <w:t>מר משה חנוכה</w:t>
      </w:r>
      <w:r w:rsidRPr="00562FB9">
        <w:rPr>
          <w:rFonts w:cs="David" w:hint="cs"/>
          <w:rtl/>
        </w:rPr>
        <w:t>:</w:t>
      </w:r>
      <w:r>
        <w:rPr>
          <w:rFonts w:hint="cs"/>
          <w:rtl/>
        </w:rPr>
        <w:t xml:space="preserve"> בסדר, אבל העיריה היא בעלת יותר מ- 50% מהשטח-</w:t>
      </w:r>
    </w:p>
    <w:p w14:paraId="77EE2AAD" w14:textId="77777777" w:rsidR="007E03E5" w:rsidRDefault="007E03E5" w:rsidP="007E03E5">
      <w:pPr>
        <w:pStyle w:val="af1"/>
        <w:widowControl w:val="0"/>
        <w:spacing w:after="120" w:line="240" w:lineRule="auto"/>
        <w:ind w:left="1321" w:right="992"/>
        <w:rPr>
          <w:rtl/>
        </w:rPr>
      </w:pPr>
      <w:r>
        <w:rPr>
          <w:rFonts w:hint="cs"/>
          <w:b/>
          <w:bCs/>
          <w:u w:val="single"/>
          <w:rtl/>
        </w:rPr>
        <w:t>מר ירון שמש</w:t>
      </w:r>
      <w:r>
        <w:rPr>
          <w:rFonts w:hint="cs"/>
          <w:rtl/>
        </w:rPr>
        <w:t>: סליחה?</w:t>
      </w:r>
    </w:p>
    <w:p w14:paraId="06E81880" w14:textId="77777777" w:rsidR="007E03E5" w:rsidRDefault="007E03E5" w:rsidP="007E03E5">
      <w:pPr>
        <w:pStyle w:val="af1"/>
        <w:widowControl w:val="0"/>
        <w:spacing w:after="120" w:line="240" w:lineRule="auto"/>
        <w:ind w:left="1321" w:right="992"/>
        <w:rPr>
          <w:rtl/>
        </w:rPr>
      </w:pPr>
      <w:r>
        <w:rPr>
          <w:rFonts w:hint="cs"/>
          <w:b/>
          <w:bCs/>
          <w:u w:val="single"/>
          <w:rtl/>
        </w:rPr>
        <w:t>מר משה חנוכה</w:t>
      </w:r>
      <w:r w:rsidRPr="00562FB9">
        <w:rPr>
          <w:rFonts w:cs="David" w:hint="cs"/>
          <w:rtl/>
        </w:rPr>
        <w:t>:</w:t>
      </w:r>
      <w:r>
        <w:rPr>
          <w:rFonts w:hint="cs"/>
          <w:rtl/>
        </w:rPr>
        <w:t xml:space="preserve"> העיריה היא בעלת יותר מ- 50% מהשטח-</w:t>
      </w:r>
    </w:p>
    <w:p w14:paraId="11009E7A" w14:textId="77777777" w:rsidR="007E03E5" w:rsidRDefault="007E03E5" w:rsidP="007E03E5">
      <w:pPr>
        <w:pStyle w:val="af1"/>
        <w:widowControl w:val="0"/>
        <w:spacing w:after="120" w:line="240" w:lineRule="auto"/>
        <w:ind w:left="1321" w:right="992"/>
        <w:rPr>
          <w:rtl/>
        </w:rPr>
      </w:pPr>
      <w:r>
        <w:rPr>
          <w:rFonts w:hint="cs"/>
          <w:b/>
          <w:bCs/>
          <w:u w:val="single"/>
          <w:rtl/>
        </w:rPr>
        <w:t>מר ירון שמש</w:t>
      </w:r>
      <w:r>
        <w:rPr>
          <w:rFonts w:hint="cs"/>
          <w:rtl/>
        </w:rPr>
        <w:t>: אני לא נגעתי בשום דבר שקשור לעירייה, ולא קבעתי מה העירייה תקבל בשטח שלה. בעלי הקרקע קיבלו לא ממני ולא מאף אחד אחר, אלא מהוועדה המחוזית את הזכויות שלהם. אני לא מתערב בזכויות שהעירייה קיבלה.</w:t>
      </w:r>
    </w:p>
    <w:p w14:paraId="55470DB5" w14:textId="77777777" w:rsidR="007B4CD6" w:rsidRDefault="007E03E5" w:rsidP="007E03E5">
      <w:pPr>
        <w:pStyle w:val="af"/>
        <w:numPr>
          <w:ilvl w:val="0"/>
          <w:numId w:val="1"/>
        </w:numPr>
        <w:spacing w:line="360" w:lineRule="auto"/>
        <w:ind w:left="470" w:right="-142" w:hanging="425"/>
        <w:contextualSpacing w:val="0"/>
        <w:jc w:val="both"/>
        <w:rPr>
          <w:rFonts w:cs="David"/>
          <w:sz w:val="24"/>
          <w:szCs w:val="24"/>
        </w:rPr>
      </w:pPr>
      <w:r w:rsidRPr="007E03E5">
        <w:rPr>
          <w:rFonts w:cs="David" w:hint="cs"/>
          <w:sz w:val="24"/>
          <w:szCs w:val="24"/>
          <w:rtl/>
        </w:rPr>
        <w:t>בשלב זה שב הדיון והתמקד בהתקשרות העוררת עם בעלי הזכויות במתחם</w:t>
      </w:r>
      <w:r w:rsidR="00F44342">
        <w:rPr>
          <w:rFonts w:cs="David" w:hint="cs"/>
          <w:sz w:val="24"/>
          <w:szCs w:val="24"/>
          <w:rtl/>
        </w:rPr>
        <w:t xml:space="preserve">, עד שבעמ' 65 לפרוטוקול מסרו חברי הוועדה המקומית כי אין עוד שאלות ליזם. </w:t>
      </w:r>
    </w:p>
    <w:p w14:paraId="0D333C0B" w14:textId="549FDFB6" w:rsidR="007E03E5" w:rsidRDefault="007B4CD6" w:rsidP="007E0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לאחר דברים אלו, רגע לפני הוצאתו מן הדיון,</w:t>
      </w:r>
      <w:r w:rsidR="00F44342">
        <w:rPr>
          <w:rFonts w:cs="David" w:hint="cs"/>
          <w:sz w:val="24"/>
          <w:szCs w:val="24"/>
          <w:rtl/>
        </w:rPr>
        <w:t xml:space="preserve"> התייחס נציג העוררת</w:t>
      </w:r>
      <w:r>
        <w:rPr>
          <w:rFonts w:cs="David" w:hint="cs"/>
          <w:sz w:val="24"/>
          <w:szCs w:val="24"/>
          <w:rtl/>
        </w:rPr>
        <w:t>, מיוזמתו</w:t>
      </w:r>
      <w:r w:rsidR="00F44342">
        <w:rPr>
          <w:rFonts w:cs="David" w:hint="cs"/>
          <w:sz w:val="24"/>
          <w:szCs w:val="24"/>
          <w:rtl/>
        </w:rPr>
        <w:t xml:space="preserve"> לנושא מספר</w:t>
      </w:r>
      <w:r>
        <w:rPr>
          <w:rFonts w:cs="David" w:hint="cs"/>
          <w:sz w:val="24"/>
          <w:szCs w:val="24"/>
          <w:rtl/>
        </w:rPr>
        <w:t xml:space="preserve"> הקומות ו</w:t>
      </w:r>
      <w:r w:rsidR="00F44342">
        <w:rPr>
          <w:rFonts w:cs="David" w:hint="cs"/>
          <w:sz w:val="24"/>
          <w:szCs w:val="24"/>
          <w:rtl/>
        </w:rPr>
        <w:t>יחידות הדיור</w:t>
      </w:r>
      <w:r>
        <w:rPr>
          <w:rFonts w:cs="David" w:hint="cs"/>
          <w:sz w:val="24"/>
          <w:szCs w:val="24"/>
          <w:rtl/>
        </w:rPr>
        <w:t xml:space="preserve">. מן התמליל עולה כי נציג העורר סבר, על סמך דברים ששמע מחוץ לאולם הדיונים, </w:t>
      </w:r>
      <w:r w:rsidR="00F44342">
        <w:rPr>
          <w:rFonts w:cs="David" w:hint="cs"/>
          <w:sz w:val="24"/>
          <w:szCs w:val="24"/>
          <w:rtl/>
        </w:rPr>
        <w:t xml:space="preserve">כי זה </w:t>
      </w:r>
      <w:r>
        <w:rPr>
          <w:rFonts w:cs="David" w:hint="cs"/>
          <w:sz w:val="24"/>
          <w:szCs w:val="24"/>
          <w:rtl/>
        </w:rPr>
        <w:t>הנושא ש</w:t>
      </w:r>
      <w:r w:rsidR="00F44342">
        <w:rPr>
          <w:rFonts w:cs="David" w:hint="cs"/>
          <w:sz w:val="24"/>
          <w:szCs w:val="24"/>
          <w:rtl/>
        </w:rPr>
        <w:t xml:space="preserve">מטריד את חברי </w:t>
      </w:r>
      <w:r>
        <w:rPr>
          <w:rFonts w:cs="David" w:hint="cs"/>
          <w:sz w:val="24"/>
          <w:szCs w:val="24"/>
          <w:rtl/>
        </w:rPr>
        <w:t>הו</w:t>
      </w:r>
      <w:r w:rsidR="00F44342">
        <w:rPr>
          <w:rFonts w:cs="David" w:hint="cs"/>
          <w:sz w:val="24"/>
          <w:szCs w:val="24"/>
          <w:rtl/>
        </w:rPr>
        <w:t>ועדה המקומית</w:t>
      </w:r>
      <w:r>
        <w:rPr>
          <w:rFonts w:cs="David" w:hint="cs"/>
          <w:sz w:val="24"/>
          <w:szCs w:val="24"/>
          <w:rtl/>
        </w:rPr>
        <w:t xml:space="preserve">.  </w:t>
      </w:r>
      <w:proofErr w:type="spellStart"/>
      <w:r>
        <w:rPr>
          <w:rFonts w:cs="David" w:hint="cs"/>
          <w:sz w:val="24"/>
          <w:szCs w:val="24"/>
          <w:rtl/>
        </w:rPr>
        <w:t>מייד</w:t>
      </w:r>
      <w:proofErr w:type="spellEnd"/>
      <w:r>
        <w:rPr>
          <w:rFonts w:cs="David" w:hint="cs"/>
          <w:sz w:val="24"/>
          <w:szCs w:val="24"/>
          <w:rtl/>
        </w:rPr>
        <w:t xml:space="preserve"> בתום דבריו הוצא נציג העוררת מן הדיון</w:t>
      </w:r>
      <w:r w:rsidR="00F44342">
        <w:rPr>
          <w:rFonts w:cs="David" w:hint="cs"/>
          <w:sz w:val="24"/>
          <w:szCs w:val="24"/>
          <w:rtl/>
        </w:rPr>
        <w:t>:</w:t>
      </w:r>
    </w:p>
    <w:p w14:paraId="01933A4E" w14:textId="77777777" w:rsidR="00F44342" w:rsidRDefault="00F44342" w:rsidP="00F44342">
      <w:pPr>
        <w:pStyle w:val="af1"/>
        <w:widowControl w:val="0"/>
        <w:spacing w:after="120" w:line="240" w:lineRule="auto"/>
        <w:ind w:left="1321" w:right="992"/>
        <w:rPr>
          <w:rtl/>
        </w:rPr>
      </w:pPr>
      <w:r w:rsidRPr="00F44342">
        <w:rPr>
          <w:rFonts w:hint="cs"/>
          <w:rtl/>
        </w:rPr>
        <w:t>"</w:t>
      </w:r>
      <w:r w:rsidRPr="00562FB9">
        <w:rPr>
          <w:rFonts w:hint="cs"/>
          <w:b/>
          <w:bCs/>
          <w:u w:val="single"/>
          <w:rtl/>
        </w:rPr>
        <w:t>גב' כנרת אלישע כהן</w:t>
      </w:r>
      <w:r w:rsidRPr="00562FB9">
        <w:rPr>
          <w:rFonts w:hint="cs"/>
          <w:rtl/>
        </w:rPr>
        <w:t>:</w:t>
      </w:r>
      <w:r>
        <w:rPr>
          <w:rFonts w:hint="cs"/>
          <w:rtl/>
        </w:rPr>
        <w:t xml:space="preserve"> טוב, יש לכם עוד שאלות ליזם, חברי הוועדה?</w:t>
      </w:r>
    </w:p>
    <w:p w14:paraId="083080AE" w14:textId="77777777" w:rsidR="00F44342" w:rsidRDefault="00F44342" w:rsidP="00F44342">
      <w:pPr>
        <w:pStyle w:val="af1"/>
        <w:widowControl w:val="0"/>
        <w:spacing w:after="120" w:line="240" w:lineRule="auto"/>
        <w:ind w:left="1321" w:right="992"/>
        <w:rPr>
          <w:rtl/>
        </w:rPr>
      </w:pPr>
      <w:r>
        <w:rPr>
          <w:rFonts w:hint="cs"/>
          <w:b/>
          <w:bCs/>
          <w:u w:val="single"/>
          <w:rtl/>
        </w:rPr>
        <w:t>ד"ר אלון גלבוע</w:t>
      </w:r>
      <w:r>
        <w:rPr>
          <w:rFonts w:hint="cs"/>
          <w:rtl/>
        </w:rPr>
        <w:t>: לא ליזם-</w:t>
      </w:r>
    </w:p>
    <w:p w14:paraId="47C54B7C" w14:textId="77777777" w:rsidR="00F44342" w:rsidRDefault="00F44342" w:rsidP="00F44342">
      <w:pPr>
        <w:pStyle w:val="af1"/>
        <w:widowControl w:val="0"/>
        <w:spacing w:after="120" w:line="240" w:lineRule="auto"/>
        <w:ind w:left="1321" w:right="992"/>
        <w:rPr>
          <w:rtl/>
        </w:rPr>
      </w:pPr>
      <w:r>
        <w:rPr>
          <w:rFonts w:hint="cs"/>
          <w:b/>
          <w:bCs/>
          <w:u w:val="single"/>
          <w:rtl/>
        </w:rPr>
        <w:t>מר ירון שמש</w:t>
      </w:r>
      <w:r>
        <w:rPr>
          <w:rFonts w:hint="cs"/>
          <w:rtl/>
        </w:rPr>
        <w:t xml:space="preserve">: אני רוצה רגע, שמעתי בחוץ למה 19 קומות ולמה היה 14 ולמה אושר, אז אנו כאן נכון שהתכנית לא קיבלה תוספת זכויות, אבל אני רוצה גם להזכיר לוועדה שאנחנו ניהלנו דיון עם כל אגף ההנדסה, עוד עם האנשים הקודמים שלו, לפי 168 דירות, כי הלכנו עם שבס על 10% נוספים, בגלל שהיה לנו שם 16,800 מ"ר לבנייה, שזה המון שטח. ביקשנו עוד 28 דירות, עוד 28 יחידות דיור, שזה לגיטימי, וזה מותר והכל. 10 ימים לפני הדיון, או שבוע לפני הדיון בוועדה, ביקש ממני </w:t>
      </w:r>
      <w:proofErr w:type="spellStart"/>
      <w:r>
        <w:rPr>
          <w:rFonts w:hint="cs"/>
          <w:rtl/>
        </w:rPr>
        <w:t>סרג'יו</w:t>
      </w:r>
      <w:proofErr w:type="spellEnd"/>
      <w:r>
        <w:rPr>
          <w:rFonts w:hint="cs"/>
          <w:rtl/>
        </w:rPr>
        <w:t xml:space="preserve"> להוריד את זה ל- 140 יחידות דיור. </w:t>
      </w:r>
      <w:r w:rsidRPr="00F44342">
        <w:rPr>
          <w:rFonts w:hint="cs"/>
          <w:rtl/>
        </w:rPr>
        <w:t xml:space="preserve">אחרי שאנחנו </w:t>
      </w:r>
      <w:r>
        <w:rPr>
          <w:rFonts w:hint="cs"/>
          <w:rtl/>
        </w:rPr>
        <w:t xml:space="preserve">3 שנים מתנהלים לפי 168, והם יודעים על 168. אחרי שהאדריכלים מכינים תכנית, ואתם יודעים מה זה להכין מסמכי </w:t>
      </w:r>
      <w:proofErr w:type="spellStart"/>
      <w:r>
        <w:rPr>
          <w:rFonts w:hint="cs"/>
          <w:rtl/>
        </w:rPr>
        <w:t>תב"ע</w:t>
      </w:r>
      <w:proofErr w:type="spellEnd"/>
      <w:r>
        <w:rPr>
          <w:rFonts w:hint="cs"/>
          <w:rtl/>
        </w:rPr>
        <w:t xml:space="preserve"> לפי מספר יחידות מסוים. בשבוע עשינו תכניות חדשות, והפחתנו ל- 140 יחידות דיור. אמרתי </w:t>
      </w:r>
      <w:proofErr w:type="spellStart"/>
      <w:r>
        <w:rPr>
          <w:rFonts w:hint="cs"/>
          <w:rtl/>
        </w:rPr>
        <w:t>לסרג'יו</w:t>
      </w:r>
      <w:proofErr w:type="spellEnd"/>
      <w:r>
        <w:rPr>
          <w:rFonts w:hint="cs"/>
          <w:rtl/>
        </w:rPr>
        <w:t xml:space="preserve"> במילים האלה, </w:t>
      </w:r>
      <w:proofErr w:type="spellStart"/>
      <w:r>
        <w:rPr>
          <w:rFonts w:hint="cs"/>
          <w:rtl/>
        </w:rPr>
        <w:t>איו</w:t>
      </w:r>
      <w:proofErr w:type="spellEnd"/>
      <w:r>
        <w:rPr>
          <w:rFonts w:hint="cs"/>
          <w:rtl/>
        </w:rPr>
        <w:t xml:space="preserve"> בעיה, </w:t>
      </w:r>
      <w:proofErr w:type="spellStart"/>
      <w:r>
        <w:rPr>
          <w:rFonts w:hint="cs"/>
          <w:rtl/>
        </w:rPr>
        <w:t>סרג'יו</w:t>
      </w:r>
      <w:proofErr w:type="spellEnd"/>
      <w:r>
        <w:rPr>
          <w:rFonts w:hint="cs"/>
          <w:rtl/>
        </w:rPr>
        <w:t xml:space="preserve">, אני אלך לדיירים, אני אגיד להם, ירדנו ל- 140 יחידות דיור, אבל בוא רגע נחשוב איך אני ממקסם את איכות הדירות, כדי שאני אקטין את הדלתא הגדולה הזאת שנוצרה פתאום ואז ביקשתי תוספת קומות בלי תוספת יחידות, כדי להציב ערך דירות, לעשות אותן יותר טובות, וגם העירייה מרוויחה. היא מקבלת יותר שטח ירוק, כי הבניינים יעמדו על פחות שטח, זה </w:t>
      </w:r>
      <w:proofErr w:type="spellStart"/>
      <w:r>
        <w:rPr>
          <w:rFonts w:hint="cs"/>
          <w:rtl/>
        </w:rPr>
        <w:t>הכל</w:t>
      </w:r>
      <w:proofErr w:type="spellEnd"/>
      <w:r>
        <w:rPr>
          <w:rFonts w:hint="cs"/>
          <w:rtl/>
        </w:rPr>
        <w:t>, זה מה שהיה שם.</w:t>
      </w:r>
    </w:p>
    <w:p w14:paraId="76EDA2D5" w14:textId="77777777" w:rsidR="00F44342" w:rsidRDefault="00F44342" w:rsidP="00F44342">
      <w:pPr>
        <w:pStyle w:val="af1"/>
        <w:widowControl w:val="0"/>
        <w:spacing w:after="120" w:line="240" w:lineRule="auto"/>
        <w:ind w:left="1321" w:right="992"/>
        <w:rPr>
          <w:rtl/>
        </w:rPr>
      </w:pPr>
      <w:r w:rsidRPr="00562FB9">
        <w:rPr>
          <w:rFonts w:hint="cs"/>
          <w:b/>
          <w:bCs/>
          <w:u w:val="single"/>
          <w:rtl/>
        </w:rPr>
        <w:t>גב' כנרת אלישע כהן</w:t>
      </w:r>
      <w:r w:rsidRPr="00562FB9">
        <w:rPr>
          <w:rFonts w:hint="cs"/>
          <w:rtl/>
        </w:rPr>
        <w:t>:</w:t>
      </w:r>
      <w:r>
        <w:rPr>
          <w:rFonts w:hint="cs"/>
          <w:rtl/>
        </w:rPr>
        <w:t xml:space="preserve"> זה בדיוק מה שרפי הסביר קודם </w:t>
      </w:r>
      <w:r>
        <w:rPr>
          <w:rtl/>
        </w:rPr>
        <w:t>–</w:t>
      </w:r>
    </w:p>
    <w:p w14:paraId="158CB22D" w14:textId="77777777" w:rsidR="00F44342" w:rsidRDefault="00F44342" w:rsidP="00F44342">
      <w:pPr>
        <w:pStyle w:val="af1"/>
        <w:widowControl w:val="0"/>
        <w:spacing w:after="120" w:line="240" w:lineRule="auto"/>
        <w:ind w:left="1321" w:right="992"/>
        <w:rPr>
          <w:rtl/>
        </w:rPr>
      </w:pPr>
      <w:r>
        <w:rPr>
          <w:rFonts w:hint="cs"/>
          <w:b/>
          <w:bCs/>
          <w:u w:val="single"/>
          <w:rtl/>
        </w:rPr>
        <w:t>מר ירון שמש</w:t>
      </w:r>
      <w:r>
        <w:rPr>
          <w:rFonts w:hint="cs"/>
          <w:rtl/>
        </w:rPr>
        <w:t>: לא קיבלתי מטר נוסף שם. להפך, הפסדנו.</w:t>
      </w:r>
    </w:p>
    <w:p w14:paraId="519C384C" w14:textId="77777777" w:rsidR="00F44342" w:rsidRDefault="00F44342" w:rsidP="00F44342">
      <w:pPr>
        <w:pStyle w:val="af1"/>
        <w:widowControl w:val="0"/>
        <w:spacing w:after="120" w:line="240" w:lineRule="auto"/>
        <w:ind w:left="1321" w:right="992"/>
        <w:rPr>
          <w:rtl/>
        </w:rPr>
      </w:pPr>
      <w:r w:rsidRPr="00562FB9">
        <w:rPr>
          <w:rFonts w:hint="cs"/>
          <w:b/>
          <w:bCs/>
          <w:u w:val="single"/>
          <w:rtl/>
        </w:rPr>
        <w:t>גב' כנרת אלישע כהן</w:t>
      </w:r>
      <w:r w:rsidRPr="00562FB9">
        <w:rPr>
          <w:rFonts w:hint="cs"/>
          <w:rtl/>
        </w:rPr>
        <w:t>:</w:t>
      </w:r>
      <w:r>
        <w:rPr>
          <w:rFonts w:hint="cs"/>
          <w:rtl/>
        </w:rPr>
        <w:t xml:space="preserve"> זה רפי ויואב הסבירו את זה, כן. אוקי, בסדר, עוד מישהו, שאלות ליזם, או שאפשר? יופי, אז תודה רבה.</w:t>
      </w:r>
    </w:p>
    <w:p w14:paraId="71288E2D" w14:textId="77777777" w:rsidR="00F44342" w:rsidRDefault="00F44342" w:rsidP="007B4CD6">
      <w:pPr>
        <w:pStyle w:val="af1"/>
        <w:widowControl w:val="0"/>
        <w:spacing w:after="240" w:line="240" w:lineRule="auto"/>
        <w:ind w:left="1321" w:right="992"/>
        <w:rPr>
          <w:rtl/>
        </w:rPr>
      </w:pPr>
      <w:r w:rsidRPr="00F44342">
        <w:rPr>
          <w:rFonts w:hint="cs"/>
          <w:rtl/>
        </w:rPr>
        <w:lastRenderedPageBreak/>
        <w:t>(מוזמנים יצאו מהדיון)</w:t>
      </w:r>
      <w:r>
        <w:rPr>
          <w:rFonts w:hint="cs"/>
          <w:rtl/>
        </w:rPr>
        <w:t>".</w:t>
      </w:r>
    </w:p>
    <w:p w14:paraId="1C26ABDA" w14:textId="4AFD8436" w:rsidR="00F44342" w:rsidRPr="007E03E5" w:rsidRDefault="00B5298A" w:rsidP="007E03E5">
      <w:pPr>
        <w:pStyle w:val="af"/>
        <w:numPr>
          <w:ilvl w:val="0"/>
          <w:numId w:val="1"/>
        </w:numPr>
        <w:spacing w:line="360" w:lineRule="auto"/>
        <w:ind w:left="470" w:right="-142" w:hanging="425"/>
        <w:contextualSpacing w:val="0"/>
        <w:jc w:val="both"/>
        <w:rPr>
          <w:rFonts w:cs="David"/>
          <w:sz w:val="24"/>
          <w:szCs w:val="24"/>
          <w:rtl/>
        </w:rPr>
      </w:pPr>
      <w:r>
        <w:rPr>
          <w:rFonts w:cs="David" w:hint="cs"/>
          <w:sz w:val="24"/>
          <w:szCs w:val="24"/>
          <w:rtl/>
        </w:rPr>
        <w:t>לאחר צאת נציג</w:t>
      </w:r>
      <w:r w:rsidR="007B4CD6">
        <w:rPr>
          <w:rFonts w:cs="David" w:hint="cs"/>
          <w:sz w:val="24"/>
          <w:szCs w:val="24"/>
          <w:rtl/>
        </w:rPr>
        <w:t>י</w:t>
      </w:r>
      <w:r>
        <w:rPr>
          <w:rFonts w:cs="David" w:hint="cs"/>
          <w:sz w:val="24"/>
          <w:szCs w:val="24"/>
          <w:rtl/>
        </w:rPr>
        <w:t xml:space="preserve"> העוררת </w:t>
      </w:r>
      <w:r w:rsidR="007B4CD6">
        <w:rPr>
          <w:rFonts w:cs="David" w:hint="cs"/>
          <w:sz w:val="24"/>
          <w:szCs w:val="24"/>
          <w:rtl/>
        </w:rPr>
        <w:t xml:space="preserve">ובעלי הזכויות </w:t>
      </w:r>
      <w:r>
        <w:rPr>
          <w:rFonts w:cs="David" w:hint="cs"/>
          <w:sz w:val="24"/>
          <w:szCs w:val="24"/>
          <w:rtl/>
        </w:rPr>
        <w:t xml:space="preserve">התחדש הדיון </w:t>
      </w:r>
      <w:r w:rsidR="007B4CD6">
        <w:rPr>
          <w:rFonts w:cs="David" w:hint="cs"/>
          <w:sz w:val="24"/>
          <w:szCs w:val="24"/>
          <w:rtl/>
        </w:rPr>
        <w:t xml:space="preserve">בוועדה המקומית </w:t>
      </w:r>
      <w:r>
        <w:rPr>
          <w:rFonts w:cs="David" w:hint="cs"/>
          <w:sz w:val="24"/>
          <w:szCs w:val="24"/>
          <w:rtl/>
        </w:rPr>
        <w:t xml:space="preserve">בנושא זכויות הבנייה במתחם, השלביות והמטלות הציבוריות </w:t>
      </w:r>
      <w:r>
        <w:rPr>
          <w:rFonts w:cs="David"/>
          <w:sz w:val="24"/>
          <w:szCs w:val="24"/>
          <w:rtl/>
        </w:rPr>
        <w:t>–</w:t>
      </w:r>
      <w:r>
        <w:rPr>
          <w:rFonts w:cs="David" w:hint="cs"/>
          <w:sz w:val="24"/>
          <w:szCs w:val="24"/>
          <w:rtl/>
        </w:rPr>
        <w:t xml:space="preserve"> עניינים שבהם לא נשאל נציג העוררת דבר.</w:t>
      </w:r>
    </w:p>
    <w:p w14:paraId="4965BABF" w14:textId="77777777" w:rsidR="00BE7827" w:rsidRPr="0019691D" w:rsidRDefault="00AA6CE1" w:rsidP="00390BD2">
      <w:pPr>
        <w:pStyle w:val="af"/>
        <w:numPr>
          <w:ilvl w:val="0"/>
          <w:numId w:val="1"/>
        </w:numPr>
        <w:spacing w:line="360" w:lineRule="auto"/>
        <w:ind w:left="470" w:right="-142" w:hanging="425"/>
        <w:contextualSpacing w:val="0"/>
        <w:jc w:val="both"/>
        <w:rPr>
          <w:rFonts w:cs="David"/>
          <w:sz w:val="24"/>
          <w:szCs w:val="24"/>
          <w:rtl/>
        </w:rPr>
      </w:pPr>
      <w:r w:rsidRPr="0019691D">
        <w:rPr>
          <w:rFonts w:cs="David" w:hint="cs"/>
          <w:sz w:val="24"/>
          <w:szCs w:val="24"/>
          <w:rtl/>
        </w:rPr>
        <w:t xml:space="preserve">הפרת זכות הטיעון מהווה פגם </w:t>
      </w:r>
      <w:proofErr w:type="spellStart"/>
      <w:r w:rsidRPr="0019691D">
        <w:rPr>
          <w:rFonts w:cs="David" w:hint="cs"/>
          <w:sz w:val="24"/>
          <w:szCs w:val="24"/>
          <w:rtl/>
        </w:rPr>
        <w:t>מינהלי</w:t>
      </w:r>
      <w:proofErr w:type="spellEnd"/>
      <w:r w:rsidRPr="0019691D">
        <w:rPr>
          <w:rFonts w:cs="David" w:hint="cs"/>
          <w:sz w:val="24"/>
          <w:szCs w:val="24"/>
          <w:rtl/>
        </w:rPr>
        <w:t xml:space="preserve"> חמור (</w:t>
      </w:r>
      <w:r w:rsidRPr="0019691D">
        <w:rPr>
          <w:rFonts w:cs="David" w:hint="cs"/>
          <w:b/>
          <w:bCs/>
          <w:sz w:val="24"/>
          <w:szCs w:val="24"/>
          <w:rtl/>
        </w:rPr>
        <w:t xml:space="preserve">ברק </w:t>
      </w:r>
      <w:r w:rsidRPr="0019691D">
        <w:rPr>
          <w:rFonts w:cs="David"/>
          <w:b/>
          <w:bCs/>
          <w:sz w:val="24"/>
          <w:szCs w:val="24"/>
          <w:rtl/>
        </w:rPr>
        <w:t>–</w:t>
      </w:r>
      <w:r w:rsidRPr="0019691D">
        <w:rPr>
          <w:rFonts w:cs="David" w:hint="cs"/>
          <w:b/>
          <w:bCs/>
          <w:sz w:val="24"/>
          <w:szCs w:val="24"/>
          <w:rtl/>
        </w:rPr>
        <w:t xml:space="preserve"> ארז</w:t>
      </w:r>
      <w:r w:rsidRPr="0019691D">
        <w:rPr>
          <w:rFonts w:cs="David" w:hint="cs"/>
          <w:sz w:val="24"/>
          <w:szCs w:val="24"/>
          <w:rtl/>
        </w:rPr>
        <w:t>, עמ' 528).</w:t>
      </w:r>
      <w:r w:rsidR="0019691D" w:rsidRPr="0019691D">
        <w:rPr>
          <w:rFonts w:cs="David" w:hint="cs"/>
          <w:sz w:val="24"/>
          <w:szCs w:val="24"/>
          <w:rtl/>
        </w:rPr>
        <w:t xml:space="preserve"> על חשיבות מימוש זכות הטיעון במסגרת דיון חוזר בוועדה המקומית עמד גם </w:t>
      </w:r>
      <w:r w:rsidR="00BE7827" w:rsidRPr="0019691D">
        <w:rPr>
          <w:rFonts w:cs="David" w:hint="cs"/>
          <w:sz w:val="24"/>
          <w:szCs w:val="24"/>
          <w:rtl/>
        </w:rPr>
        <w:t xml:space="preserve">כב' </w:t>
      </w:r>
      <w:proofErr w:type="spellStart"/>
      <w:r w:rsidR="00BE7827" w:rsidRPr="0019691D">
        <w:rPr>
          <w:rFonts w:cs="David" w:hint="cs"/>
          <w:sz w:val="24"/>
          <w:szCs w:val="24"/>
          <w:rtl/>
        </w:rPr>
        <w:t>הש</w:t>
      </w:r>
      <w:proofErr w:type="spellEnd"/>
      <w:r w:rsidR="00BE7827" w:rsidRPr="0019691D">
        <w:rPr>
          <w:rFonts w:cs="David" w:hint="cs"/>
          <w:sz w:val="24"/>
          <w:szCs w:val="24"/>
          <w:rtl/>
        </w:rPr>
        <w:t xml:space="preserve">' ד"ר א' </w:t>
      </w:r>
      <w:proofErr w:type="spellStart"/>
      <w:r w:rsidR="00BE7827" w:rsidRPr="0019691D">
        <w:rPr>
          <w:rFonts w:cs="David" w:hint="cs"/>
          <w:sz w:val="24"/>
          <w:szCs w:val="24"/>
          <w:rtl/>
        </w:rPr>
        <w:t>סוקול</w:t>
      </w:r>
      <w:proofErr w:type="spellEnd"/>
      <w:r w:rsidR="00BE7827" w:rsidRPr="0019691D">
        <w:rPr>
          <w:rFonts w:cs="David" w:hint="cs"/>
          <w:sz w:val="24"/>
          <w:szCs w:val="24"/>
          <w:rtl/>
        </w:rPr>
        <w:t xml:space="preserve"> ב</w:t>
      </w:r>
      <w:r w:rsidR="0019691D">
        <w:rPr>
          <w:rFonts w:cs="David" w:hint="cs"/>
          <w:sz w:val="24"/>
          <w:szCs w:val="24"/>
          <w:rtl/>
        </w:rPr>
        <w:t xml:space="preserve">פסק דינו </w:t>
      </w:r>
      <w:proofErr w:type="spellStart"/>
      <w:r w:rsidR="0019691D">
        <w:rPr>
          <w:rFonts w:cs="David" w:hint="cs"/>
          <w:sz w:val="24"/>
          <w:szCs w:val="24"/>
          <w:rtl/>
        </w:rPr>
        <w:t>ב</w:t>
      </w:r>
      <w:r w:rsidR="00BE7827" w:rsidRPr="0019691D">
        <w:rPr>
          <w:rFonts w:cs="David"/>
          <w:sz w:val="24"/>
          <w:szCs w:val="24"/>
          <w:rtl/>
        </w:rPr>
        <w:t>עת"מ</w:t>
      </w:r>
      <w:proofErr w:type="spellEnd"/>
      <w:r w:rsidR="00BE7827" w:rsidRPr="0019691D">
        <w:rPr>
          <w:rFonts w:cs="David"/>
          <w:sz w:val="24"/>
          <w:szCs w:val="24"/>
          <w:rtl/>
        </w:rPr>
        <w:t xml:space="preserve"> 7114-05-12 </w:t>
      </w:r>
      <w:r w:rsidR="00BE7827" w:rsidRPr="0019691D">
        <w:rPr>
          <w:rFonts w:cs="David" w:hint="cs"/>
          <w:sz w:val="24"/>
          <w:szCs w:val="24"/>
          <w:rtl/>
        </w:rPr>
        <w:t xml:space="preserve"> </w:t>
      </w:r>
      <w:r w:rsidR="00BE7827" w:rsidRPr="0019691D">
        <w:rPr>
          <w:rFonts w:cs="David" w:hint="cs"/>
          <w:b/>
          <w:bCs/>
          <w:sz w:val="24"/>
          <w:szCs w:val="24"/>
          <w:rtl/>
        </w:rPr>
        <w:t xml:space="preserve">אלוני </w:t>
      </w:r>
      <w:r w:rsidR="00BE7827" w:rsidRPr="0019691D">
        <w:rPr>
          <w:rFonts w:cs="David"/>
          <w:b/>
          <w:bCs/>
          <w:sz w:val="24"/>
          <w:szCs w:val="24"/>
          <w:rtl/>
        </w:rPr>
        <w:t>יפת נ' וע</w:t>
      </w:r>
      <w:r w:rsidR="00BE7827" w:rsidRPr="0019691D">
        <w:rPr>
          <w:rFonts w:cs="David" w:hint="cs"/>
          <w:b/>
          <w:bCs/>
          <w:sz w:val="24"/>
          <w:szCs w:val="24"/>
          <w:rtl/>
        </w:rPr>
        <w:t>ד</w:t>
      </w:r>
      <w:r w:rsidR="00BE7827" w:rsidRPr="0019691D">
        <w:rPr>
          <w:rFonts w:cs="David"/>
          <w:b/>
          <w:bCs/>
          <w:sz w:val="24"/>
          <w:szCs w:val="24"/>
          <w:rtl/>
        </w:rPr>
        <w:t>ת המשנה להתנגדויות של הועדה המחוזית לתכנון ובניה מחוז מרכז</w:t>
      </w:r>
      <w:r w:rsidR="00BE7827" w:rsidRPr="0019691D">
        <w:rPr>
          <w:rFonts w:cs="David"/>
          <w:sz w:val="24"/>
          <w:szCs w:val="24"/>
          <w:rtl/>
        </w:rPr>
        <w:t xml:space="preserve"> </w:t>
      </w:r>
      <w:r w:rsidR="00BE7827" w:rsidRPr="0019691D">
        <w:rPr>
          <w:rFonts w:cs="David" w:hint="cs"/>
          <w:sz w:val="24"/>
          <w:szCs w:val="24"/>
          <w:rtl/>
        </w:rPr>
        <w:t>(פורסם בנבו, 3.4.2014):</w:t>
      </w:r>
    </w:p>
    <w:p w14:paraId="5EBA1903" w14:textId="77777777" w:rsidR="00BE7827" w:rsidRPr="009174EB" w:rsidRDefault="00BE7827" w:rsidP="00BE7827">
      <w:pPr>
        <w:pStyle w:val="af1"/>
        <w:spacing w:after="120" w:line="240" w:lineRule="auto"/>
        <w:ind w:left="1602" w:right="992" w:hanging="425"/>
        <w:rPr>
          <w:rtl/>
        </w:rPr>
      </w:pPr>
      <w:r>
        <w:rPr>
          <w:rFonts w:hint="cs"/>
          <w:rtl/>
        </w:rPr>
        <w:t>"13</w:t>
      </w:r>
      <w:r w:rsidRPr="009174EB">
        <w:rPr>
          <w:rtl/>
        </w:rPr>
        <w:t>.</w:t>
      </w:r>
      <w:r>
        <w:rPr>
          <w:rFonts w:hint="cs"/>
          <w:rtl/>
        </w:rPr>
        <w:t xml:space="preserve"> </w:t>
      </w:r>
      <w:r w:rsidRPr="009174EB">
        <w:rPr>
          <w:rFonts w:hint="eastAsia"/>
          <w:rtl/>
        </w:rPr>
        <w:t>בפסק</w:t>
      </w:r>
      <w:r w:rsidRPr="009174EB">
        <w:rPr>
          <w:rtl/>
        </w:rPr>
        <w:t xml:space="preserve"> </w:t>
      </w:r>
      <w:r w:rsidRPr="009174EB">
        <w:rPr>
          <w:rFonts w:hint="eastAsia"/>
          <w:rtl/>
        </w:rPr>
        <w:t>הדין</w:t>
      </w:r>
      <w:r w:rsidRPr="009174EB">
        <w:rPr>
          <w:rtl/>
        </w:rPr>
        <w:t xml:space="preserve"> </w:t>
      </w:r>
      <w:r w:rsidRPr="009174EB">
        <w:rPr>
          <w:rFonts w:hint="eastAsia"/>
          <w:rtl/>
        </w:rPr>
        <w:t>בעניין</w:t>
      </w:r>
      <w:r w:rsidRPr="009174EB">
        <w:rPr>
          <w:rtl/>
        </w:rPr>
        <w:t xml:space="preserve"> </w:t>
      </w:r>
      <w:hyperlink r:id="rId25" w:history="1">
        <w:proofErr w:type="spellStart"/>
        <w:r w:rsidRPr="009174EB">
          <w:rPr>
            <w:rFonts w:hint="eastAsia"/>
            <w:rtl/>
          </w:rPr>
          <w:t>עת</w:t>
        </w:r>
        <w:r w:rsidRPr="009174EB">
          <w:rPr>
            <w:rtl/>
          </w:rPr>
          <w:t>"</w:t>
        </w:r>
        <w:r w:rsidRPr="009174EB">
          <w:rPr>
            <w:rFonts w:hint="eastAsia"/>
            <w:rtl/>
          </w:rPr>
          <w:t>מ</w:t>
        </w:r>
        <w:proofErr w:type="spellEnd"/>
        <w:r w:rsidRPr="009174EB">
          <w:rPr>
            <w:rtl/>
          </w:rPr>
          <w:t xml:space="preserve"> 28678-01-11</w:t>
        </w:r>
      </w:hyperlink>
      <w:r w:rsidRPr="009174EB">
        <w:rPr>
          <w:rtl/>
        </w:rPr>
        <w:t xml:space="preserve"> </w:t>
      </w:r>
      <w:r w:rsidRPr="009174EB">
        <w:rPr>
          <w:rFonts w:hint="eastAsia"/>
          <w:rtl/>
        </w:rPr>
        <w:t>ממן</w:t>
      </w:r>
      <w:r w:rsidRPr="009174EB">
        <w:rPr>
          <w:rtl/>
        </w:rPr>
        <w:t xml:space="preserve"> </w:t>
      </w:r>
      <w:r w:rsidRPr="009174EB">
        <w:rPr>
          <w:rFonts w:hint="eastAsia"/>
          <w:rtl/>
        </w:rPr>
        <w:t>נ</w:t>
      </w:r>
      <w:r w:rsidRPr="009174EB">
        <w:rPr>
          <w:rtl/>
        </w:rPr>
        <w:t xml:space="preserve">' </w:t>
      </w:r>
      <w:r w:rsidRPr="009174EB">
        <w:rPr>
          <w:rFonts w:hint="eastAsia"/>
          <w:rtl/>
        </w:rPr>
        <w:t>הוועדה</w:t>
      </w:r>
      <w:r w:rsidRPr="009174EB">
        <w:rPr>
          <w:rtl/>
        </w:rPr>
        <w:t xml:space="preserve"> </w:t>
      </w:r>
      <w:r w:rsidRPr="009174EB">
        <w:rPr>
          <w:rFonts w:hint="eastAsia"/>
          <w:rtl/>
        </w:rPr>
        <w:t>המקומית</w:t>
      </w:r>
      <w:r w:rsidRPr="009174EB">
        <w:rPr>
          <w:rtl/>
        </w:rPr>
        <w:t xml:space="preserve"> </w:t>
      </w:r>
      <w:r w:rsidRPr="009174EB">
        <w:rPr>
          <w:rFonts w:hint="eastAsia"/>
          <w:rtl/>
        </w:rPr>
        <w:t>לתכנון</w:t>
      </w:r>
      <w:r w:rsidRPr="009174EB">
        <w:rPr>
          <w:rtl/>
        </w:rPr>
        <w:t xml:space="preserve"> </w:t>
      </w:r>
      <w:r w:rsidRPr="009174EB">
        <w:rPr>
          <w:rFonts w:hint="eastAsia"/>
          <w:rtl/>
        </w:rPr>
        <w:t>ובניה</w:t>
      </w:r>
      <w:r w:rsidRPr="009174EB">
        <w:rPr>
          <w:rtl/>
        </w:rPr>
        <w:t xml:space="preserve"> </w:t>
      </w:r>
      <w:r w:rsidRPr="009174EB">
        <w:rPr>
          <w:rFonts w:hint="eastAsia"/>
          <w:rtl/>
        </w:rPr>
        <w:t>זמורה</w:t>
      </w:r>
      <w:r w:rsidRPr="009174EB">
        <w:rPr>
          <w:rtl/>
        </w:rPr>
        <w:t xml:space="preserve"> (</w:t>
      </w:r>
      <w:r w:rsidRPr="009174EB">
        <w:rPr>
          <w:rFonts w:hint="eastAsia"/>
          <w:rtl/>
        </w:rPr>
        <w:t>פורסם</w:t>
      </w:r>
      <w:r w:rsidRPr="009174EB">
        <w:rPr>
          <w:rtl/>
        </w:rPr>
        <w:t xml:space="preserve"> </w:t>
      </w:r>
      <w:r w:rsidRPr="009174EB">
        <w:rPr>
          <w:rFonts w:hint="eastAsia"/>
          <w:rtl/>
        </w:rPr>
        <w:t>בנבו</w:t>
      </w:r>
      <w:r w:rsidRPr="009174EB">
        <w:rPr>
          <w:rtl/>
        </w:rPr>
        <w:t xml:space="preserve">, </w:t>
      </w:r>
      <w:r w:rsidRPr="009174EB">
        <w:rPr>
          <w:rFonts w:hint="eastAsia"/>
          <w:rtl/>
        </w:rPr>
        <w:t>ניתן</w:t>
      </w:r>
      <w:r w:rsidRPr="009174EB">
        <w:rPr>
          <w:rtl/>
        </w:rPr>
        <w:t xml:space="preserve"> </w:t>
      </w:r>
      <w:r w:rsidRPr="009174EB">
        <w:rPr>
          <w:rFonts w:hint="eastAsia"/>
          <w:rtl/>
        </w:rPr>
        <w:t>ביום</w:t>
      </w:r>
      <w:r w:rsidRPr="009174EB">
        <w:rPr>
          <w:rtl/>
        </w:rPr>
        <w:t xml:space="preserve"> 31.5.11) </w:t>
      </w:r>
      <w:r w:rsidRPr="009174EB">
        <w:rPr>
          <w:rFonts w:hint="eastAsia"/>
          <w:rtl/>
        </w:rPr>
        <w:t>קבע</w:t>
      </w:r>
      <w:r w:rsidRPr="009174EB">
        <w:rPr>
          <w:rtl/>
        </w:rPr>
        <w:t xml:space="preserve"> </w:t>
      </w:r>
      <w:r w:rsidRPr="009174EB">
        <w:rPr>
          <w:rFonts w:hint="eastAsia"/>
          <w:rtl/>
        </w:rPr>
        <w:t>חברי</w:t>
      </w:r>
      <w:r w:rsidRPr="009174EB">
        <w:rPr>
          <w:rtl/>
        </w:rPr>
        <w:t xml:space="preserve"> </w:t>
      </w:r>
      <w:r w:rsidRPr="009174EB">
        <w:rPr>
          <w:rFonts w:hint="eastAsia"/>
          <w:rtl/>
        </w:rPr>
        <w:t>כב</w:t>
      </w:r>
      <w:r w:rsidRPr="009174EB">
        <w:rPr>
          <w:rtl/>
        </w:rPr>
        <w:t xml:space="preserve">' </w:t>
      </w:r>
      <w:r w:rsidRPr="009174EB">
        <w:rPr>
          <w:rFonts w:hint="eastAsia"/>
          <w:rtl/>
        </w:rPr>
        <w:t>השופט</w:t>
      </w:r>
      <w:r w:rsidRPr="009174EB">
        <w:rPr>
          <w:rtl/>
        </w:rPr>
        <w:t xml:space="preserve"> </w:t>
      </w:r>
      <w:r w:rsidRPr="009174EB">
        <w:rPr>
          <w:rFonts w:hint="eastAsia"/>
          <w:rtl/>
        </w:rPr>
        <w:t>רמי</w:t>
      </w:r>
      <w:r w:rsidRPr="009174EB">
        <w:rPr>
          <w:rtl/>
        </w:rPr>
        <w:t xml:space="preserve"> </w:t>
      </w:r>
      <w:r w:rsidRPr="009174EB">
        <w:rPr>
          <w:rFonts w:hint="eastAsia"/>
          <w:rtl/>
        </w:rPr>
        <w:t>אמיר</w:t>
      </w:r>
      <w:r w:rsidRPr="009174EB">
        <w:rPr>
          <w:rtl/>
        </w:rPr>
        <w:t xml:space="preserve">, </w:t>
      </w:r>
      <w:r w:rsidRPr="009174EB">
        <w:rPr>
          <w:rFonts w:hint="eastAsia"/>
          <w:rtl/>
        </w:rPr>
        <w:t>כי</w:t>
      </w:r>
      <w:r w:rsidRPr="009174EB">
        <w:rPr>
          <w:rtl/>
        </w:rPr>
        <w:t xml:space="preserve"> </w:t>
      </w:r>
      <w:r w:rsidRPr="009174EB">
        <w:rPr>
          <w:rFonts w:hint="eastAsia"/>
          <w:rtl/>
        </w:rPr>
        <w:t>יש</w:t>
      </w:r>
      <w:r w:rsidRPr="009174EB">
        <w:rPr>
          <w:rtl/>
        </w:rPr>
        <w:t xml:space="preserve"> </w:t>
      </w:r>
      <w:r w:rsidRPr="009174EB">
        <w:rPr>
          <w:rFonts w:hint="eastAsia"/>
          <w:rtl/>
        </w:rPr>
        <w:t>לבטל</w:t>
      </w:r>
      <w:r w:rsidRPr="009174EB">
        <w:rPr>
          <w:rtl/>
        </w:rPr>
        <w:t xml:space="preserve"> </w:t>
      </w:r>
      <w:r w:rsidRPr="009174EB">
        <w:rPr>
          <w:rFonts w:hint="eastAsia"/>
          <w:rtl/>
        </w:rPr>
        <w:t>החלטה</w:t>
      </w:r>
      <w:r w:rsidRPr="009174EB">
        <w:rPr>
          <w:rtl/>
        </w:rPr>
        <w:t xml:space="preserve"> </w:t>
      </w:r>
      <w:r w:rsidRPr="009174EB">
        <w:rPr>
          <w:rFonts w:hint="eastAsia"/>
          <w:rtl/>
        </w:rPr>
        <w:t>של</w:t>
      </w:r>
      <w:r w:rsidRPr="009174EB">
        <w:rPr>
          <w:rtl/>
        </w:rPr>
        <w:t xml:space="preserve"> </w:t>
      </w:r>
      <w:r w:rsidRPr="009174EB">
        <w:rPr>
          <w:rFonts w:hint="eastAsia"/>
          <w:rtl/>
        </w:rPr>
        <w:t>הוועדה</w:t>
      </w:r>
      <w:r w:rsidRPr="009174EB">
        <w:rPr>
          <w:rtl/>
        </w:rPr>
        <w:t xml:space="preserve"> </w:t>
      </w:r>
      <w:r w:rsidRPr="009174EB">
        <w:rPr>
          <w:rFonts w:hint="eastAsia"/>
          <w:rtl/>
        </w:rPr>
        <w:t>המקומית</w:t>
      </w:r>
      <w:r w:rsidRPr="009174EB">
        <w:rPr>
          <w:rtl/>
        </w:rPr>
        <w:t xml:space="preserve"> </w:t>
      </w:r>
      <w:r w:rsidRPr="009174EB">
        <w:rPr>
          <w:rFonts w:hint="eastAsia"/>
          <w:rtl/>
        </w:rPr>
        <w:t>בדיון</w:t>
      </w:r>
      <w:r w:rsidRPr="009174EB">
        <w:rPr>
          <w:rtl/>
        </w:rPr>
        <w:t xml:space="preserve"> </w:t>
      </w:r>
      <w:r w:rsidRPr="009174EB">
        <w:rPr>
          <w:rFonts w:hint="eastAsia"/>
          <w:rtl/>
        </w:rPr>
        <w:t>חוזר</w:t>
      </w:r>
      <w:r w:rsidRPr="009174EB">
        <w:rPr>
          <w:rtl/>
        </w:rPr>
        <w:t xml:space="preserve">, </w:t>
      </w:r>
      <w:r w:rsidRPr="009174EB">
        <w:rPr>
          <w:rFonts w:hint="eastAsia"/>
          <w:rtl/>
        </w:rPr>
        <w:t>שעניינה</w:t>
      </w:r>
      <w:r w:rsidRPr="009174EB">
        <w:rPr>
          <w:rtl/>
        </w:rPr>
        <w:t xml:space="preserve"> </w:t>
      </w:r>
      <w:r w:rsidRPr="009174EB">
        <w:rPr>
          <w:rFonts w:hint="eastAsia"/>
          <w:rtl/>
        </w:rPr>
        <w:t>היה</w:t>
      </w:r>
      <w:r w:rsidRPr="009174EB">
        <w:rPr>
          <w:rtl/>
        </w:rPr>
        <w:t xml:space="preserve"> </w:t>
      </w:r>
      <w:r w:rsidRPr="009174EB">
        <w:rPr>
          <w:rFonts w:hint="eastAsia"/>
          <w:rtl/>
        </w:rPr>
        <w:t>בקשה</w:t>
      </w:r>
      <w:r w:rsidRPr="009174EB">
        <w:rPr>
          <w:rtl/>
        </w:rPr>
        <w:t xml:space="preserve"> </w:t>
      </w:r>
      <w:r w:rsidRPr="009174EB">
        <w:rPr>
          <w:rFonts w:hint="eastAsia"/>
          <w:rtl/>
        </w:rPr>
        <w:t>למתן</w:t>
      </w:r>
      <w:r w:rsidRPr="009174EB">
        <w:rPr>
          <w:rtl/>
        </w:rPr>
        <w:t xml:space="preserve"> </w:t>
      </w:r>
      <w:r w:rsidRPr="009174EB">
        <w:rPr>
          <w:rFonts w:hint="eastAsia"/>
          <w:rtl/>
        </w:rPr>
        <w:t>היתר</w:t>
      </w:r>
      <w:r w:rsidRPr="009174EB">
        <w:rPr>
          <w:rtl/>
        </w:rPr>
        <w:t xml:space="preserve"> </w:t>
      </w:r>
      <w:r w:rsidRPr="009174EB">
        <w:rPr>
          <w:rFonts w:hint="eastAsia"/>
          <w:rtl/>
        </w:rPr>
        <w:t>בניה</w:t>
      </w:r>
      <w:r w:rsidRPr="009174EB">
        <w:rPr>
          <w:rtl/>
        </w:rPr>
        <w:t xml:space="preserve"> </w:t>
      </w:r>
      <w:r w:rsidRPr="009174EB">
        <w:rPr>
          <w:rFonts w:hint="eastAsia"/>
          <w:rtl/>
        </w:rPr>
        <w:t>מטעם</w:t>
      </w:r>
      <w:r w:rsidRPr="009174EB">
        <w:rPr>
          <w:rtl/>
        </w:rPr>
        <w:t xml:space="preserve"> </w:t>
      </w:r>
      <w:r w:rsidRPr="009174EB">
        <w:rPr>
          <w:rFonts w:hint="eastAsia"/>
          <w:rtl/>
        </w:rPr>
        <w:t>העותר</w:t>
      </w:r>
      <w:r w:rsidRPr="009174EB">
        <w:rPr>
          <w:rtl/>
        </w:rPr>
        <w:t xml:space="preserve">, </w:t>
      </w:r>
      <w:r w:rsidRPr="009174EB">
        <w:rPr>
          <w:rFonts w:hint="eastAsia"/>
          <w:rtl/>
        </w:rPr>
        <w:t>וזאת</w:t>
      </w:r>
      <w:r w:rsidRPr="009174EB">
        <w:rPr>
          <w:rtl/>
        </w:rPr>
        <w:t xml:space="preserve"> </w:t>
      </w:r>
      <w:r w:rsidRPr="009174EB">
        <w:rPr>
          <w:rFonts w:hint="eastAsia"/>
          <w:rtl/>
        </w:rPr>
        <w:t>משום</w:t>
      </w:r>
      <w:r w:rsidRPr="009174EB">
        <w:rPr>
          <w:rtl/>
        </w:rPr>
        <w:t xml:space="preserve"> </w:t>
      </w:r>
      <w:r w:rsidRPr="009174EB">
        <w:rPr>
          <w:rFonts w:hint="eastAsia"/>
          <w:rtl/>
        </w:rPr>
        <w:t>שהעותר</w:t>
      </w:r>
      <w:r w:rsidRPr="009174EB">
        <w:rPr>
          <w:rtl/>
        </w:rPr>
        <w:t xml:space="preserve"> </w:t>
      </w:r>
      <w:r w:rsidRPr="009174EB">
        <w:rPr>
          <w:rFonts w:hint="eastAsia"/>
          <w:rtl/>
        </w:rPr>
        <w:t>לא</w:t>
      </w:r>
      <w:r w:rsidRPr="009174EB">
        <w:rPr>
          <w:rtl/>
        </w:rPr>
        <w:t xml:space="preserve"> </w:t>
      </w:r>
      <w:r w:rsidRPr="009174EB">
        <w:rPr>
          <w:rFonts w:hint="eastAsia"/>
          <w:rtl/>
        </w:rPr>
        <w:t>זומן</w:t>
      </w:r>
      <w:r w:rsidRPr="009174EB">
        <w:rPr>
          <w:rtl/>
        </w:rPr>
        <w:t xml:space="preserve"> </w:t>
      </w:r>
      <w:r w:rsidRPr="009174EB">
        <w:rPr>
          <w:rFonts w:hint="eastAsia"/>
          <w:rtl/>
        </w:rPr>
        <w:t>לדיון</w:t>
      </w:r>
      <w:r w:rsidRPr="009174EB">
        <w:rPr>
          <w:rtl/>
        </w:rPr>
        <w:t xml:space="preserve"> </w:t>
      </w:r>
      <w:r w:rsidRPr="009174EB">
        <w:rPr>
          <w:rFonts w:hint="eastAsia"/>
          <w:rtl/>
        </w:rPr>
        <w:t>החוזר</w:t>
      </w:r>
      <w:r w:rsidRPr="009174EB">
        <w:rPr>
          <w:rtl/>
        </w:rPr>
        <w:t xml:space="preserve">. </w:t>
      </w:r>
      <w:r w:rsidRPr="009174EB">
        <w:rPr>
          <w:rFonts w:hint="eastAsia"/>
          <w:rtl/>
        </w:rPr>
        <w:t>וכך</w:t>
      </w:r>
      <w:r w:rsidRPr="009174EB">
        <w:rPr>
          <w:rtl/>
        </w:rPr>
        <w:t xml:space="preserve"> </w:t>
      </w:r>
      <w:r w:rsidRPr="009174EB">
        <w:rPr>
          <w:rFonts w:hint="eastAsia"/>
          <w:rtl/>
        </w:rPr>
        <w:t>קבע</w:t>
      </w:r>
      <w:r w:rsidRPr="009174EB">
        <w:rPr>
          <w:rtl/>
        </w:rPr>
        <w:t xml:space="preserve">: </w:t>
      </w:r>
    </w:p>
    <w:p w14:paraId="245E69F3" w14:textId="77777777" w:rsidR="00BE7827" w:rsidRPr="009174EB" w:rsidRDefault="00BE7827" w:rsidP="00BE7827">
      <w:pPr>
        <w:pStyle w:val="af1"/>
        <w:spacing w:after="120" w:line="240" w:lineRule="auto"/>
        <w:ind w:left="1886" w:right="1418"/>
        <w:rPr>
          <w:rtl/>
        </w:rPr>
      </w:pPr>
      <w:r w:rsidRPr="009174EB">
        <w:rPr>
          <w:rtl/>
        </w:rPr>
        <w:t>"</w:t>
      </w:r>
      <w:r w:rsidRPr="009174EB">
        <w:rPr>
          <w:rFonts w:hint="eastAsia"/>
          <w:rtl/>
        </w:rPr>
        <w:t>לכל</w:t>
      </w:r>
      <w:r w:rsidRPr="009174EB">
        <w:rPr>
          <w:rtl/>
        </w:rPr>
        <w:t xml:space="preserve"> </w:t>
      </w:r>
      <w:r w:rsidRPr="009174EB">
        <w:rPr>
          <w:rFonts w:hint="eastAsia"/>
          <w:rtl/>
        </w:rPr>
        <w:t>דיון</w:t>
      </w:r>
      <w:r w:rsidRPr="009174EB">
        <w:rPr>
          <w:rtl/>
        </w:rPr>
        <w:t xml:space="preserve"> </w:t>
      </w:r>
      <w:r w:rsidRPr="009174EB">
        <w:rPr>
          <w:rFonts w:hint="eastAsia"/>
          <w:rtl/>
        </w:rPr>
        <w:t>חוזר</w:t>
      </w:r>
      <w:r w:rsidRPr="009174EB">
        <w:rPr>
          <w:rtl/>
        </w:rPr>
        <w:t xml:space="preserve"> </w:t>
      </w:r>
      <w:r w:rsidRPr="009174EB">
        <w:rPr>
          <w:rFonts w:hint="eastAsia"/>
          <w:rtl/>
        </w:rPr>
        <w:t>כזה</w:t>
      </w:r>
      <w:r w:rsidRPr="009174EB">
        <w:rPr>
          <w:rtl/>
        </w:rPr>
        <w:t xml:space="preserve">, </w:t>
      </w:r>
      <w:r w:rsidRPr="009174EB">
        <w:rPr>
          <w:rFonts w:hint="eastAsia"/>
          <w:rtl/>
        </w:rPr>
        <w:t>כמו</w:t>
      </w:r>
      <w:r w:rsidRPr="009174EB">
        <w:rPr>
          <w:rtl/>
        </w:rPr>
        <w:t xml:space="preserve"> </w:t>
      </w:r>
      <w:r w:rsidRPr="009174EB">
        <w:rPr>
          <w:rFonts w:hint="eastAsia"/>
          <w:rtl/>
        </w:rPr>
        <w:t>גם</w:t>
      </w:r>
      <w:r w:rsidRPr="009174EB">
        <w:rPr>
          <w:rtl/>
        </w:rPr>
        <w:t xml:space="preserve"> </w:t>
      </w:r>
      <w:r w:rsidRPr="009174EB">
        <w:rPr>
          <w:rFonts w:hint="eastAsia"/>
          <w:rtl/>
        </w:rPr>
        <w:t>לכל</w:t>
      </w:r>
      <w:r w:rsidRPr="009174EB">
        <w:rPr>
          <w:rtl/>
        </w:rPr>
        <w:t xml:space="preserve"> </w:t>
      </w:r>
      <w:r w:rsidRPr="009174EB">
        <w:rPr>
          <w:rFonts w:hint="eastAsia"/>
          <w:rtl/>
        </w:rPr>
        <w:t>דיון</w:t>
      </w:r>
      <w:r w:rsidRPr="009174EB">
        <w:rPr>
          <w:rtl/>
        </w:rPr>
        <w:t xml:space="preserve"> </w:t>
      </w:r>
      <w:r w:rsidRPr="009174EB">
        <w:rPr>
          <w:rFonts w:hint="eastAsia"/>
          <w:rtl/>
        </w:rPr>
        <w:t>מקורי</w:t>
      </w:r>
      <w:r w:rsidRPr="009174EB">
        <w:rPr>
          <w:rtl/>
        </w:rPr>
        <w:t xml:space="preserve">, </w:t>
      </w:r>
      <w:r w:rsidRPr="009174EB">
        <w:rPr>
          <w:rFonts w:hint="eastAsia"/>
          <w:rtl/>
        </w:rPr>
        <w:t>יש</w:t>
      </w:r>
      <w:r w:rsidRPr="009174EB">
        <w:rPr>
          <w:rtl/>
        </w:rPr>
        <w:t xml:space="preserve"> </w:t>
      </w:r>
      <w:r w:rsidRPr="009174EB">
        <w:rPr>
          <w:rFonts w:hint="eastAsia"/>
          <w:rtl/>
        </w:rPr>
        <w:t>לזמן</w:t>
      </w:r>
      <w:r w:rsidRPr="009174EB">
        <w:rPr>
          <w:rtl/>
        </w:rPr>
        <w:t xml:space="preserve"> </w:t>
      </w:r>
      <w:r w:rsidRPr="009174EB">
        <w:rPr>
          <w:rFonts w:hint="eastAsia"/>
          <w:rtl/>
        </w:rPr>
        <w:t>את</w:t>
      </w:r>
      <w:r w:rsidRPr="009174EB">
        <w:rPr>
          <w:rtl/>
        </w:rPr>
        <w:t xml:space="preserve"> </w:t>
      </w:r>
      <w:r w:rsidRPr="009174EB">
        <w:rPr>
          <w:rFonts w:hint="eastAsia"/>
          <w:rtl/>
        </w:rPr>
        <w:t>בעל</w:t>
      </w:r>
      <w:r w:rsidRPr="009174EB">
        <w:rPr>
          <w:rtl/>
        </w:rPr>
        <w:t xml:space="preserve"> </w:t>
      </w:r>
      <w:r w:rsidRPr="009174EB">
        <w:rPr>
          <w:rFonts w:hint="eastAsia"/>
          <w:rtl/>
        </w:rPr>
        <w:t>הדבר</w:t>
      </w:r>
      <w:r w:rsidRPr="009174EB">
        <w:rPr>
          <w:rtl/>
        </w:rPr>
        <w:t xml:space="preserve">, </w:t>
      </w:r>
      <w:r w:rsidRPr="009174EB">
        <w:rPr>
          <w:rFonts w:hint="eastAsia"/>
          <w:rtl/>
        </w:rPr>
        <w:t>קרי</w:t>
      </w:r>
      <w:r w:rsidRPr="009174EB">
        <w:rPr>
          <w:rtl/>
        </w:rPr>
        <w:t xml:space="preserve"> </w:t>
      </w:r>
      <w:r w:rsidRPr="009174EB">
        <w:rPr>
          <w:rFonts w:hint="eastAsia"/>
          <w:rtl/>
        </w:rPr>
        <w:t>את</w:t>
      </w:r>
      <w:r w:rsidRPr="009174EB">
        <w:rPr>
          <w:rtl/>
        </w:rPr>
        <w:t xml:space="preserve"> </w:t>
      </w:r>
      <w:r w:rsidRPr="009174EB">
        <w:rPr>
          <w:rFonts w:hint="eastAsia"/>
          <w:rtl/>
        </w:rPr>
        <w:t>מבקש</w:t>
      </w:r>
      <w:r w:rsidRPr="009174EB">
        <w:rPr>
          <w:rtl/>
        </w:rPr>
        <w:t xml:space="preserve"> </w:t>
      </w:r>
      <w:r w:rsidRPr="009174EB">
        <w:rPr>
          <w:rFonts w:hint="eastAsia"/>
          <w:rtl/>
        </w:rPr>
        <w:t>ההיתר</w:t>
      </w:r>
      <w:r w:rsidRPr="009174EB">
        <w:rPr>
          <w:rtl/>
        </w:rPr>
        <w:t xml:space="preserve">, </w:t>
      </w:r>
      <w:r w:rsidRPr="009174EB">
        <w:rPr>
          <w:rFonts w:hint="eastAsia"/>
          <w:rtl/>
        </w:rPr>
        <w:t>וגם</w:t>
      </w:r>
      <w:r w:rsidRPr="009174EB">
        <w:rPr>
          <w:rtl/>
        </w:rPr>
        <w:t xml:space="preserve"> </w:t>
      </w:r>
      <w:r w:rsidRPr="009174EB">
        <w:rPr>
          <w:rFonts w:hint="eastAsia"/>
          <w:rtl/>
        </w:rPr>
        <w:t>את</w:t>
      </w:r>
      <w:r w:rsidRPr="009174EB">
        <w:rPr>
          <w:rtl/>
        </w:rPr>
        <w:t xml:space="preserve"> </w:t>
      </w:r>
      <w:r w:rsidRPr="009174EB">
        <w:rPr>
          <w:rFonts w:hint="eastAsia"/>
          <w:rtl/>
        </w:rPr>
        <w:t>המתנגדים</w:t>
      </w:r>
      <w:r w:rsidRPr="009174EB">
        <w:rPr>
          <w:rtl/>
        </w:rPr>
        <w:t xml:space="preserve"> </w:t>
      </w:r>
      <w:r w:rsidRPr="009174EB">
        <w:rPr>
          <w:rFonts w:hint="eastAsia"/>
          <w:rtl/>
        </w:rPr>
        <w:t>ככל</w:t>
      </w:r>
      <w:r w:rsidRPr="009174EB">
        <w:rPr>
          <w:rtl/>
        </w:rPr>
        <w:t xml:space="preserve"> </w:t>
      </w:r>
      <w:r w:rsidRPr="009174EB">
        <w:rPr>
          <w:rFonts w:hint="eastAsia"/>
          <w:rtl/>
        </w:rPr>
        <w:t>שיש</w:t>
      </w:r>
      <w:r w:rsidRPr="009174EB">
        <w:rPr>
          <w:rtl/>
        </w:rPr>
        <w:t xml:space="preserve"> </w:t>
      </w:r>
      <w:r w:rsidRPr="009174EB">
        <w:rPr>
          <w:rFonts w:hint="eastAsia"/>
          <w:rtl/>
        </w:rPr>
        <w:t>כאלו</w:t>
      </w:r>
      <w:r w:rsidRPr="009174EB">
        <w:rPr>
          <w:rtl/>
        </w:rPr>
        <w:t xml:space="preserve">, </w:t>
      </w:r>
      <w:r w:rsidRPr="009174EB">
        <w:rPr>
          <w:rFonts w:hint="eastAsia"/>
          <w:rtl/>
        </w:rPr>
        <w:t>ויש</w:t>
      </w:r>
      <w:r w:rsidRPr="009174EB">
        <w:rPr>
          <w:rtl/>
        </w:rPr>
        <w:t xml:space="preserve"> </w:t>
      </w:r>
      <w:r w:rsidRPr="009174EB">
        <w:rPr>
          <w:rFonts w:hint="eastAsia"/>
          <w:rtl/>
        </w:rPr>
        <w:t>לאפשר</w:t>
      </w:r>
      <w:r w:rsidRPr="009174EB">
        <w:rPr>
          <w:rtl/>
        </w:rPr>
        <w:t xml:space="preserve"> </w:t>
      </w:r>
      <w:r w:rsidRPr="009174EB">
        <w:rPr>
          <w:rFonts w:hint="eastAsia"/>
          <w:rtl/>
        </w:rPr>
        <w:t>לו</w:t>
      </w:r>
      <w:r w:rsidRPr="009174EB">
        <w:rPr>
          <w:rtl/>
        </w:rPr>
        <w:t xml:space="preserve"> </w:t>
      </w:r>
      <w:r w:rsidRPr="009174EB">
        <w:rPr>
          <w:rFonts w:hint="eastAsia"/>
          <w:rtl/>
        </w:rPr>
        <w:t>להביא</w:t>
      </w:r>
      <w:r w:rsidRPr="009174EB">
        <w:rPr>
          <w:rtl/>
        </w:rPr>
        <w:t xml:space="preserve"> </w:t>
      </w:r>
      <w:r w:rsidRPr="009174EB">
        <w:rPr>
          <w:rFonts w:hint="eastAsia"/>
          <w:rtl/>
        </w:rPr>
        <w:t>את</w:t>
      </w:r>
      <w:r w:rsidRPr="009174EB">
        <w:rPr>
          <w:rtl/>
        </w:rPr>
        <w:t xml:space="preserve"> </w:t>
      </w:r>
      <w:r w:rsidRPr="009174EB">
        <w:rPr>
          <w:rFonts w:hint="eastAsia"/>
          <w:rtl/>
        </w:rPr>
        <w:t>דבריו</w:t>
      </w:r>
      <w:r w:rsidRPr="009174EB">
        <w:rPr>
          <w:rtl/>
        </w:rPr>
        <w:t>.</w:t>
      </w:r>
    </w:p>
    <w:p w14:paraId="55134B4B" w14:textId="77777777" w:rsidR="00BE7827" w:rsidRPr="009174EB" w:rsidRDefault="00BE7827" w:rsidP="00BE7827">
      <w:pPr>
        <w:pStyle w:val="af1"/>
        <w:spacing w:after="120" w:line="240" w:lineRule="auto"/>
        <w:ind w:left="1886" w:right="1418"/>
        <w:rPr>
          <w:rtl/>
        </w:rPr>
      </w:pPr>
      <w:r w:rsidRPr="009174EB">
        <w:rPr>
          <w:rFonts w:hint="eastAsia"/>
          <w:rtl/>
        </w:rPr>
        <w:t>הדברים</w:t>
      </w:r>
      <w:r w:rsidRPr="009174EB">
        <w:rPr>
          <w:rtl/>
        </w:rPr>
        <w:t xml:space="preserve"> </w:t>
      </w:r>
      <w:r w:rsidRPr="009174EB">
        <w:rPr>
          <w:rFonts w:hint="eastAsia"/>
          <w:rtl/>
        </w:rPr>
        <w:t>רשומים</w:t>
      </w:r>
      <w:r w:rsidRPr="009174EB">
        <w:rPr>
          <w:rtl/>
        </w:rPr>
        <w:t xml:space="preserve"> </w:t>
      </w:r>
      <w:r w:rsidRPr="009174EB">
        <w:rPr>
          <w:rFonts w:hint="eastAsia"/>
          <w:rtl/>
        </w:rPr>
        <w:t>באופן</w:t>
      </w:r>
      <w:r w:rsidRPr="009174EB">
        <w:rPr>
          <w:rtl/>
        </w:rPr>
        <w:t xml:space="preserve"> </w:t>
      </w:r>
      <w:r w:rsidRPr="009174EB">
        <w:rPr>
          <w:rFonts w:hint="eastAsia"/>
          <w:rtl/>
        </w:rPr>
        <w:t>מפורש</w:t>
      </w:r>
      <w:r w:rsidRPr="009174EB">
        <w:rPr>
          <w:rtl/>
        </w:rPr>
        <w:t xml:space="preserve"> </w:t>
      </w:r>
      <w:r w:rsidRPr="009174EB">
        <w:rPr>
          <w:rFonts w:hint="eastAsia"/>
          <w:rtl/>
        </w:rPr>
        <w:t>בתקנה</w:t>
      </w:r>
      <w:r w:rsidRPr="009174EB">
        <w:rPr>
          <w:rtl/>
        </w:rPr>
        <w:t xml:space="preserve"> 5 </w:t>
      </w:r>
      <w:r w:rsidRPr="009174EB">
        <w:rPr>
          <w:rFonts w:hint="eastAsia"/>
          <w:rtl/>
        </w:rPr>
        <w:t>ל</w:t>
      </w:r>
      <w:hyperlink r:id="rId26" w:history="1">
        <w:r w:rsidRPr="009174EB">
          <w:rPr>
            <w:rFonts w:hint="eastAsia"/>
            <w:rtl/>
          </w:rPr>
          <w:t>תקנות</w:t>
        </w:r>
        <w:r w:rsidRPr="009174EB">
          <w:rPr>
            <w:rtl/>
          </w:rPr>
          <w:t xml:space="preserve"> </w:t>
        </w:r>
        <w:r w:rsidRPr="009174EB">
          <w:rPr>
            <w:rFonts w:hint="eastAsia"/>
            <w:rtl/>
          </w:rPr>
          <w:t>התכנון</w:t>
        </w:r>
        <w:r w:rsidRPr="009174EB">
          <w:rPr>
            <w:rtl/>
          </w:rPr>
          <w:t xml:space="preserve"> </w:t>
        </w:r>
        <w:r w:rsidRPr="009174EB">
          <w:rPr>
            <w:rFonts w:hint="eastAsia"/>
            <w:rtl/>
          </w:rPr>
          <w:t>והבניה</w:t>
        </w:r>
        <w:r w:rsidRPr="009174EB">
          <w:rPr>
            <w:rtl/>
          </w:rPr>
          <w:t xml:space="preserve"> (</w:t>
        </w:r>
        <w:r w:rsidRPr="009174EB">
          <w:rPr>
            <w:rFonts w:hint="eastAsia"/>
            <w:rtl/>
          </w:rPr>
          <w:t>סדרי</w:t>
        </w:r>
        <w:r w:rsidRPr="009174EB">
          <w:rPr>
            <w:rtl/>
          </w:rPr>
          <w:t xml:space="preserve"> </w:t>
        </w:r>
        <w:r w:rsidRPr="009174EB">
          <w:rPr>
            <w:rFonts w:hint="eastAsia"/>
            <w:rtl/>
          </w:rPr>
          <w:t>הדיון</w:t>
        </w:r>
        <w:r w:rsidRPr="009174EB">
          <w:rPr>
            <w:rtl/>
          </w:rPr>
          <w:t xml:space="preserve"> </w:t>
        </w:r>
        <w:r w:rsidRPr="009174EB">
          <w:rPr>
            <w:rFonts w:hint="eastAsia"/>
            <w:rtl/>
          </w:rPr>
          <w:t>בקיום</w:t>
        </w:r>
        <w:r w:rsidRPr="009174EB">
          <w:rPr>
            <w:rtl/>
          </w:rPr>
          <w:t xml:space="preserve"> </w:t>
        </w:r>
        <w:r w:rsidRPr="009174EB">
          <w:rPr>
            <w:rFonts w:hint="eastAsia"/>
            <w:rtl/>
          </w:rPr>
          <w:t>דיון</w:t>
        </w:r>
        <w:r w:rsidRPr="009174EB">
          <w:rPr>
            <w:rtl/>
          </w:rPr>
          <w:t xml:space="preserve"> </w:t>
        </w:r>
        <w:r w:rsidRPr="009174EB">
          <w:rPr>
            <w:rFonts w:hint="eastAsia"/>
            <w:rtl/>
          </w:rPr>
          <w:t>חוזר</w:t>
        </w:r>
        <w:r w:rsidRPr="009174EB">
          <w:rPr>
            <w:rtl/>
          </w:rPr>
          <w:t xml:space="preserve"> </w:t>
        </w:r>
        <w:r w:rsidRPr="009174EB">
          <w:rPr>
            <w:rFonts w:hint="eastAsia"/>
            <w:rtl/>
          </w:rPr>
          <w:t>במוסד</w:t>
        </w:r>
        <w:r w:rsidRPr="009174EB">
          <w:rPr>
            <w:rtl/>
          </w:rPr>
          <w:t xml:space="preserve"> </w:t>
        </w:r>
        <w:r w:rsidRPr="009174EB">
          <w:rPr>
            <w:rFonts w:hint="eastAsia"/>
            <w:rtl/>
          </w:rPr>
          <w:t>תכנון</w:t>
        </w:r>
        <w:r w:rsidRPr="009174EB">
          <w:rPr>
            <w:rtl/>
          </w:rPr>
          <w:t>)</w:t>
        </w:r>
      </w:hyperlink>
      <w:r w:rsidRPr="009174EB">
        <w:rPr>
          <w:rtl/>
        </w:rPr>
        <w:t xml:space="preserve">, </w:t>
      </w:r>
      <w:proofErr w:type="spellStart"/>
      <w:r w:rsidRPr="009174EB">
        <w:rPr>
          <w:rFonts w:hint="eastAsia"/>
          <w:rtl/>
        </w:rPr>
        <w:t>התשס</w:t>
      </w:r>
      <w:r w:rsidRPr="009174EB">
        <w:rPr>
          <w:rtl/>
        </w:rPr>
        <w:t>"</w:t>
      </w:r>
      <w:r w:rsidRPr="009174EB">
        <w:rPr>
          <w:rFonts w:hint="eastAsia"/>
          <w:rtl/>
        </w:rPr>
        <w:t>ג</w:t>
      </w:r>
      <w:proofErr w:type="spellEnd"/>
      <w:r w:rsidRPr="009174EB">
        <w:rPr>
          <w:rtl/>
        </w:rPr>
        <w:t xml:space="preserve"> – 2003. </w:t>
      </w:r>
      <w:r w:rsidRPr="009174EB">
        <w:rPr>
          <w:rFonts w:hint="eastAsia"/>
          <w:rtl/>
        </w:rPr>
        <w:t>ואולם</w:t>
      </w:r>
      <w:r w:rsidRPr="009174EB">
        <w:rPr>
          <w:rtl/>
        </w:rPr>
        <w:t xml:space="preserve"> </w:t>
      </w:r>
      <w:r w:rsidRPr="009174EB">
        <w:rPr>
          <w:rFonts w:hint="eastAsia"/>
          <w:rtl/>
        </w:rPr>
        <w:t>הדברים</w:t>
      </w:r>
      <w:r w:rsidRPr="009174EB">
        <w:rPr>
          <w:rtl/>
        </w:rPr>
        <w:t xml:space="preserve"> </w:t>
      </w:r>
      <w:r w:rsidRPr="009174EB">
        <w:rPr>
          <w:rFonts w:hint="eastAsia"/>
          <w:rtl/>
        </w:rPr>
        <w:t>נובעים</w:t>
      </w:r>
      <w:r w:rsidRPr="009174EB">
        <w:rPr>
          <w:rtl/>
        </w:rPr>
        <w:t xml:space="preserve"> </w:t>
      </w:r>
      <w:r w:rsidRPr="009174EB">
        <w:rPr>
          <w:rFonts w:hint="eastAsia"/>
          <w:rtl/>
        </w:rPr>
        <w:t>מעקרונות</w:t>
      </w:r>
      <w:r w:rsidRPr="009174EB">
        <w:rPr>
          <w:rtl/>
        </w:rPr>
        <w:t xml:space="preserve"> </w:t>
      </w:r>
      <w:r w:rsidRPr="009174EB">
        <w:rPr>
          <w:rFonts w:hint="eastAsia"/>
          <w:rtl/>
        </w:rPr>
        <w:t>בסיסיים</w:t>
      </w:r>
      <w:r w:rsidRPr="009174EB">
        <w:rPr>
          <w:rtl/>
        </w:rPr>
        <w:t xml:space="preserve"> </w:t>
      </w:r>
      <w:r w:rsidRPr="009174EB">
        <w:rPr>
          <w:rFonts w:hint="eastAsia"/>
          <w:rtl/>
        </w:rPr>
        <w:t>של</w:t>
      </w:r>
      <w:r w:rsidRPr="009174EB">
        <w:rPr>
          <w:rtl/>
        </w:rPr>
        <w:t xml:space="preserve"> </w:t>
      </w:r>
      <w:r w:rsidRPr="009174EB">
        <w:rPr>
          <w:rFonts w:hint="eastAsia"/>
          <w:rtl/>
        </w:rPr>
        <w:t>המשפט</w:t>
      </w:r>
      <w:r w:rsidRPr="009174EB">
        <w:rPr>
          <w:rtl/>
        </w:rPr>
        <w:t xml:space="preserve"> </w:t>
      </w:r>
      <w:r w:rsidRPr="009174EB">
        <w:rPr>
          <w:rFonts w:hint="eastAsia"/>
          <w:rtl/>
        </w:rPr>
        <w:t>המנהלי</w:t>
      </w:r>
      <w:r w:rsidRPr="009174EB">
        <w:rPr>
          <w:rtl/>
        </w:rPr>
        <w:t xml:space="preserve">, </w:t>
      </w:r>
      <w:r w:rsidRPr="009174EB">
        <w:rPr>
          <w:rFonts w:hint="eastAsia"/>
          <w:rtl/>
        </w:rPr>
        <w:t>שאין</w:t>
      </w:r>
      <w:r w:rsidRPr="009174EB">
        <w:rPr>
          <w:rtl/>
        </w:rPr>
        <w:t xml:space="preserve"> </w:t>
      </w:r>
      <w:r w:rsidRPr="009174EB">
        <w:rPr>
          <w:rFonts w:hint="eastAsia"/>
          <w:rtl/>
        </w:rPr>
        <w:t>לפגוע</w:t>
      </w:r>
      <w:r w:rsidRPr="009174EB">
        <w:rPr>
          <w:rtl/>
        </w:rPr>
        <w:t xml:space="preserve"> </w:t>
      </w:r>
      <w:r w:rsidRPr="009174EB">
        <w:rPr>
          <w:rFonts w:hint="eastAsia"/>
          <w:rtl/>
        </w:rPr>
        <w:t>בזכותו</w:t>
      </w:r>
      <w:r w:rsidRPr="009174EB">
        <w:rPr>
          <w:rtl/>
        </w:rPr>
        <w:t xml:space="preserve"> </w:t>
      </w:r>
      <w:r w:rsidRPr="009174EB">
        <w:rPr>
          <w:rFonts w:hint="eastAsia"/>
          <w:rtl/>
        </w:rPr>
        <w:t>של</w:t>
      </w:r>
      <w:r w:rsidRPr="009174EB">
        <w:rPr>
          <w:rtl/>
        </w:rPr>
        <w:t xml:space="preserve"> </w:t>
      </w:r>
      <w:r w:rsidRPr="009174EB">
        <w:rPr>
          <w:rFonts w:hint="eastAsia"/>
          <w:rtl/>
        </w:rPr>
        <w:t>אדם</w:t>
      </w:r>
      <w:r w:rsidRPr="009174EB">
        <w:rPr>
          <w:rtl/>
        </w:rPr>
        <w:t xml:space="preserve"> </w:t>
      </w:r>
      <w:r w:rsidRPr="009174EB">
        <w:rPr>
          <w:rFonts w:hint="eastAsia"/>
          <w:rtl/>
        </w:rPr>
        <w:t>מבלי</w:t>
      </w:r>
      <w:r w:rsidRPr="009174EB">
        <w:rPr>
          <w:rtl/>
        </w:rPr>
        <w:t xml:space="preserve"> </w:t>
      </w:r>
      <w:r w:rsidRPr="009174EB">
        <w:rPr>
          <w:rFonts w:hint="eastAsia"/>
          <w:rtl/>
        </w:rPr>
        <w:t>לזמנו</w:t>
      </w:r>
      <w:r w:rsidRPr="009174EB">
        <w:rPr>
          <w:rtl/>
        </w:rPr>
        <w:t xml:space="preserve"> </w:t>
      </w:r>
      <w:r w:rsidRPr="009174EB">
        <w:rPr>
          <w:rFonts w:hint="eastAsia"/>
          <w:rtl/>
        </w:rPr>
        <w:t>ולאפשר</w:t>
      </w:r>
      <w:r w:rsidRPr="009174EB">
        <w:rPr>
          <w:rtl/>
        </w:rPr>
        <w:t xml:space="preserve"> </w:t>
      </w:r>
      <w:r w:rsidRPr="009174EB">
        <w:rPr>
          <w:rFonts w:hint="eastAsia"/>
          <w:rtl/>
        </w:rPr>
        <w:t>לו</w:t>
      </w:r>
      <w:r w:rsidRPr="009174EB">
        <w:rPr>
          <w:rtl/>
        </w:rPr>
        <w:t xml:space="preserve"> </w:t>
      </w:r>
      <w:r w:rsidRPr="009174EB">
        <w:rPr>
          <w:rFonts w:hint="eastAsia"/>
          <w:rtl/>
        </w:rPr>
        <w:t>להביא</w:t>
      </w:r>
      <w:r w:rsidRPr="009174EB">
        <w:rPr>
          <w:rtl/>
        </w:rPr>
        <w:t xml:space="preserve"> </w:t>
      </w:r>
      <w:r w:rsidRPr="009174EB">
        <w:rPr>
          <w:rFonts w:hint="eastAsia"/>
          <w:rtl/>
        </w:rPr>
        <w:t>את</w:t>
      </w:r>
      <w:r w:rsidRPr="009174EB">
        <w:rPr>
          <w:rtl/>
        </w:rPr>
        <w:t xml:space="preserve"> </w:t>
      </w:r>
      <w:r w:rsidRPr="009174EB">
        <w:rPr>
          <w:rFonts w:hint="eastAsia"/>
          <w:rtl/>
        </w:rPr>
        <w:t>טענותיו</w:t>
      </w:r>
      <w:r w:rsidRPr="009174EB">
        <w:rPr>
          <w:rtl/>
        </w:rPr>
        <w:t xml:space="preserve"> </w:t>
      </w:r>
      <w:r w:rsidRPr="009174EB">
        <w:rPr>
          <w:rFonts w:hint="eastAsia"/>
          <w:rtl/>
        </w:rPr>
        <w:t>בפני</w:t>
      </w:r>
      <w:r w:rsidRPr="009174EB">
        <w:rPr>
          <w:rtl/>
        </w:rPr>
        <w:t xml:space="preserve"> </w:t>
      </w:r>
      <w:r w:rsidRPr="009174EB">
        <w:rPr>
          <w:rFonts w:hint="eastAsia"/>
          <w:rtl/>
        </w:rPr>
        <w:t>הרשות</w:t>
      </w:r>
      <w:r w:rsidRPr="009174EB">
        <w:rPr>
          <w:rtl/>
        </w:rPr>
        <w:t xml:space="preserve">. </w:t>
      </w:r>
      <w:r w:rsidRPr="009174EB">
        <w:rPr>
          <w:rFonts w:hint="eastAsia"/>
          <w:rtl/>
        </w:rPr>
        <w:t>זהו</w:t>
      </w:r>
      <w:r w:rsidRPr="009174EB">
        <w:rPr>
          <w:rtl/>
        </w:rPr>
        <w:t xml:space="preserve"> </w:t>
      </w:r>
      <w:r w:rsidRPr="009174EB">
        <w:rPr>
          <w:rFonts w:hint="eastAsia"/>
          <w:rtl/>
        </w:rPr>
        <w:t>האיסור</w:t>
      </w:r>
      <w:r w:rsidRPr="009174EB">
        <w:rPr>
          <w:rtl/>
        </w:rPr>
        <w:t xml:space="preserve"> </w:t>
      </w:r>
      <w:r w:rsidRPr="009174EB">
        <w:rPr>
          <w:rFonts w:hint="eastAsia"/>
          <w:rtl/>
        </w:rPr>
        <w:t>על</w:t>
      </w:r>
      <w:r w:rsidRPr="009174EB">
        <w:rPr>
          <w:rtl/>
        </w:rPr>
        <w:t xml:space="preserve"> </w:t>
      </w:r>
      <w:r w:rsidRPr="009174EB">
        <w:rPr>
          <w:rFonts w:hint="eastAsia"/>
          <w:rtl/>
        </w:rPr>
        <w:t>פגיעה</w:t>
      </w:r>
      <w:r w:rsidRPr="009174EB">
        <w:rPr>
          <w:rtl/>
        </w:rPr>
        <w:t xml:space="preserve"> </w:t>
      </w:r>
      <w:r w:rsidRPr="009174EB">
        <w:rPr>
          <w:rFonts w:hint="eastAsia"/>
          <w:rtl/>
        </w:rPr>
        <w:t>בכללי</w:t>
      </w:r>
      <w:r w:rsidRPr="009174EB">
        <w:rPr>
          <w:rtl/>
        </w:rPr>
        <w:t xml:space="preserve"> </w:t>
      </w:r>
      <w:r w:rsidRPr="009174EB">
        <w:rPr>
          <w:rFonts w:hint="eastAsia"/>
          <w:rtl/>
        </w:rPr>
        <w:t>הצדק</w:t>
      </w:r>
      <w:r w:rsidRPr="009174EB">
        <w:rPr>
          <w:rtl/>
        </w:rPr>
        <w:t xml:space="preserve"> </w:t>
      </w:r>
      <w:r w:rsidRPr="009174EB">
        <w:rPr>
          <w:rFonts w:hint="eastAsia"/>
          <w:rtl/>
        </w:rPr>
        <w:t>הטבעי</w:t>
      </w:r>
      <w:r w:rsidRPr="009174EB">
        <w:rPr>
          <w:rtl/>
        </w:rPr>
        <w:t xml:space="preserve">. </w:t>
      </w:r>
      <w:r w:rsidRPr="009174EB">
        <w:rPr>
          <w:rFonts w:hint="eastAsia"/>
          <w:rtl/>
        </w:rPr>
        <w:t>כלל</w:t>
      </w:r>
      <w:r w:rsidRPr="009174EB">
        <w:rPr>
          <w:rtl/>
        </w:rPr>
        <w:t xml:space="preserve"> </w:t>
      </w:r>
      <w:r w:rsidRPr="009174EB">
        <w:rPr>
          <w:rFonts w:hint="eastAsia"/>
          <w:rtl/>
        </w:rPr>
        <w:t>זה</w:t>
      </w:r>
      <w:r w:rsidRPr="009174EB">
        <w:rPr>
          <w:rtl/>
        </w:rPr>
        <w:t xml:space="preserve"> </w:t>
      </w:r>
      <w:r w:rsidRPr="009174EB">
        <w:rPr>
          <w:rFonts w:hint="eastAsia"/>
          <w:rtl/>
        </w:rPr>
        <w:t>משקף</w:t>
      </w:r>
      <w:r w:rsidRPr="009174EB">
        <w:rPr>
          <w:rtl/>
        </w:rPr>
        <w:t xml:space="preserve"> </w:t>
      </w:r>
      <w:r w:rsidRPr="009174EB">
        <w:rPr>
          <w:rFonts w:hint="eastAsia"/>
          <w:rtl/>
        </w:rPr>
        <w:t>למעשה</w:t>
      </w:r>
      <w:r w:rsidRPr="009174EB">
        <w:rPr>
          <w:rtl/>
        </w:rPr>
        <w:t xml:space="preserve"> </w:t>
      </w:r>
      <w:r w:rsidRPr="009174EB">
        <w:rPr>
          <w:rFonts w:hint="eastAsia"/>
          <w:rtl/>
        </w:rPr>
        <w:t>לא</w:t>
      </w:r>
      <w:r w:rsidRPr="009174EB">
        <w:rPr>
          <w:rtl/>
        </w:rPr>
        <w:t xml:space="preserve"> </w:t>
      </w:r>
      <w:r w:rsidRPr="009174EB">
        <w:rPr>
          <w:rFonts w:hint="eastAsia"/>
          <w:rtl/>
        </w:rPr>
        <w:t>רק</w:t>
      </w:r>
      <w:r w:rsidRPr="009174EB">
        <w:rPr>
          <w:rtl/>
        </w:rPr>
        <w:t xml:space="preserve"> </w:t>
      </w:r>
      <w:r w:rsidRPr="009174EB">
        <w:rPr>
          <w:rFonts w:hint="eastAsia"/>
          <w:rtl/>
        </w:rPr>
        <w:t>את</w:t>
      </w:r>
      <w:r w:rsidRPr="009174EB">
        <w:rPr>
          <w:rtl/>
        </w:rPr>
        <w:t xml:space="preserve"> </w:t>
      </w:r>
      <w:r w:rsidRPr="009174EB">
        <w:rPr>
          <w:rFonts w:hint="eastAsia"/>
          <w:rtl/>
        </w:rPr>
        <w:t>המשפט</w:t>
      </w:r>
      <w:r w:rsidRPr="009174EB">
        <w:rPr>
          <w:rtl/>
        </w:rPr>
        <w:t xml:space="preserve"> </w:t>
      </w:r>
      <w:r w:rsidRPr="009174EB">
        <w:rPr>
          <w:rFonts w:hint="eastAsia"/>
          <w:rtl/>
        </w:rPr>
        <w:t>המנהלי</w:t>
      </w:r>
      <w:r w:rsidRPr="009174EB">
        <w:rPr>
          <w:rtl/>
        </w:rPr>
        <w:t xml:space="preserve">, </w:t>
      </w:r>
      <w:r w:rsidRPr="009174EB">
        <w:rPr>
          <w:rFonts w:hint="eastAsia"/>
          <w:rtl/>
        </w:rPr>
        <w:t>אלא</w:t>
      </w:r>
      <w:r w:rsidRPr="009174EB">
        <w:rPr>
          <w:rtl/>
        </w:rPr>
        <w:t xml:space="preserve"> </w:t>
      </w:r>
      <w:r w:rsidRPr="009174EB">
        <w:rPr>
          <w:rFonts w:hint="eastAsia"/>
          <w:rtl/>
        </w:rPr>
        <w:t>גם</w:t>
      </w:r>
      <w:r w:rsidRPr="009174EB">
        <w:rPr>
          <w:rtl/>
        </w:rPr>
        <w:t xml:space="preserve"> </w:t>
      </w:r>
      <w:r w:rsidRPr="009174EB">
        <w:rPr>
          <w:rFonts w:hint="eastAsia"/>
          <w:rtl/>
        </w:rPr>
        <w:t>את</w:t>
      </w:r>
      <w:r w:rsidRPr="009174EB">
        <w:rPr>
          <w:rtl/>
        </w:rPr>
        <w:t xml:space="preserve"> </w:t>
      </w:r>
      <w:r w:rsidRPr="009174EB">
        <w:rPr>
          <w:rFonts w:hint="eastAsia"/>
          <w:rtl/>
        </w:rPr>
        <w:t>ההליכים</w:t>
      </w:r>
      <w:r w:rsidRPr="009174EB">
        <w:rPr>
          <w:rtl/>
        </w:rPr>
        <w:t xml:space="preserve"> </w:t>
      </w:r>
      <w:r w:rsidRPr="009174EB">
        <w:rPr>
          <w:rFonts w:hint="eastAsia"/>
          <w:rtl/>
        </w:rPr>
        <w:t>בבתי</w:t>
      </w:r>
      <w:r w:rsidRPr="009174EB">
        <w:rPr>
          <w:rtl/>
        </w:rPr>
        <w:t xml:space="preserve"> </w:t>
      </w:r>
      <w:r w:rsidRPr="009174EB">
        <w:rPr>
          <w:rFonts w:hint="eastAsia"/>
          <w:rtl/>
        </w:rPr>
        <w:t>המשפט</w:t>
      </w:r>
      <w:r w:rsidRPr="009174EB">
        <w:rPr>
          <w:rtl/>
        </w:rPr>
        <w:t xml:space="preserve">, </w:t>
      </w:r>
      <w:r w:rsidRPr="009174EB">
        <w:rPr>
          <w:rFonts w:hint="eastAsia"/>
          <w:rtl/>
        </w:rPr>
        <w:t>שם</w:t>
      </w:r>
      <w:r w:rsidRPr="009174EB">
        <w:rPr>
          <w:rtl/>
        </w:rPr>
        <w:t xml:space="preserve"> </w:t>
      </w:r>
      <w:r w:rsidRPr="009174EB">
        <w:rPr>
          <w:rFonts w:hint="eastAsia"/>
          <w:rtl/>
        </w:rPr>
        <w:t>נגזרים</w:t>
      </w:r>
      <w:r w:rsidRPr="009174EB">
        <w:rPr>
          <w:rtl/>
        </w:rPr>
        <w:t xml:space="preserve"> </w:t>
      </w:r>
      <w:r w:rsidRPr="009174EB">
        <w:rPr>
          <w:rFonts w:hint="eastAsia"/>
          <w:rtl/>
        </w:rPr>
        <w:t>הדברים</w:t>
      </w:r>
      <w:r w:rsidRPr="009174EB">
        <w:rPr>
          <w:rtl/>
        </w:rPr>
        <w:t xml:space="preserve"> </w:t>
      </w:r>
      <w:r w:rsidRPr="009174EB">
        <w:rPr>
          <w:rFonts w:hint="eastAsia"/>
          <w:rtl/>
        </w:rPr>
        <w:t>מהעיקרון</w:t>
      </w:r>
      <w:r w:rsidRPr="009174EB">
        <w:rPr>
          <w:rtl/>
        </w:rPr>
        <w:t xml:space="preserve"> </w:t>
      </w:r>
      <w:r w:rsidRPr="009174EB">
        <w:rPr>
          <w:rFonts w:hint="eastAsia"/>
          <w:rtl/>
        </w:rPr>
        <w:t>העליון</w:t>
      </w:r>
      <w:r w:rsidRPr="009174EB">
        <w:rPr>
          <w:rtl/>
        </w:rPr>
        <w:t xml:space="preserve"> </w:t>
      </w:r>
      <w:r w:rsidRPr="009174EB">
        <w:rPr>
          <w:rFonts w:hint="eastAsia"/>
          <w:rtl/>
        </w:rPr>
        <w:t>של</w:t>
      </w:r>
      <w:r w:rsidRPr="009174EB">
        <w:rPr>
          <w:rtl/>
        </w:rPr>
        <w:t xml:space="preserve"> "</w:t>
      </w:r>
      <w:r w:rsidRPr="009174EB">
        <w:rPr>
          <w:rFonts w:hint="eastAsia"/>
          <w:rtl/>
        </w:rPr>
        <w:t>זכות</w:t>
      </w:r>
      <w:r w:rsidRPr="009174EB">
        <w:rPr>
          <w:rtl/>
        </w:rPr>
        <w:t xml:space="preserve"> </w:t>
      </w:r>
      <w:r w:rsidRPr="009174EB">
        <w:rPr>
          <w:rFonts w:hint="eastAsia"/>
          <w:rtl/>
        </w:rPr>
        <w:t>הגישה</w:t>
      </w:r>
      <w:r w:rsidRPr="009174EB">
        <w:rPr>
          <w:rtl/>
        </w:rPr>
        <w:t xml:space="preserve">". </w:t>
      </w:r>
      <w:r w:rsidRPr="009174EB">
        <w:rPr>
          <w:rFonts w:hint="eastAsia"/>
          <w:rtl/>
        </w:rPr>
        <w:t>למעשה</w:t>
      </w:r>
      <w:r w:rsidRPr="009174EB">
        <w:rPr>
          <w:rtl/>
        </w:rPr>
        <w:t xml:space="preserve"> </w:t>
      </w:r>
      <w:r w:rsidRPr="009174EB">
        <w:rPr>
          <w:rFonts w:hint="eastAsia"/>
          <w:rtl/>
        </w:rPr>
        <w:t>עיקרון</w:t>
      </w:r>
      <w:r w:rsidRPr="009174EB">
        <w:rPr>
          <w:rtl/>
        </w:rPr>
        <w:t xml:space="preserve"> </w:t>
      </w:r>
      <w:r w:rsidRPr="009174EB">
        <w:rPr>
          <w:rFonts w:hint="eastAsia"/>
          <w:rtl/>
        </w:rPr>
        <w:t>אחד</w:t>
      </w:r>
      <w:r w:rsidRPr="009174EB">
        <w:rPr>
          <w:rtl/>
        </w:rPr>
        <w:t xml:space="preserve"> </w:t>
      </w:r>
      <w:r w:rsidRPr="009174EB">
        <w:rPr>
          <w:rFonts w:hint="eastAsia"/>
          <w:rtl/>
        </w:rPr>
        <w:t>הוא</w:t>
      </w:r>
      <w:r w:rsidRPr="009174EB">
        <w:rPr>
          <w:rtl/>
        </w:rPr>
        <w:t>".</w:t>
      </w:r>
    </w:p>
    <w:p w14:paraId="603C690A" w14:textId="77777777" w:rsidR="00BE7827" w:rsidRPr="009174EB" w:rsidRDefault="00BE7827" w:rsidP="00BE7827">
      <w:pPr>
        <w:pStyle w:val="af1"/>
        <w:spacing w:after="120" w:line="240" w:lineRule="auto"/>
        <w:ind w:left="1602" w:right="992" w:hanging="425"/>
        <w:rPr>
          <w:rtl/>
        </w:rPr>
      </w:pPr>
      <w:r w:rsidRPr="009174EB">
        <w:rPr>
          <w:rtl/>
        </w:rPr>
        <w:t>14.</w:t>
      </w:r>
      <w:r w:rsidRPr="009174EB">
        <w:rPr>
          <w:rtl/>
        </w:rPr>
        <w:tab/>
      </w:r>
      <w:r w:rsidRPr="009174EB">
        <w:rPr>
          <w:rFonts w:hint="eastAsia"/>
          <w:rtl/>
        </w:rPr>
        <w:t>משמע</w:t>
      </w:r>
      <w:r w:rsidRPr="009174EB">
        <w:rPr>
          <w:rtl/>
        </w:rPr>
        <w:t xml:space="preserve">, </w:t>
      </w:r>
      <w:r w:rsidRPr="009174EB">
        <w:rPr>
          <w:rFonts w:hint="eastAsia"/>
          <w:rtl/>
        </w:rPr>
        <w:t>עפ</w:t>
      </w:r>
      <w:r w:rsidRPr="009174EB">
        <w:rPr>
          <w:rtl/>
        </w:rPr>
        <w:t>"</w:t>
      </w:r>
      <w:r w:rsidRPr="009174EB">
        <w:rPr>
          <w:rFonts w:hint="eastAsia"/>
          <w:rtl/>
        </w:rPr>
        <w:t>י</w:t>
      </w:r>
      <w:r w:rsidRPr="009174EB">
        <w:rPr>
          <w:rtl/>
        </w:rPr>
        <w:t xml:space="preserve"> </w:t>
      </w:r>
      <w:r w:rsidRPr="009174EB">
        <w:rPr>
          <w:rFonts w:hint="eastAsia"/>
          <w:rtl/>
        </w:rPr>
        <w:t>הוראות</w:t>
      </w:r>
      <w:r w:rsidRPr="009174EB">
        <w:rPr>
          <w:rtl/>
        </w:rPr>
        <w:t xml:space="preserve"> </w:t>
      </w:r>
      <w:r w:rsidRPr="009174EB">
        <w:rPr>
          <w:rFonts w:hint="eastAsia"/>
          <w:rtl/>
        </w:rPr>
        <w:t>החוק</w:t>
      </w:r>
      <w:r w:rsidRPr="009174EB">
        <w:rPr>
          <w:rtl/>
        </w:rPr>
        <w:t xml:space="preserve">, </w:t>
      </w:r>
      <w:r w:rsidRPr="009174EB">
        <w:rPr>
          <w:rFonts w:hint="eastAsia"/>
          <w:rtl/>
        </w:rPr>
        <w:t>ועדת</w:t>
      </w:r>
      <w:r w:rsidRPr="009174EB">
        <w:rPr>
          <w:rtl/>
        </w:rPr>
        <w:t xml:space="preserve"> </w:t>
      </w:r>
      <w:r w:rsidRPr="009174EB">
        <w:rPr>
          <w:rFonts w:hint="eastAsia"/>
          <w:rtl/>
        </w:rPr>
        <w:t>המשנה</w:t>
      </w:r>
      <w:r w:rsidRPr="009174EB">
        <w:rPr>
          <w:rtl/>
        </w:rPr>
        <w:t xml:space="preserve"> </w:t>
      </w:r>
      <w:r w:rsidRPr="009174EB">
        <w:rPr>
          <w:rFonts w:hint="eastAsia"/>
          <w:rtl/>
        </w:rPr>
        <w:t>לא</w:t>
      </w:r>
      <w:r w:rsidRPr="009174EB">
        <w:rPr>
          <w:rtl/>
        </w:rPr>
        <w:t xml:space="preserve"> </w:t>
      </w:r>
      <w:r w:rsidRPr="009174EB">
        <w:rPr>
          <w:rFonts w:hint="eastAsia"/>
          <w:rtl/>
        </w:rPr>
        <w:t>הייתה</w:t>
      </w:r>
      <w:r w:rsidRPr="009174EB">
        <w:rPr>
          <w:rtl/>
        </w:rPr>
        <w:t xml:space="preserve"> </w:t>
      </w:r>
      <w:r w:rsidRPr="009174EB">
        <w:rPr>
          <w:rFonts w:hint="eastAsia"/>
          <w:rtl/>
        </w:rPr>
        <w:t>מוסמכת</w:t>
      </w:r>
      <w:r w:rsidRPr="009174EB">
        <w:rPr>
          <w:rtl/>
        </w:rPr>
        <w:t xml:space="preserve"> </w:t>
      </w:r>
      <w:r w:rsidRPr="009174EB">
        <w:rPr>
          <w:rFonts w:hint="eastAsia"/>
          <w:rtl/>
        </w:rPr>
        <w:t>לשנות</w:t>
      </w:r>
      <w:r w:rsidRPr="009174EB">
        <w:rPr>
          <w:rtl/>
        </w:rPr>
        <w:t xml:space="preserve"> </w:t>
      </w:r>
      <w:r w:rsidRPr="009174EB">
        <w:rPr>
          <w:rFonts w:hint="eastAsia"/>
          <w:rtl/>
        </w:rPr>
        <w:t>את</w:t>
      </w:r>
      <w:r w:rsidRPr="009174EB">
        <w:rPr>
          <w:rtl/>
        </w:rPr>
        <w:t xml:space="preserve"> </w:t>
      </w:r>
      <w:r w:rsidRPr="009174EB">
        <w:rPr>
          <w:rFonts w:hint="eastAsia"/>
          <w:rtl/>
        </w:rPr>
        <w:t>החלטתה</w:t>
      </w:r>
      <w:r w:rsidRPr="009174EB">
        <w:rPr>
          <w:rtl/>
        </w:rPr>
        <w:t xml:space="preserve"> </w:t>
      </w:r>
      <w:r w:rsidRPr="009174EB">
        <w:rPr>
          <w:rFonts w:hint="eastAsia"/>
          <w:rtl/>
        </w:rPr>
        <w:t>בטרם</w:t>
      </w:r>
      <w:r w:rsidRPr="009174EB">
        <w:rPr>
          <w:rtl/>
        </w:rPr>
        <w:t xml:space="preserve"> </w:t>
      </w:r>
      <w:r w:rsidRPr="009174EB">
        <w:rPr>
          <w:rFonts w:hint="eastAsia"/>
          <w:rtl/>
        </w:rPr>
        <w:t>ניתנה</w:t>
      </w:r>
      <w:r w:rsidRPr="009174EB">
        <w:rPr>
          <w:rtl/>
        </w:rPr>
        <w:t xml:space="preserve"> </w:t>
      </w:r>
      <w:r w:rsidRPr="009174EB">
        <w:rPr>
          <w:rFonts w:hint="eastAsia"/>
          <w:rtl/>
        </w:rPr>
        <w:t>הזדמנות</w:t>
      </w:r>
      <w:r w:rsidRPr="009174EB">
        <w:rPr>
          <w:rtl/>
        </w:rPr>
        <w:t xml:space="preserve"> </w:t>
      </w:r>
      <w:r w:rsidRPr="009174EB">
        <w:rPr>
          <w:rFonts w:hint="eastAsia"/>
          <w:rtl/>
        </w:rPr>
        <w:t>לצדדים</w:t>
      </w:r>
      <w:r w:rsidRPr="009174EB">
        <w:rPr>
          <w:rtl/>
        </w:rPr>
        <w:t xml:space="preserve"> </w:t>
      </w:r>
      <w:r w:rsidRPr="009174EB">
        <w:rPr>
          <w:rFonts w:hint="eastAsia"/>
          <w:rtl/>
        </w:rPr>
        <w:t>הנוגעים</w:t>
      </w:r>
      <w:r w:rsidRPr="009174EB">
        <w:rPr>
          <w:rtl/>
        </w:rPr>
        <w:t xml:space="preserve"> </w:t>
      </w:r>
      <w:r w:rsidRPr="009174EB">
        <w:rPr>
          <w:rFonts w:hint="eastAsia"/>
          <w:rtl/>
        </w:rPr>
        <w:t>בדבר</w:t>
      </w:r>
      <w:r w:rsidRPr="009174EB">
        <w:rPr>
          <w:rtl/>
        </w:rPr>
        <w:t xml:space="preserve"> </w:t>
      </w:r>
      <w:r w:rsidRPr="009174EB">
        <w:rPr>
          <w:rFonts w:hint="eastAsia"/>
          <w:rtl/>
        </w:rPr>
        <w:t>להשמיע</w:t>
      </w:r>
      <w:r w:rsidRPr="009174EB">
        <w:rPr>
          <w:rtl/>
        </w:rPr>
        <w:t xml:space="preserve"> </w:t>
      </w:r>
      <w:r w:rsidRPr="009174EB">
        <w:rPr>
          <w:rFonts w:hint="eastAsia"/>
          <w:rtl/>
        </w:rPr>
        <w:t>את</w:t>
      </w:r>
      <w:r w:rsidRPr="009174EB">
        <w:rPr>
          <w:rtl/>
        </w:rPr>
        <w:t xml:space="preserve"> </w:t>
      </w:r>
      <w:r w:rsidRPr="009174EB">
        <w:rPr>
          <w:rFonts w:hint="eastAsia"/>
          <w:rtl/>
        </w:rPr>
        <w:t>טענותיהם</w:t>
      </w:r>
      <w:r w:rsidRPr="009174EB">
        <w:rPr>
          <w:rtl/>
        </w:rPr>
        <w:t xml:space="preserve"> </w:t>
      </w:r>
      <w:r w:rsidRPr="009174EB">
        <w:rPr>
          <w:rFonts w:hint="eastAsia"/>
          <w:rtl/>
        </w:rPr>
        <w:t>בעניין</w:t>
      </w:r>
      <w:r w:rsidRPr="009174EB">
        <w:rPr>
          <w:rtl/>
        </w:rPr>
        <w:t xml:space="preserve">, </w:t>
      </w:r>
      <w:r w:rsidRPr="009174EB">
        <w:rPr>
          <w:rFonts w:hint="eastAsia"/>
          <w:rtl/>
        </w:rPr>
        <w:t>בכתב</w:t>
      </w:r>
      <w:r w:rsidRPr="009174EB">
        <w:rPr>
          <w:rtl/>
        </w:rPr>
        <w:t xml:space="preserve"> </w:t>
      </w:r>
      <w:r w:rsidRPr="009174EB">
        <w:rPr>
          <w:rFonts w:hint="eastAsia"/>
          <w:rtl/>
        </w:rPr>
        <w:t>או</w:t>
      </w:r>
      <w:r w:rsidRPr="009174EB">
        <w:rPr>
          <w:rtl/>
        </w:rPr>
        <w:t xml:space="preserve"> </w:t>
      </w:r>
      <w:r w:rsidRPr="009174EB">
        <w:rPr>
          <w:rFonts w:hint="eastAsia"/>
          <w:rtl/>
        </w:rPr>
        <w:t>בע</w:t>
      </w:r>
      <w:r w:rsidRPr="009174EB">
        <w:rPr>
          <w:rtl/>
        </w:rPr>
        <w:t>"</w:t>
      </w:r>
      <w:r w:rsidRPr="009174EB">
        <w:rPr>
          <w:rFonts w:hint="eastAsia"/>
          <w:rtl/>
        </w:rPr>
        <w:t>פ</w:t>
      </w:r>
      <w:r w:rsidRPr="009174EB">
        <w:rPr>
          <w:rtl/>
        </w:rPr>
        <w:t xml:space="preserve">. </w:t>
      </w:r>
    </w:p>
    <w:p w14:paraId="08969AF3" w14:textId="77777777" w:rsidR="00BE7827" w:rsidRPr="009174EB" w:rsidRDefault="00BE7827" w:rsidP="00700B8A">
      <w:pPr>
        <w:pStyle w:val="af1"/>
        <w:spacing w:after="240" w:line="240" w:lineRule="auto"/>
        <w:ind w:left="1604" w:right="992" w:hanging="425"/>
        <w:rPr>
          <w:rtl/>
        </w:rPr>
      </w:pPr>
      <w:r w:rsidRPr="009174EB">
        <w:rPr>
          <w:rtl/>
        </w:rPr>
        <w:t xml:space="preserve">15. </w:t>
      </w:r>
      <w:r w:rsidRPr="009174EB">
        <w:rPr>
          <w:rFonts w:hint="eastAsia"/>
          <w:rtl/>
        </w:rPr>
        <w:t>הדיון</w:t>
      </w:r>
      <w:r w:rsidRPr="009174EB">
        <w:rPr>
          <w:rtl/>
        </w:rPr>
        <w:t xml:space="preserve"> </w:t>
      </w:r>
      <w:r w:rsidRPr="009174EB">
        <w:rPr>
          <w:rFonts w:hint="eastAsia"/>
          <w:rtl/>
        </w:rPr>
        <w:t>התקיים</w:t>
      </w:r>
      <w:r w:rsidRPr="009174EB">
        <w:rPr>
          <w:rtl/>
        </w:rPr>
        <w:t xml:space="preserve"> </w:t>
      </w:r>
      <w:r w:rsidRPr="009174EB">
        <w:rPr>
          <w:rFonts w:hint="eastAsia"/>
          <w:rtl/>
        </w:rPr>
        <w:t>ללא</w:t>
      </w:r>
      <w:r w:rsidRPr="009174EB">
        <w:rPr>
          <w:rtl/>
        </w:rPr>
        <w:t xml:space="preserve"> </w:t>
      </w:r>
      <w:r w:rsidRPr="009174EB">
        <w:rPr>
          <w:rFonts w:hint="eastAsia"/>
          <w:rtl/>
        </w:rPr>
        <w:t>מתן</w:t>
      </w:r>
      <w:r w:rsidRPr="009174EB">
        <w:rPr>
          <w:rtl/>
        </w:rPr>
        <w:t xml:space="preserve"> </w:t>
      </w:r>
      <w:r w:rsidRPr="009174EB">
        <w:rPr>
          <w:rFonts w:hint="eastAsia"/>
          <w:rtl/>
        </w:rPr>
        <w:t>זכות</w:t>
      </w:r>
      <w:r w:rsidRPr="009174EB">
        <w:rPr>
          <w:rtl/>
        </w:rPr>
        <w:t xml:space="preserve"> </w:t>
      </w:r>
      <w:r w:rsidRPr="009174EB">
        <w:rPr>
          <w:rFonts w:hint="eastAsia"/>
          <w:rtl/>
        </w:rPr>
        <w:t>טיעון</w:t>
      </w:r>
      <w:r w:rsidRPr="009174EB">
        <w:rPr>
          <w:rtl/>
        </w:rPr>
        <w:t xml:space="preserve"> </w:t>
      </w:r>
      <w:r w:rsidRPr="009174EB">
        <w:rPr>
          <w:rFonts w:hint="eastAsia"/>
          <w:rtl/>
        </w:rPr>
        <w:t>לעותרים</w:t>
      </w:r>
      <w:r w:rsidRPr="009174EB">
        <w:rPr>
          <w:rtl/>
        </w:rPr>
        <w:t xml:space="preserve">, </w:t>
      </w:r>
      <w:r w:rsidRPr="009174EB">
        <w:rPr>
          <w:rFonts w:hint="eastAsia"/>
          <w:rtl/>
        </w:rPr>
        <w:t>כנדרש</w:t>
      </w:r>
      <w:r w:rsidRPr="009174EB">
        <w:rPr>
          <w:rtl/>
        </w:rPr>
        <w:t xml:space="preserve"> </w:t>
      </w:r>
      <w:r w:rsidRPr="009174EB">
        <w:rPr>
          <w:rFonts w:hint="eastAsia"/>
          <w:rtl/>
        </w:rPr>
        <w:t>עפ</w:t>
      </w:r>
      <w:r w:rsidRPr="009174EB">
        <w:rPr>
          <w:rtl/>
        </w:rPr>
        <w:t>"</w:t>
      </w:r>
      <w:r w:rsidRPr="009174EB">
        <w:rPr>
          <w:rFonts w:hint="eastAsia"/>
          <w:rtl/>
        </w:rPr>
        <w:t>י</w:t>
      </w:r>
      <w:r w:rsidRPr="009174EB">
        <w:rPr>
          <w:rtl/>
        </w:rPr>
        <w:t xml:space="preserve"> </w:t>
      </w:r>
      <w:r w:rsidRPr="009174EB">
        <w:rPr>
          <w:rFonts w:hint="eastAsia"/>
          <w:rtl/>
        </w:rPr>
        <w:t>התקנות</w:t>
      </w:r>
      <w:r w:rsidRPr="009174EB">
        <w:rPr>
          <w:rtl/>
        </w:rPr>
        <w:t xml:space="preserve"> </w:t>
      </w:r>
      <w:r w:rsidRPr="009174EB">
        <w:rPr>
          <w:rFonts w:hint="eastAsia"/>
          <w:rtl/>
        </w:rPr>
        <w:t>ובכך</w:t>
      </w:r>
      <w:r w:rsidRPr="009174EB">
        <w:rPr>
          <w:rtl/>
        </w:rPr>
        <w:t xml:space="preserve"> </w:t>
      </w:r>
      <w:r w:rsidRPr="009174EB">
        <w:rPr>
          <w:rFonts w:hint="eastAsia"/>
          <w:rtl/>
        </w:rPr>
        <w:t>יש</w:t>
      </w:r>
      <w:r w:rsidRPr="009174EB">
        <w:rPr>
          <w:rtl/>
        </w:rPr>
        <w:t xml:space="preserve"> </w:t>
      </w:r>
      <w:r w:rsidRPr="009174EB">
        <w:rPr>
          <w:rFonts w:hint="eastAsia"/>
          <w:rtl/>
        </w:rPr>
        <w:t>טעם</w:t>
      </w:r>
      <w:r w:rsidRPr="009174EB">
        <w:rPr>
          <w:rtl/>
        </w:rPr>
        <w:t xml:space="preserve"> </w:t>
      </w:r>
      <w:r w:rsidRPr="009174EB">
        <w:rPr>
          <w:rFonts w:hint="eastAsia"/>
          <w:rtl/>
        </w:rPr>
        <w:t>לפגם</w:t>
      </w:r>
      <w:r w:rsidRPr="009174EB">
        <w:rPr>
          <w:rtl/>
        </w:rPr>
        <w:t xml:space="preserve"> </w:t>
      </w:r>
      <w:r w:rsidRPr="009174EB">
        <w:rPr>
          <w:rFonts w:hint="eastAsia"/>
          <w:rtl/>
        </w:rPr>
        <w:t>בניגוד</w:t>
      </w:r>
      <w:r w:rsidRPr="009174EB">
        <w:rPr>
          <w:rtl/>
        </w:rPr>
        <w:t xml:space="preserve"> </w:t>
      </w:r>
      <w:r w:rsidRPr="009174EB">
        <w:rPr>
          <w:rFonts w:hint="eastAsia"/>
          <w:rtl/>
        </w:rPr>
        <w:t>לזכות</w:t>
      </w:r>
      <w:r w:rsidRPr="009174EB">
        <w:rPr>
          <w:rtl/>
        </w:rPr>
        <w:t xml:space="preserve"> </w:t>
      </w:r>
      <w:r w:rsidRPr="009174EB">
        <w:rPr>
          <w:rFonts w:hint="eastAsia"/>
          <w:rtl/>
        </w:rPr>
        <w:t>הטיעון</w:t>
      </w:r>
      <w:r w:rsidRPr="009174EB">
        <w:rPr>
          <w:rtl/>
        </w:rPr>
        <w:t xml:space="preserve"> </w:t>
      </w:r>
      <w:r w:rsidRPr="009174EB">
        <w:rPr>
          <w:rFonts w:hint="eastAsia"/>
          <w:rtl/>
        </w:rPr>
        <w:t>שהוא</w:t>
      </w:r>
      <w:r w:rsidRPr="009174EB">
        <w:rPr>
          <w:rtl/>
        </w:rPr>
        <w:t xml:space="preserve"> </w:t>
      </w:r>
      <w:r w:rsidRPr="009174EB">
        <w:rPr>
          <w:rFonts w:hint="eastAsia"/>
          <w:rtl/>
        </w:rPr>
        <w:t>חלק</w:t>
      </w:r>
      <w:r w:rsidRPr="009174EB">
        <w:rPr>
          <w:rtl/>
        </w:rPr>
        <w:t xml:space="preserve"> </w:t>
      </w:r>
      <w:r w:rsidRPr="009174EB">
        <w:rPr>
          <w:rFonts w:hint="eastAsia"/>
          <w:rtl/>
        </w:rPr>
        <w:t>מזכויות</w:t>
      </w:r>
      <w:r w:rsidRPr="009174EB">
        <w:rPr>
          <w:rtl/>
        </w:rPr>
        <w:t xml:space="preserve"> </w:t>
      </w:r>
      <w:r w:rsidRPr="009174EB">
        <w:rPr>
          <w:rFonts w:hint="eastAsia"/>
          <w:rtl/>
        </w:rPr>
        <w:t>צדק</w:t>
      </w:r>
      <w:r w:rsidRPr="009174EB">
        <w:rPr>
          <w:rtl/>
        </w:rPr>
        <w:t xml:space="preserve"> </w:t>
      </w:r>
      <w:r w:rsidRPr="009174EB">
        <w:rPr>
          <w:rFonts w:hint="eastAsia"/>
          <w:rtl/>
        </w:rPr>
        <w:t>טבעי</w:t>
      </w:r>
      <w:r w:rsidRPr="009174EB">
        <w:rPr>
          <w:rtl/>
        </w:rPr>
        <w:t xml:space="preserve">. </w:t>
      </w:r>
      <w:hyperlink r:id="rId27" w:history="1">
        <w:r w:rsidRPr="009174EB">
          <w:rPr>
            <w:rFonts w:hint="eastAsia"/>
            <w:rtl/>
          </w:rPr>
          <w:t>סעיף</w:t>
        </w:r>
        <w:r w:rsidRPr="009174EB">
          <w:rPr>
            <w:rtl/>
          </w:rPr>
          <w:t xml:space="preserve"> 1</w:t>
        </w:r>
      </w:hyperlink>
      <w:r w:rsidRPr="009174EB">
        <w:rPr>
          <w:rtl/>
        </w:rPr>
        <w:t xml:space="preserve"> </w:t>
      </w:r>
      <w:r w:rsidRPr="009174EB">
        <w:rPr>
          <w:rFonts w:hint="eastAsia"/>
          <w:rtl/>
        </w:rPr>
        <w:t>לתקנות</w:t>
      </w:r>
      <w:r w:rsidRPr="009174EB">
        <w:rPr>
          <w:rtl/>
        </w:rPr>
        <w:t xml:space="preserve"> </w:t>
      </w:r>
      <w:r w:rsidRPr="009174EB">
        <w:rPr>
          <w:rFonts w:hint="eastAsia"/>
          <w:rtl/>
        </w:rPr>
        <w:t>קובע</w:t>
      </w:r>
      <w:r w:rsidRPr="009174EB">
        <w:rPr>
          <w:rtl/>
        </w:rPr>
        <w:t xml:space="preserve">, </w:t>
      </w:r>
      <w:r w:rsidRPr="009174EB">
        <w:rPr>
          <w:rFonts w:hint="eastAsia"/>
          <w:rtl/>
        </w:rPr>
        <w:t>כי</w:t>
      </w:r>
      <w:r w:rsidRPr="009174EB">
        <w:rPr>
          <w:rtl/>
        </w:rPr>
        <w:t xml:space="preserve"> </w:t>
      </w:r>
      <w:r w:rsidRPr="009174EB">
        <w:rPr>
          <w:rFonts w:hint="eastAsia"/>
          <w:rtl/>
        </w:rPr>
        <w:t>מתנגד</w:t>
      </w:r>
      <w:r w:rsidRPr="009174EB">
        <w:rPr>
          <w:rtl/>
        </w:rPr>
        <w:t xml:space="preserve">, </w:t>
      </w:r>
      <w:r w:rsidRPr="009174EB">
        <w:rPr>
          <w:rFonts w:hint="eastAsia"/>
          <w:rtl/>
        </w:rPr>
        <w:t>וכל</w:t>
      </w:r>
      <w:r w:rsidRPr="009174EB">
        <w:rPr>
          <w:rtl/>
        </w:rPr>
        <w:t xml:space="preserve"> </w:t>
      </w:r>
      <w:r w:rsidRPr="009174EB">
        <w:rPr>
          <w:rFonts w:hint="eastAsia"/>
          <w:rtl/>
        </w:rPr>
        <w:t>מי</w:t>
      </w:r>
      <w:r w:rsidRPr="009174EB">
        <w:rPr>
          <w:rtl/>
        </w:rPr>
        <w:t xml:space="preserve"> </w:t>
      </w:r>
      <w:r w:rsidRPr="009174EB">
        <w:rPr>
          <w:rFonts w:hint="eastAsia"/>
          <w:rtl/>
        </w:rPr>
        <w:t>שהשמיע</w:t>
      </w:r>
      <w:r w:rsidRPr="009174EB">
        <w:rPr>
          <w:rtl/>
        </w:rPr>
        <w:t xml:space="preserve"> </w:t>
      </w:r>
      <w:r w:rsidRPr="009174EB">
        <w:rPr>
          <w:rFonts w:hint="eastAsia"/>
          <w:rtl/>
        </w:rPr>
        <w:t>את</w:t>
      </w:r>
      <w:r w:rsidRPr="009174EB">
        <w:rPr>
          <w:rtl/>
        </w:rPr>
        <w:t xml:space="preserve"> </w:t>
      </w:r>
      <w:r w:rsidRPr="009174EB">
        <w:rPr>
          <w:rFonts w:hint="eastAsia"/>
          <w:rtl/>
        </w:rPr>
        <w:t>טענותיו</w:t>
      </w:r>
      <w:r w:rsidRPr="009174EB">
        <w:rPr>
          <w:rtl/>
        </w:rPr>
        <w:t xml:space="preserve"> </w:t>
      </w:r>
      <w:r w:rsidRPr="009174EB">
        <w:rPr>
          <w:rFonts w:hint="eastAsia"/>
          <w:rtl/>
        </w:rPr>
        <w:t>לפני</w:t>
      </w:r>
      <w:r w:rsidRPr="009174EB">
        <w:rPr>
          <w:rtl/>
        </w:rPr>
        <w:t xml:space="preserve"> </w:t>
      </w:r>
      <w:r w:rsidRPr="009174EB">
        <w:rPr>
          <w:rFonts w:hint="eastAsia"/>
          <w:rtl/>
        </w:rPr>
        <w:t>ועדת</w:t>
      </w:r>
      <w:r w:rsidRPr="009174EB">
        <w:rPr>
          <w:rtl/>
        </w:rPr>
        <w:t xml:space="preserve"> </w:t>
      </w:r>
      <w:r w:rsidRPr="009174EB">
        <w:rPr>
          <w:rFonts w:hint="eastAsia"/>
          <w:rtl/>
        </w:rPr>
        <w:t>המשנה</w:t>
      </w:r>
      <w:r w:rsidRPr="009174EB">
        <w:rPr>
          <w:rtl/>
        </w:rPr>
        <w:t xml:space="preserve"> </w:t>
      </w:r>
      <w:r w:rsidRPr="009174EB">
        <w:rPr>
          <w:rFonts w:hint="eastAsia"/>
          <w:rtl/>
        </w:rPr>
        <w:t>הינו</w:t>
      </w:r>
      <w:r w:rsidRPr="009174EB">
        <w:rPr>
          <w:rtl/>
        </w:rPr>
        <w:t xml:space="preserve"> "</w:t>
      </w:r>
      <w:r w:rsidRPr="009174EB">
        <w:rPr>
          <w:rFonts w:hint="eastAsia"/>
          <w:rtl/>
        </w:rPr>
        <w:t>צד</w:t>
      </w:r>
      <w:r w:rsidRPr="009174EB">
        <w:rPr>
          <w:rtl/>
        </w:rPr>
        <w:t xml:space="preserve"> </w:t>
      </w:r>
      <w:r w:rsidRPr="009174EB">
        <w:rPr>
          <w:rFonts w:hint="eastAsia"/>
          <w:rtl/>
        </w:rPr>
        <w:t>מעונין</w:t>
      </w:r>
      <w:r w:rsidRPr="009174EB">
        <w:rPr>
          <w:rtl/>
        </w:rPr>
        <w:t xml:space="preserve"> </w:t>
      </w:r>
      <w:r w:rsidRPr="009174EB">
        <w:rPr>
          <w:rFonts w:hint="eastAsia"/>
          <w:rtl/>
        </w:rPr>
        <w:t>בדבר</w:t>
      </w:r>
      <w:r w:rsidRPr="009174EB">
        <w:rPr>
          <w:rtl/>
        </w:rPr>
        <w:t xml:space="preserve">". </w:t>
      </w:r>
      <w:r w:rsidRPr="009174EB">
        <w:rPr>
          <w:rFonts w:hint="eastAsia"/>
          <w:rtl/>
        </w:rPr>
        <w:t>לפיכך</w:t>
      </w:r>
      <w:r w:rsidRPr="009174EB">
        <w:rPr>
          <w:rtl/>
        </w:rPr>
        <w:t xml:space="preserve">, </w:t>
      </w:r>
      <w:r w:rsidRPr="009174EB">
        <w:rPr>
          <w:rFonts w:hint="eastAsia"/>
          <w:rtl/>
        </w:rPr>
        <w:t>חייבת</w:t>
      </w:r>
      <w:r w:rsidRPr="009174EB">
        <w:rPr>
          <w:rtl/>
        </w:rPr>
        <w:t xml:space="preserve"> </w:t>
      </w:r>
      <w:r w:rsidRPr="009174EB">
        <w:rPr>
          <w:rFonts w:hint="eastAsia"/>
          <w:rtl/>
        </w:rPr>
        <w:t>הייתה</w:t>
      </w:r>
      <w:r w:rsidRPr="009174EB">
        <w:rPr>
          <w:rtl/>
        </w:rPr>
        <w:t xml:space="preserve"> </w:t>
      </w:r>
      <w:r w:rsidRPr="009174EB">
        <w:rPr>
          <w:rFonts w:hint="eastAsia"/>
          <w:rtl/>
        </w:rPr>
        <w:t>וועדת</w:t>
      </w:r>
      <w:r w:rsidRPr="009174EB">
        <w:rPr>
          <w:rtl/>
        </w:rPr>
        <w:t xml:space="preserve"> </w:t>
      </w:r>
      <w:r w:rsidRPr="009174EB">
        <w:rPr>
          <w:rFonts w:hint="eastAsia"/>
          <w:rtl/>
        </w:rPr>
        <w:t>המשנה</w:t>
      </w:r>
      <w:r w:rsidRPr="009174EB">
        <w:rPr>
          <w:rtl/>
        </w:rPr>
        <w:t xml:space="preserve"> </w:t>
      </w:r>
      <w:r w:rsidRPr="009174EB">
        <w:rPr>
          <w:rFonts w:hint="eastAsia"/>
          <w:rtl/>
        </w:rPr>
        <w:t>להעניק</w:t>
      </w:r>
      <w:r w:rsidRPr="009174EB">
        <w:rPr>
          <w:rtl/>
        </w:rPr>
        <w:t xml:space="preserve"> </w:t>
      </w:r>
      <w:r w:rsidRPr="009174EB">
        <w:rPr>
          <w:rFonts w:hint="eastAsia"/>
          <w:rtl/>
        </w:rPr>
        <w:t>למתנגדים</w:t>
      </w:r>
      <w:r w:rsidRPr="009174EB">
        <w:rPr>
          <w:rtl/>
        </w:rPr>
        <w:t xml:space="preserve"> </w:t>
      </w:r>
      <w:r w:rsidRPr="009174EB">
        <w:rPr>
          <w:rFonts w:hint="eastAsia"/>
          <w:rtl/>
        </w:rPr>
        <w:t>זכות</w:t>
      </w:r>
      <w:r w:rsidRPr="009174EB">
        <w:rPr>
          <w:rtl/>
        </w:rPr>
        <w:t xml:space="preserve"> </w:t>
      </w:r>
      <w:r w:rsidRPr="009174EB">
        <w:rPr>
          <w:rFonts w:hint="eastAsia"/>
          <w:rtl/>
        </w:rPr>
        <w:t>טיעון</w:t>
      </w:r>
      <w:r w:rsidRPr="009174EB">
        <w:rPr>
          <w:rtl/>
        </w:rPr>
        <w:t xml:space="preserve"> </w:t>
      </w:r>
      <w:r w:rsidRPr="009174EB">
        <w:rPr>
          <w:rFonts w:hint="eastAsia"/>
          <w:rtl/>
        </w:rPr>
        <w:t>לפני</w:t>
      </w:r>
      <w:r w:rsidRPr="009174EB">
        <w:rPr>
          <w:rtl/>
        </w:rPr>
        <w:t xml:space="preserve"> </w:t>
      </w:r>
      <w:r w:rsidRPr="009174EB">
        <w:rPr>
          <w:rFonts w:hint="eastAsia"/>
          <w:rtl/>
        </w:rPr>
        <w:t>שהחליטה</w:t>
      </w:r>
      <w:r w:rsidRPr="009174EB">
        <w:rPr>
          <w:rtl/>
        </w:rPr>
        <w:t xml:space="preserve"> </w:t>
      </w:r>
      <w:r w:rsidRPr="009174EB">
        <w:rPr>
          <w:rFonts w:hint="eastAsia"/>
          <w:rtl/>
        </w:rPr>
        <w:t>לשנות</w:t>
      </w:r>
      <w:r w:rsidRPr="009174EB">
        <w:rPr>
          <w:rtl/>
        </w:rPr>
        <w:t xml:space="preserve"> </w:t>
      </w:r>
      <w:r w:rsidRPr="009174EB">
        <w:rPr>
          <w:rFonts w:hint="eastAsia"/>
          <w:rtl/>
        </w:rPr>
        <w:t>את</w:t>
      </w:r>
      <w:r w:rsidRPr="009174EB">
        <w:rPr>
          <w:rtl/>
        </w:rPr>
        <w:t xml:space="preserve"> </w:t>
      </w:r>
      <w:r w:rsidRPr="009174EB">
        <w:rPr>
          <w:rFonts w:hint="eastAsia"/>
          <w:rtl/>
        </w:rPr>
        <w:t>החלטתה</w:t>
      </w:r>
      <w:r w:rsidRPr="009174EB">
        <w:rPr>
          <w:rtl/>
        </w:rPr>
        <w:t xml:space="preserve"> </w:t>
      </w:r>
      <w:r w:rsidRPr="009174EB">
        <w:rPr>
          <w:rFonts w:hint="eastAsia"/>
          <w:rtl/>
        </w:rPr>
        <w:t>מיום</w:t>
      </w:r>
      <w:r w:rsidRPr="009174EB">
        <w:rPr>
          <w:rtl/>
        </w:rPr>
        <w:t xml:space="preserve"> 5.12.10. </w:t>
      </w:r>
      <w:r w:rsidRPr="009174EB">
        <w:rPr>
          <w:rFonts w:hint="eastAsia"/>
          <w:rtl/>
        </w:rPr>
        <w:t>זכות</w:t>
      </w:r>
      <w:r w:rsidRPr="009174EB">
        <w:rPr>
          <w:rtl/>
        </w:rPr>
        <w:t xml:space="preserve"> </w:t>
      </w:r>
      <w:r w:rsidRPr="009174EB">
        <w:rPr>
          <w:rFonts w:hint="eastAsia"/>
          <w:rtl/>
        </w:rPr>
        <w:t>כזו</w:t>
      </w:r>
      <w:r w:rsidRPr="009174EB">
        <w:rPr>
          <w:rtl/>
        </w:rPr>
        <w:t xml:space="preserve"> </w:t>
      </w:r>
      <w:r w:rsidRPr="009174EB">
        <w:rPr>
          <w:rFonts w:hint="eastAsia"/>
          <w:rtl/>
        </w:rPr>
        <w:t>לא</w:t>
      </w:r>
      <w:r w:rsidRPr="009174EB">
        <w:rPr>
          <w:rtl/>
        </w:rPr>
        <w:t xml:space="preserve"> </w:t>
      </w:r>
      <w:r w:rsidRPr="009174EB">
        <w:rPr>
          <w:rFonts w:hint="eastAsia"/>
          <w:rtl/>
        </w:rPr>
        <w:t>ניתנה</w:t>
      </w:r>
      <w:r w:rsidRPr="009174EB">
        <w:rPr>
          <w:rtl/>
        </w:rPr>
        <w:t xml:space="preserve"> </w:t>
      </w:r>
      <w:r w:rsidRPr="009174EB">
        <w:rPr>
          <w:rFonts w:hint="eastAsia"/>
          <w:rtl/>
        </w:rPr>
        <w:t>וההחלטה</w:t>
      </w:r>
      <w:r w:rsidRPr="009174EB">
        <w:rPr>
          <w:rtl/>
        </w:rPr>
        <w:t xml:space="preserve"> </w:t>
      </w:r>
      <w:r w:rsidRPr="009174EB">
        <w:rPr>
          <w:rFonts w:hint="eastAsia"/>
          <w:rtl/>
        </w:rPr>
        <w:t>נתקבלה</w:t>
      </w:r>
      <w:r w:rsidRPr="009174EB">
        <w:rPr>
          <w:rtl/>
        </w:rPr>
        <w:t xml:space="preserve"> </w:t>
      </w:r>
      <w:r w:rsidRPr="009174EB">
        <w:rPr>
          <w:rFonts w:hint="eastAsia"/>
          <w:rtl/>
        </w:rPr>
        <w:t>תוך</w:t>
      </w:r>
      <w:r w:rsidRPr="009174EB">
        <w:rPr>
          <w:rtl/>
        </w:rPr>
        <w:t xml:space="preserve"> </w:t>
      </w:r>
      <w:r w:rsidRPr="009174EB">
        <w:rPr>
          <w:rFonts w:hint="eastAsia"/>
          <w:rtl/>
        </w:rPr>
        <w:t>שלילת</w:t>
      </w:r>
      <w:r w:rsidRPr="009174EB">
        <w:rPr>
          <w:rtl/>
        </w:rPr>
        <w:t xml:space="preserve"> </w:t>
      </w:r>
      <w:r w:rsidRPr="009174EB">
        <w:rPr>
          <w:rFonts w:hint="eastAsia"/>
          <w:rtl/>
        </w:rPr>
        <w:t>זכות</w:t>
      </w:r>
      <w:r w:rsidRPr="009174EB">
        <w:rPr>
          <w:rtl/>
        </w:rPr>
        <w:t xml:space="preserve"> </w:t>
      </w:r>
      <w:r w:rsidRPr="009174EB">
        <w:rPr>
          <w:rFonts w:hint="eastAsia"/>
          <w:rtl/>
        </w:rPr>
        <w:t>הטיעון</w:t>
      </w:r>
      <w:r w:rsidRPr="009174EB">
        <w:rPr>
          <w:rtl/>
        </w:rPr>
        <w:t xml:space="preserve"> </w:t>
      </w:r>
      <w:r w:rsidRPr="009174EB">
        <w:rPr>
          <w:rFonts w:hint="eastAsia"/>
          <w:rtl/>
        </w:rPr>
        <w:t>של</w:t>
      </w:r>
      <w:r w:rsidRPr="009174EB">
        <w:rPr>
          <w:rtl/>
        </w:rPr>
        <w:t xml:space="preserve"> </w:t>
      </w:r>
      <w:r w:rsidRPr="009174EB">
        <w:rPr>
          <w:rFonts w:hint="eastAsia"/>
          <w:rtl/>
        </w:rPr>
        <w:t>המתנגדים</w:t>
      </w:r>
      <w:r w:rsidRPr="009174EB">
        <w:rPr>
          <w:rtl/>
        </w:rPr>
        <w:t xml:space="preserve">. </w:t>
      </w:r>
      <w:r w:rsidRPr="009174EB">
        <w:rPr>
          <w:rFonts w:hint="eastAsia"/>
          <w:rtl/>
        </w:rPr>
        <w:t>זכות</w:t>
      </w:r>
      <w:r w:rsidRPr="009174EB">
        <w:rPr>
          <w:rtl/>
        </w:rPr>
        <w:t xml:space="preserve"> </w:t>
      </w:r>
      <w:r w:rsidRPr="009174EB">
        <w:rPr>
          <w:rFonts w:hint="eastAsia"/>
          <w:rtl/>
        </w:rPr>
        <w:t>הטיעון</w:t>
      </w:r>
      <w:r w:rsidRPr="009174EB">
        <w:rPr>
          <w:rtl/>
        </w:rPr>
        <w:t xml:space="preserve"> </w:t>
      </w:r>
      <w:r w:rsidRPr="009174EB">
        <w:rPr>
          <w:rFonts w:hint="eastAsia"/>
          <w:rtl/>
        </w:rPr>
        <w:t>המוקנית</w:t>
      </w:r>
      <w:r w:rsidRPr="009174EB">
        <w:rPr>
          <w:rtl/>
        </w:rPr>
        <w:t xml:space="preserve"> </w:t>
      </w:r>
      <w:hyperlink r:id="rId28" w:history="1">
        <w:r w:rsidRPr="009174EB">
          <w:rPr>
            <w:rFonts w:hint="eastAsia"/>
            <w:rtl/>
          </w:rPr>
          <w:t>בסעיף</w:t>
        </w:r>
        <w:r w:rsidRPr="009174EB">
          <w:rPr>
            <w:rtl/>
          </w:rPr>
          <w:t xml:space="preserve"> 5</w:t>
        </w:r>
      </w:hyperlink>
      <w:r w:rsidRPr="009174EB">
        <w:rPr>
          <w:rtl/>
        </w:rPr>
        <w:t xml:space="preserve"> </w:t>
      </w:r>
      <w:r w:rsidRPr="009174EB">
        <w:rPr>
          <w:rFonts w:hint="eastAsia"/>
          <w:rtl/>
        </w:rPr>
        <w:t>לתקנות</w:t>
      </w:r>
      <w:r w:rsidRPr="009174EB">
        <w:rPr>
          <w:rtl/>
        </w:rPr>
        <w:t xml:space="preserve">, </w:t>
      </w:r>
      <w:r w:rsidRPr="009174EB">
        <w:rPr>
          <w:rFonts w:hint="eastAsia"/>
          <w:rtl/>
        </w:rPr>
        <w:t>היא</w:t>
      </w:r>
      <w:r w:rsidRPr="009174EB">
        <w:rPr>
          <w:rtl/>
        </w:rPr>
        <w:t xml:space="preserve"> </w:t>
      </w:r>
      <w:r w:rsidRPr="009174EB">
        <w:rPr>
          <w:rFonts w:hint="eastAsia"/>
          <w:rtl/>
        </w:rPr>
        <w:t>זכות</w:t>
      </w:r>
      <w:r w:rsidRPr="009174EB">
        <w:rPr>
          <w:rtl/>
        </w:rPr>
        <w:t xml:space="preserve"> </w:t>
      </w:r>
      <w:r w:rsidRPr="009174EB">
        <w:rPr>
          <w:rFonts w:hint="eastAsia"/>
          <w:rtl/>
        </w:rPr>
        <w:t>עקרונית</w:t>
      </w:r>
      <w:r w:rsidRPr="009174EB">
        <w:rPr>
          <w:rtl/>
        </w:rPr>
        <w:t xml:space="preserve"> </w:t>
      </w:r>
      <w:r w:rsidRPr="009174EB">
        <w:rPr>
          <w:rFonts w:hint="eastAsia"/>
          <w:rtl/>
        </w:rPr>
        <w:t>ומהותית</w:t>
      </w:r>
      <w:r w:rsidRPr="009174EB">
        <w:rPr>
          <w:rtl/>
        </w:rPr>
        <w:t xml:space="preserve">, </w:t>
      </w:r>
      <w:r w:rsidRPr="009174EB">
        <w:rPr>
          <w:rFonts w:hint="eastAsia"/>
          <w:rtl/>
        </w:rPr>
        <w:t>ושלילתה</w:t>
      </w:r>
      <w:r w:rsidRPr="009174EB">
        <w:rPr>
          <w:rtl/>
        </w:rPr>
        <w:t xml:space="preserve"> </w:t>
      </w:r>
      <w:r w:rsidRPr="009174EB">
        <w:rPr>
          <w:rFonts w:hint="eastAsia"/>
          <w:rtl/>
        </w:rPr>
        <w:t>מהווה</w:t>
      </w:r>
      <w:r w:rsidRPr="009174EB">
        <w:rPr>
          <w:rtl/>
        </w:rPr>
        <w:t xml:space="preserve"> </w:t>
      </w:r>
      <w:r w:rsidRPr="009174EB">
        <w:rPr>
          <w:rFonts w:hint="eastAsia"/>
          <w:rtl/>
        </w:rPr>
        <w:t>פגם</w:t>
      </w:r>
      <w:r w:rsidRPr="009174EB">
        <w:rPr>
          <w:rtl/>
        </w:rPr>
        <w:t xml:space="preserve">, </w:t>
      </w:r>
      <w:r w:rsidRPr="009174EB">
        <w:rPr>
          <w:rFonts w:hint="eastAsia"/>
          <w:rtl/>
        </w:rPr>
        <w:t>אשר</w:t>
      </w:r>
      <w:r w:rsidRPr="009174EB">
        <w:rPr>
          <w:rtl/>
        </w:rPr>
        <w:t xml:space="preserve"> </w:t>
      </w:r>
      <w:r w:rsidRPr="009174EB">
        <w:rPr>
          <w:rFonts w:hint="eastAsia"/>
          <w:rtl/>
        </w:rPr>
        <w:t>תוצאתו</w:t>
      </w:r>
      <w:r w:rsidRPr="009174EB">
        <w:rPr>
          <w:rtl/>
        </w:rPr>
        <w:t xml:space="preserve"> </w:t>
      </w:r>
      <w:r w:rsidRPr="009174EB">
        <w:rPr>
          <w:rFonts w:hint="eastAsia"/>
          <w:rtl/>
        </w:rPr>
        <w:t>בטלות</w:t>
      </w:r>
      <w:r w:rsidRPr="009174EB">
        <w:rPr>
          <w:rtl/>
        </w:rPr>
        <w:t xml:space="preserve"> </w:t>
      </w:r>
      <w:r w:rsidRPr="009174EB">
        <w:rPr>
          <w:rFonts w:hint="eastAsia"/>
          <w:rtl/>
        </w:rPr>
        <w:t>ההחלטה</w:t>
      </w:r>
      <w:r w:rsidRPr="009174EB">
        <w:rPr>
          <w:rtl/>
        </w:rPr>
        <w:t xml:space="preserve">. </w:t>
      </w:r>
      <w:r w:rsidRPr="009174EB">
        <w:rPr>
          <w:rFonts w:hint="eastAsia"/>
          <w:rtl/>
        </w:rPr>
        <w:t>סוגיה</w:t>
      </w:r>
      <w:r w:rsidRPr="009174EB">
        <w:rPr>
          <w:rtl/>
        </w:rPr>
        <w:t xml:space="preserve"> </w:t>
      </w:r>
      <w:r w:rsidRPr="009174EB">
        <w:rPr>
          <w:rFonts w:hint="eastAsia"/>
          <w:rtl/>
        </w:rPr>
        <w:t>זו</w:t>
      </w:r>
      <w:r w:rsidRPr="009174EB">
        <w:rPr>
          <w:rtl/>
        </w:rPr>
        <w:t xml:space="preserve"> </w:t>
      </w:r>
      <w:r w:rsidRPr="009174EB">
        <w:rPr>
          <w:rFonts w:hint="eastAsia"/>
          <w:rtl/>
        </w:rPr>
        <w:t>כבר</w:t>
      </w:r>
      <w:r w:rsidRPr="009174EB">
        <w:rPr>
          <w:rtl/>
        </w:rPr>
        <w:t xml:space="preserve"> </w:t>
      </w:r>
      <w:r w:rsidRPr="009174EB">
        <w:rPr>
          <w:rFonts w:hint="eastAsia"/>
          <w:rtl/>
        </w:rPr>
        <w:t>נדונה</w:t>
      </w:r>
      <w:r w:rsidRPr="009174EB">
        <w:rPr>
          <w:rtl/>
        </w:rPr>
        <w:t xml:space="preserve"> </w:t>
      </w:r>
      <w:r w:rsidRPr="009174EB">
        <w:rPr>
          <w:rFonts w:hint="eastAsia"/>
          <w:rtl/>
        </w:rPr>
        <w:t>ע</w:t>
      </w:r>
      <w:r w:rsidRPr="009174EB">
        <w:rPr>
          <w:rtl/>
        </w:rPr>
        <w:t>"</w:t>
      </w:r>
      <w:r w:rsidRPr="009174EB">
        <w:rPr>
          <w:rFonts w:hint="eastAsia"/>
          <w:rtl/>
        </w:rPr>
        <w:t>י</w:t>
      </w:r>
      <w:r w:rsidRPr="009174EB">
        <w:rPr>
          <w:rtl/>
        </w:rPr>
        <w:t xml:space="preserve"> </w:t>
      </w:r>
      <w:r w:rsidRPr="009174EB">
        <w:rPr>
          <w:rFonts w:hint="eastAsia"/>
          <w:rtl/>
        </w:rPr>
        <w:t>בתי</w:t>
      </w:r>
      <w:r w:rsidRPr="009174EB">
        <w:rPr>
          <w:rtl/>
        </w:rPr>
        <w:t xml:space="preserve"> </w:t>
      </w:r>
      <w:r w:rsidRPr="009174EB">
        <w:rPr>
          <w:rFonts w:hint="eastAsia"/>
          <w:rtl/>
        </w:rPr>
        <w:t>המשפט</w:t>
      </w:r>
      <w:r w:rsidRPr="009174EB">
        <w:rPr>
          <w:rtl/>
        </w:rPr>
        <w:t xml:space="preserve"> </w:t>
      </w:r>
      <w:r w:rsidRPr="009174EB">
        <w:rPr>
          <w:rFonts w:hint="eastAsia"/>
          <w:rtl/>
        </w:rPr>
        <w:t>במספר</w:t>
      </w:r>
      <w:r w:rsidRPr="009174EB">
        <w:rPr>
          <w:rtl/>
        </w:rPr>
        <w:t xml:space="preserve"> </w:t>
      </w:r>
      <w:r w:rsidRPr="009174EB">
        <w:rPr>
          <w:rFonts w:hint="eastAsia"/>
          <w:rtl/>
        </w:rPr>
        <w:t>מקרים</w:t>
      </w:r>
      <w:r w:rsidRPr="009174EB">
        <w:rPr>
          <w:rtl/>
        </w:rPr>
        <w:t>.</w:t>
      </w:r>
      <w:r>
        <w:rPr>
          <w:rFonts w:hint="cs"/>
          <w:rtl/>
        </w:rPr>
        <w:t>"</w:t>
      </w:r>
    </w:p>
    <w:p w14:paraId="14C3087D" w14:textId="4EBFAC12" w:rsidR="00700B8A" w:rsidRDefault="00700B8A"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החלטת הוועדה המקומית אינה יכולה לעמוד, אם כן, גם בשל הפגיעה הקשה בזכות הטיעון של העוררת</w:t>
      </w:r>
      <w:r w:rsidR="007B4CD6">
        <w:rPr>
          <w:rFonts w:cs="David" w:hint="cs"/>
          <w:sz w:val="24"/>
          <w:szCs w:val="24"/>
          <w:rtl/>
        </w:rPr>
        <w:t>.</w:t>
      </w:r>
      <w:r>
        <w:rPr>
          <w:rFonts w:cs="David" w:hint="cs"/>
          <w:sz w:val="24"/>
          <w:szCs w:val="24"/>
          <w:rtl/>
        </w:rPr>
        <w:t xml:space="preserve"> </w:t>
      </w:r>
    </w:p>
    <w:p w14:paraId="19295D55" w14:textId="15323B96" w:rsidR="00700B8A" w:rsidRDefault="00700B8A"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אם לסכם סיכום ביניים, בפנינו החלטה לבטל החלטה של ועדת המשנה של הוועדה המקומית, אשר תאמה הן את המלצות הצוות המקצועי והן החלטה זהה שקיבלה הוועדה המקומית בעבר, עת סברה שהתוכנית הינה בסמכות הוועדה המחוזית. ההחלטה החדשה, לבטל את החלטת ועדת המשנה, התקבלה בהליך לא תקין, תוך הפרת חובת ההנמקה וזכות הטיעון של העוררת גם יחד. די היה בכך על מנת לבטל את החלטת הוועדה המקומית, תוך הותרת החלטת ועדת המשנה על כנה.</w:t>
      </w:r>
    </w:p>
    <w:p w14:paraId="62EE4903" w14:textId="27E66FD9" w:rsidR="00700B8A" w:rsidRDefault="00700B8A" w:rsidP="00BE782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 xml:space="preserve">עם זאת, </w:t>
      </w:r>
      <w:r w:rsidR="007B4CD6">
        <w:rPr>
          <w:rFonts w:cs="David" w:hint="cs"/>
          <w:sz w:val="24"/>
          <w:szCs w:val="24"/>
          <w:rtl/>
        </w:rPr>
        <w:t xml:space="preserve">מצאנו לנכון לבחון גם לגופו של עניין </w:t>
      </w:r>
      <w:r>
        <w:rPr>
          <w:rFonts w:cs="David" w:hint="cs"/>
          <w:sz w:val="24"/>
          <w:szCs w:val="24"/>
          <w:rtl/>
        </w:rPr>
        <w:t>את החלטת הוועדה המקומית</w:t>
      </w:r>
      <w:r w:rsidR="007B4CD6">
        <w:rPr>
          <w:rFonts w:cs="David" w:hint="cs"/>
          <w:sz w:val="24"/>
          <w:szCs w:val="24"/>
          <w:rtl/>
        </w:rPr>
        <w:t>, הסוטה מהחלטה קודמת שקיבלה הוועדה המקומית עצמה את החליטה להמליץ על הפקדת התוכנית. בחינה זו תיעשה בראי</w:t>
      </w:r>
      <w:r>
        <w:rPr>
          <w:rFonts w:cs="David" w:hint="cs"/>
          <w:sz w:val="24"/>
          <w:szCs w:val="24"/>
          <w:rtl/>
        </w:rPr>
        <w:t xml:space="preserve"> ההלכה החלה בנושא סמכות מוסד התכנון לעיין מחדש בהחלטותיו.</w:t>
      </w:r>
    </w:p>
    <w:p w14:paraId="6A73EEB3" w14:textId="77777777" w:rsidR="00700B8A" w:rsidRPr="007B4CD6" w:rsidRDefault="00700B8A" w:rsidP="00700B8A">
      <w:pPr>
        <w:pStyle w:val="af"/>
        <w:spacing w:line="360" w:lineRule="auto"/>
        <w:ind w:left="470" w:right="-142"/>
        <w:contextualSpacing w:val="0"/>
        <w:jc w:val="both"/>
        <w:rPr>
          <w:rFonts w:cs="David"/>
          <w:sz w:val="24"/>
          <w:szCs w:val="24"/>
          <w:rtl/>
        </w:rPr>
      </w:pPr>
    </w:p>
    <w:p w14:paraId="7C993778" w14:textId="77777777" w:rsidR="00700B8A" w:rsidRPr="00700B8A" w:rsidRDefault="00700B8A" w:rsidP="00700B8A">
      <w:pPr>
        <w:pStyle w:val="af"/>
        <w:spacing w:line="360" w:lineRule="auto"/>
        <w:ind w:left="470" w:right="-142"/>
        <w:contextualSpacing w:val="0"/>
        <w:jc w:val="both"/>
        <w:rPr>
          <w:rFonts w:cs="David"/>
          <w:sz w:val="24"/>
          <w:szCs w:val="24"/>
          <w:u w:val="single"/>
        </w:rPr>
      </w:pPr>
      <w:r w:rsidRPr="00700B8A">
        <w:rPr>
          <w:rFonts w:cs="David" w:hint="cs"/>
          <w:sz w:val="24"/>
          <w:szCs w:val="24"/>
          <w:u w:val="single"/>
          <w:rtl/>
        </w:rPr>
        <w:t>סמכות מוסד תכנון לעיין מחדש בהחלטותיו</w:t>
      </w:r>
    </w:p>
    <w:p w14:paraId="1CF1ECC2" w14:textId="77777777" w:rsidR="007B7BB0" w:rsidRPr="007B7BB0" w:rsidRDefault="00700B8A" w:rsidP="007B4CD6">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מן המפורסמות היא</w:t>
      </w:r>
      <w:r w:rsidR="007B7BB0">
        <w:rPr>
          <w:rFonts w:cs="David" w:hint="cs"/>
          <w:sz w:val="24"/>
          <w:szCs w:val="24"/>
          <w:rtl/>
        </w:rPr>
        <w:t xml:space="preserve">, </w:t>
      </w:r>
      <w:r>
        <w:rPr>
          <w:rFonts w:cs="David" w:hint="cs"/>
          <w:sz w:val="24"/>
          <w:szCs w:val="24"/>
          <w:rtl/>
        </w:rPr>
        <w:t>ש</w:t>
      </w:r>
      <w:r w:rsidR="007B7BB0" w:rsidRPr="007B7BB0">
        <w:rPr>
          <w:rFonts w:cs="David" w:hint="eastAsia"/>
          <w:sz w:val="24"/>
          <w:szCs w:val="24"/>
          <w:rtl/>
        </w:rPr>
        <w:t>עקרון</w:t>
      </w:r>
      <w:r w:rsidR="007B7BB0" w:rsidRPr="007B7BB0">
        <w:rPr>
          <w:rFonts w:cs="David"/>
          <w:sz w:val="24"/>
          <w:szCs w:val="24"/>
          <w:rtl/>
        </w:rPr>
        <w:t xml:space="preserve"> "</w:t>
      </w:r>
      <w:r w:rsidR="007B7BB0" w:rsidRPr="007B7BB0">
        <w:rPr>
          <w:rFonts w:cs="David" w:hint="eastAsia"/>
          <w:sz w:val="24"/>
          <w:szCs w:val="24"/>
          <w:rtl/>
        </w:rPr>
        <w:t>גמר</w:t>
      </w:r>
      <w:r w:rsidR="007B7BB0" w:rsidRPr="007B7BB0">
        <w:rPr>
          <w:rFonts w:cs="David"/>
          <w:sz w:val="24"/>
          <w:szCs w:val="24"/>
          <w:rtl/>
        </w:rPr>
        <w:t xml:space="preserve"> </w:t>
      </w:r>
      <w:r w:rsidR="007B7BB0" w:rsidRPr="007B7BB0">
        <w:rPr>
          <w:rFonts w:cs="David" w:hint="eastAsia"/>
          <w:sz w:val="24"/>
          <w:szCs w:val="24"/>
          <w:rtl/>
        </w:rPr>
        <w:t>המלאכה</w:t>
      </w:r>
      <w:r w:rsidR="007B7BB0" w:rsidRPr="007B7BB0">
        <w:rPr>
          <w:rFonts w:cs="David"/>
          <w:sz w:val="24"/>
          <w:szCs w:val="24"/>
          <w:rtl/>
        </w:rPr>
        <w:t xml:space="preserve">" </w:t>
      </w:r>
      <w:r w:rsidR="007B7BB0" w:rsidRPr="007B7BB0">
        <w:rPr>
          <w:rFonts w:asciiTheme="majorBidi" w:hAnsiTheme="majorBidi" w:cstheme="majorBidi"/>
          <w:sz w:val="24"/>
          <w:szCs w:val="24"/>
          <w:rtl/>
        </w:rPr>
        <w:t>(</w:t>
      </w:r>
      <w:r w:rsidR="007B7BB0" w:rsidRPr="007B7BB0">
        <w:rPr>
          <w:rFonts w:asciiTheme="majorBidi" w:hAnsiTheme="majorBidi" w:cstheme="majorBidi"/>
          <w:sz w:val="24"/>
          <w:szCs w:val="24"/>
        </w:rPr>
        <w:t>"Functus Officio"</w:t>
      </w:r>
      <w:r w:rsidR="007B7BB0" w:rsidRPr="007B7BB0">
        <w:rPr>
          <w:rFonts w:asciiTheme="majorBidi" w:hAnsiTheme="majorBidi" w:cstheme="majorBidi"/>
          <w:sz w:val="24"/>
          <w:szCs w:val="24"/>
          <w:rtl/>
        </w:rPr>
        <w:t>)</w:t>
      </w:r>
      <w:r w:rsidR="007B7BB0" w:rsidRPr="007B7BB0">
        <w:rPr>
          <w:rFonts w:cs="David"/>
          <w:sz w:val="24"/>
          <w:szCs w:val="24"/>
          <w:rtl/>
        </w:rPr>
        <w:t xml:space="preserve"> </w:t>
      </w:r>
      <w:r w:rsidR="007B7BB0">
        <w:rPr>
          <w:rFonts w:cs="David" w:hint="cs"/>
          <w:sz w:val="24"/>
          <w:szCs w:val="24"/>
          <w:rtl/>
        </w:rPr>
        <w:t>אינו חל, דרך ה</w:t>
      </w:r>
      <w:r w:rsidR="007B7BB0" w:rsidRPr="007B7BB0">
        <w:rPr>
          <w:rFonts w:cs="David" w:hint="eastAsia"/>
          <w:sz w:val="24"/>
          <w:szCs w:val="24"/>
          <w:rtl/>
        </w:rPr>
        <w:t>כלל</w:t>
      </w:r>
      <w:r w:rsidR="007B7BB0" w:rsidRPr="007B7BB0">
        <w:rPr>
          <w:rFonts w:cs="David"/>
          <w:sz w:val="24"/>
          <w:szCs w:val="24"/>
          <w:rtl/>
        </w:rPr>
        <w:t xml:space="preserve">, </w:t>
      </w:r>
      <w:r w:rsidR="007B7BB0">
        <w:rPr>
          <w:rFonts w:cs="David" w:hint="cs"/>
          <w:sz w:val="24"/>
          <w:szCs w:val="24"/>
          <w:rtl/>
        </w:rPr>
        <w:t>על</w:t>
      </w:r>
      <w:r w:rsidR="007B7BB0" w:rsidRPr="007B7BB0">
        <w:rPr>
          <w:rFonts w:cs="David"/>
          <w:sz w:val="24"/>
          <w:szCs w:val="24"/>
          <w:rtl/>
        </w:rPr>
        <w:t xml:space="preserve"> </w:t>
      </w:r>
      <w:r w:rsidR="007B7BB0" w:rsidRPr="007B7BB0">
        <w:rPr>
          <w:rFonts w:cs="David" w:hint="eastAsia"/>
          <w:sz w:val="24"/>
          <w:szCs w:val="24"/>
          <w:rtl/>
        </w:rPr>
        <w:t>רשויות</w:t>
      </w:r>
      <w:r w:rsidR="007B7BB0" w:rsidRPr="007B7BB0">
        <w:rPr>
          <w:rFonts w:cs="David"/>
          <w:sz w:val="24"/>
          <w:szCs w:val="24"/>
          <w:rtl/>
        </w:rPr>
        <w:t xml:space="preserve"> </w:t>
      </w:r>
      <w:proofErr w:type="spellStart"/>
      <w:r w:rsidR="007B7BB0" w:rsidRPr="007B7BB0">
        <w:rPr>
          <w:rFonts w:cs="David" w:hint="eastAsia"/>
          <w:sz w:val="24"/>
          <w:szCs w:val="24"/>
          <w:rtl/>
        </w:rPr>
        <w:t>מינהליות</w:t>
      </w:r>
      <w:proofErr w:type="spellEnd"/>
      <w:r w:rsidR="007B7BB0" w:rsidRPr="007B7BB0">
        <w:rPr>
          <w:rFonts w:cs="David"/>
          <w:sz w:val="24"/>
          <w:szCs w:val="24"/>
          <w:rtl/>
        </w:rPr>
        <w:t xml:space="preserve">. </w:t>
      </w:r>
      <w:r w:rsidR="007B7BB0">
        <w:rPr>
          <w:rFonts w:cs="David" w:hint="cs"/>
          <w:sz w:val="24"/>
          <w:szCs w:val="24"/>
          <w:rtl/>
        </w:rPr>
        <w:t xml:space="preserve">כפי שציין </w:t>
      </w:r>
      <w:r w:rsidR="007B7BB0" w:rsidRPr="007B7BB0">
        <w:rPr>
          <w:rFonts w:cs="David" w:hint="eastAsia"/>
          <w:sz w:val="24"/>
          <w:szCs w:val="24"/>
          <w:rtl/>
        </w:rPr>
        <w:t>יצחק</w:t>
      </w:r>
      <w:r w:rsidR="007B7BB0" w:rsidRPr="007B7BB0">
        <w:rPr>
          <w:rFonts w:cs="David"/>
          <w:sz w:val="24"/>
          <w:szCs w:val="24"/>
          <w:rtl/>
        </w:rPr>
        <w:t xml:space="preserve"> </w:t>
      </w:r>
      <w:hyperlink r:id="rId29" w:history="1">
        <w:r w:rsidR="007B7BB0" w:rsidRPr="007B7BB0">
          <w:rPr>
            <w:rFonts w:cs="David" w:hint="eastAsia"/>
            <w:sz w:val="24"/>
            <w:szCs w:val="24"/>
            <w:rtl/>
          </w:rPr>
          <w:t>זמיר</w:t>
        </w:r>
        <w:r w:rsidR="007B7BB0">
          <w:rPr>
            <w:rFonts w:cs="David" w:hint="cs"/>
            <w:sz w:val="24"/>
            <w:szCs w:val="24"/>
            <w:rtl/>
          </w:rPr>
          <w:t xml:space="preserve"> בספרו</w:t>
        </w:r>
        <w:r w:rsidR="007B7BB0" w:rsidRPr="007B7BB0">
          <w:rPr>
            <w:rFonts w:cs="David"/>
            <w:sz w:val="24"/>
            <w:szCs w:val="24"/>
            <w:rtl/>
          </w:rPr>
          <w:t xml:space="preserve"> </w:t>
        </w:r>
        <w:r w:rsidR="007B7BB0" w:rsidRPr="007B7BB0">
          <w:rPr>
            <w:rFonts w:cs="David" w:hint="eastAsia"/>
            <w:b/>
            <w:bCs/>
            <w:sz w:val="24"/>
            <w:szCs w:val="24"/>
            <w:rtl/>
          </w:rPr>
          <w:t>הסמכות</w:t>
        </w:r>
        <w:r w:rsidR="007B7BB0" w:rsidRPr="007B7BB0">
          <w:rPr>
            <w:rFonts w:cs="David"/>
            <w:b/>
            <w:bCs/>
            <w:sz w:val="24"/>
            <w:szCs w:val="24"/>
            <w:rtl/>
          </w:rPr>
          <w:t xml:space="preserve"> </w:t>
        </w:r>
        <w:proofErr w:type="spellStart"/>
        <w:r w:rsidR="007B7BB0" w:rsidRPr="007B7BB0">
          <w:rPr>
            <w:rFonts w:cs="David" w:hint="eastAsia"/>
            <w:b/>
            <w:bCs/>
            <w:sz w:val="24"/>
            <w:szCs w:val="24"/>
            <w:rtl/>
          </w:rPr>
          <w:t>המינהלית</w:t>
        </w:r>
        <w:proofErr w:type="spellEnd"/>
      </w:hyperlink>
      <w:r w:rsidR="007B7BB0" w:rsidRPr="007B7BB0">
        <w:rPr>
          <w:rFonts w:cs="David"/>
          <w:b/>
          <w:bCs/>
          <w:sz w:val="24"/>
          <w:szCs w:val="24"/>
          <w:rtl/>
        </w:rPr>
        <w:t xml:space="preserve"> - </w:t>
      </w:r>
      <w:r w:rsidR="007B7BB0" w:rsidRPr="007B7BB0">
        <w:rPr>
          <w:rFonts w:cs="David" w:hint="eastAsia"/>
          <w:b/>
          <w:bCs/>
          <w:sz w:val="24"/>
          <w:szCs w:val="24"/>
          <w:rtl/>
        </w:rPr>
        <w:t>כרך</w:t>
      </w:r>
      <w:r w:rsidR="007B7BB0" w:rsidRPr="007B7BB0">
        <w:rPr>
          <w:rFonts w:cs="David"/>
          <w:b/>
          <w:bCs/>
          <w:sz w:val="24"/>
          <w:szCs w:val="24"/>
          <w:rtl/>
        </w:rPr>
        <w:t xml:space="preserve"> </w:t>
      </w:r>
      <w:r w:rsidR="007B7BB0" w:rsidRPr="007B7BB0">
        <w:rPr>
          <w:rFonts w:cs="David" w:hint="eastAsia"/>
          <w:b/>
          <w:bCs/>
          <w:sz w:val="24"/>
          <w:szCs w:val="24"/>
          <w:rtl/>
        </w:rPr>
        <w:t>ב</w:t>
      </w:r>
      <w:r w:rsidR="007B7BB0" w:rsidRPr="007B7BB0">
        <w:rPr>
          <w:rFonts w:cs="David"/>
          <w:sz w:val="24"/>
          <w:szCs w:val="24"/>
          <w:rtl/>
        </w:rPr>
        <w:t xml:space="preserve"> </w:t>
      </w:r>
      <w:r w:rsidR="007B7BB0">
        <w:rPr>
          <w:rFonts w:cs="David" w:hint="cs"/>
          <w:sz w:val="24"/>
          <w:szCs w:val="24"/>
          <w:rtl/>
        </w:rPr>
        <w:t>(</w:t>
      </w:r>
      <w:r w:rsidR="007B7BB0" w:rsidRPr="007B7BB0">
        <w:rPr>
          <w:rFonts w:cs="David" w:hint="eastAsia"/>
          <w:sz w:val="24"/>
          <w:szCs w:val="24"/>
          <w:rtl/>
        </w:rPr>
        <w:t>מהדורה</w:t>
      </w:r>
      <w:r w:rsidR="007B7BB0" w:rsidRPr="007B7BB0">
        <w:rPr>
          <w:rFonts w:cs="David"/>
          <w:sz w:val="24"/>
          <w:szCs w:val="24"/>
          <w:rtl/>
        </w:rPr>
        <w:t xml:space="preserve"> </w:t>
      </w:r>
      <w:r w:rsidR="007B7BB0" w:rsidRPr="007B7BB0">
        <w:rPr>
          <w:rFonts w:cs="David" w:hint="eastAsia"/>
          <w:sz w:val="24"/>
          <w:szCs w:val="24"/>
          <w:rtl/>
        </w:rPr>
        <w:t>שניה</w:t>
      </w:r>
      <w:r w:rsidR="007B7BB0" w:rsidRPr="007B7BB0">
        <w:rPr>
          <w:rFonts w:cs="David"/>
          <w:sz w:val="24"/>
          <w:szCs w:val="24"/>
          <w:rtl/>
        </w:rPr>
        <w:t xml:space="preserve">, </w:t>
      </w:r>
      <w:r w:rsidR="007B7BB0" w:rsidRPr="007B7BB0">
        <w:rPr>
          <w:rFonts w:cs="David" w:hint="eastAsia"/>
          <w:sz w:val="24"/>
          <w:szCs w:val="24"/>
          <w:rtl/>
        </w:rPr>
        <w:t>התשע</w:t>
      </w:r>
      <w:r w:rsidR="007B7BB0" w:rsidRPr="007B7BB0">
        <w:rPr>
          <w:rFonts w:cs="David"/>
          <w:sz w:val="24"/>
          <w:szCs w:val="24"/>
          <w:rtl/>
        </w:rPr>
        <w:t>"</w:t>
      </w:r>
      <w:r w:rsidR="007B7BB0" w:rsidRPr="007B7BB0">
        <w:rPr>
          <w:rFonts w:cs="David" w:hint="eastAsia"/>
          <w:sz w:val="24"/>
          <w:szCs w:val="24"/>
          <w:rtl/>
        </w:rPr>
        <w:t>א</w:t>
      </w:r>
      <w:r w:rsidR="007B7BB0" w:rsidRPr="007B7BB0">
        <w:rPr>
          <w:rFonts w:cs="David"/>
          <w:sz w:val="24"/>
          <w:szCs w:val="24"/>
          <w:rtl/>
        </w:rPr>
        <w:t>-2011</w:t>
      </w:r>
      <w:r w:rsidR="007B7BB0">
        <w:rPr>
          <w:rFonts w:cs="David" w:hint="cs"/>
          <w:sz w:val="24"/>
          <w:szCs w:val="24"/>
          <w:rtl/>
        </w:rPr>
        <w:t>)</w:t>
      </w:r>
      <w:r w:rsidR="007B7BB0" w:rsidRPr="007B7BB0">
        <w:rPr>
          <w:rFonts w:cs="David"/>
          <w:sz w:val="24"/>
          <w:szCs w:val="24"/>
          <w:rtl/>
        </w:rPr>
        <w:t xml:space="preserve">, </w:t>
      </w:r>
      <w:r w:rsidR="007B7BB0" w:rsidRPr="007B7BB0">
        <w:rPr>
          <w:rFonts w:cs="David" w:hint="eastAsia"/>
          <w:sz w:val="24"/>
          <w:szCs w:val="24"/>
          <w:rtl/>
        </w:rPr>
        <w:t>בעמ</w:t>
      </w:r>
      <w:r w:rsidR="007B7BB0" w:rsidRPr="007B7BB0">
        <w:rPr>
          <w:rFonts w:cs="David"/>
          <w:sz w:val="24"/>
          <w:szCs w:val="24"/>
          <w:rtl/>
        </w:rPr>
        <w:t>' 1373 – 1374:</w:t>
      </w:r>
    </w:p>
    <w:p w14:paraId="08149331" w14:textId="77777777" w:rsidR="007B7BB0" w:rsidRPr="007B7BB0" w:rsidRDefault="007B7BB0" w:rsidP="007B7BB0">
      <w:pPr>
        <w:pStyle w:val="af"/>
        <w:spacing w:after="240" w:line="240" w:lineRule="auto"/>
        <w:ind w:left="1319" w:right="993"/>
        <w:contextualSpacing w:val="0"/>
        <w:jc w:val="both"/>
        <w:rPr>
          <w:rFonts w:ascii="FrankRuehl" w:hAnsi="FrankRuehl" w:cs="FrankRuehl"/>
          <w:sz w:val="24"/>
          <w:szCs w:val="24"/>
          <w:rtl/>
        </w:rPr>
      </w:pPr>
      <w:r w:rsidRPr="007B7BB0">
        <w:rPr>
          <w:rFonts w:ascii="FrankRuehl" w:hAnsi="FrankRuehl" w:cs="FrankRuehl"/>
          <w:sz w:val="24"/>
          <w:szCs w:val="24"/>
          <w:rtl/>
        </w:rPr>
        <w:t xml:space="preserve">"ההחלטה </w:t>
      </w:r>
      <w:proofErr w:type="spellStart"/>
      <w:r w:rsidRPr="007B7BB0">
        <w:rPr>
          <w:rFonts w:ascii="FrankRuehl" w:hAnsi="FrankRuehl" w:cs="FrankRuehl"/>
          <w:sz w:val="24"/>
          <w:szCs w:val="24"/>
          <w:rtl/>
        </w:rPr>
        <w:t>המינהלית</w:t>
      </w:r>
      <w:proofErr w:type="spellEnd"/>
      <w:r w:rsidRPr="007B7BB0">
        <w:rPr>
          <w:rFonts w:ascii="FrankRuehl" w:hAnsi="FrankRuehl" w:cs="FrankRuehl"/>
          <w:sz w:val="24"/>
          <w:szCs w:val="24"/>
          <w:rtl/>
        </w:rPr>
        <w:t xml:space="preserve"> אינה כפופה לעיקרון של גמר המלאכה או לעיקרון של מעשה בית דין. בדרך כלל היא אינה אמורה להיות סופית. שיקולים שונים עשויים לדרוש, לא פעם בנסיבות בלתי צפויות, שינוי או ביטול ההחלטה...</w:t>
      </w:r>
      <w:proofErr w:type="spellStart"/>
      <w:r w:rsidRPr="007B7BB0">
        <w:rPr>
          <w:rFonts w:ascii="FrankRuehl" w:hAnsi="FrankRuehl" w:cs="FrankRuehl"/>
          <w:sz w:val="24"/>
          <w:szCs w:val="24"/>
          <w:rtl/>
        </w:rPr>
        <w:t>המינהל</w:t>
      </w:r>
      <w:proofErr w:type="spellEnd"/>
      <w:r w:rsidRPr="007B7BB0">
        <w:rPr>
          <w:rFonts w:ascii="FrankRuehl" w:hAnsi="FrankRuehl" w:cs="FrankRuehl"/>
          <w:sz w:val="24"/>
          <w:szCs w:val="24"/>
          <w:rtl/>
        </w:rPr>
        <w:t xml:space="preserve"> הציבורי מטפל במספר עצום של עניינים ועליו לקבל החלטות באופן שגרתי ומהיר. הוא אינו יכול לפעול לפי סדרי דין ודיני ראיות כמקובל בבית המשפט, אלא הוא חייב להסתפק במקרים רבים בבדיקה מהירה של הנתונים. כתוצאה גדלה גם האפשרות של טעות או הטעיה. כמו כן, דבר רגיל הוא שהתנאים העובדתיים, הצרכים החברתיים או המדיניות הרשמית ישתנו. לכן אפשר כי החלטה שהייתה טובה בשעתו, שוב אינה טובה כיום. שינוי ההחלטה עשוי להתבקש על ידי הרשות </w:t>
      </w:r>
      <w:proofErr w:type="spellStart"/>
      <w:r w:rsidRPr="007B7BB0">
        <w:rPr>
          <w:rFonts w:ascii="FrankRuehl" w:hAnsi="FrankRuehl" w:cs="FrankRuehl"/>
          <w:sz w:val="24"/>
          <w:szCs w:val="24"/>
          <w:rtl/>
        </w:rPr>
        <w:t>המינהלית</w:t>
      </w:r>
      <w:proofErr w:type="spellEnd"/>
      <w:r w:rsidRPr="007B7BB0">
        <w:rPr>
          <w:rFonts w:ascii="FrankRuehl" w:hAnsi="FrankRuehl" w:cs="FrankRuehl"/>
          <w:sz w:val="24"/>
          <w:szCs w:val="24"/>
          <w:rtl/>
        </w:rPr>
        <w:t xml:space="preserve">, המדברת בשם טובת הציבור; אך הוא עשוי להתבקש גם על ידי האזרח, הרוצה בשינוי בשביל עצמו. כך או כך, ההחלטה </w:t>
      </w:r>
      <w:proofErr w:type="spellStart"/>
      <w:r w:rsidRPr="007B7BB0">
        <w:rPr>
          <w:rFonts w:ascii="FrankRuehl" w:hAnsi="FrankRuehl" w:cs="FrankRuehl"/>
          <w:sz w:val="24"/>
          <w:szCs w:val="24"/>
          <w:rtl/>
        </w:rPr>
        <w:t>המינהלית</w:t>
      </w:r>
      <w:proofErr w:type="spellEnd"/>
      <w:r w:rsidRPr="007B7BB0">
        <w:rPr>
          <w:rFonts w:ascii="FrankRuehl" w:hAnsi="FrankRuehl" w:cs="FrankRuehl"/>
          <w:sz w:val="24"/>
          <w:szCs w:val="24"/>
          <w:rtl/>
        </w:rPr>
        <w:t xml:space="preserve"> אינה צריכה להיות נוקשה כפסק דין סופי. היא צריכה מידה של גמישות, שתאפשר להתאים אותה מעת לעת בנסיבות המשתנות."</w:t>
      </w:r>
    </w:p>
    <w:p w14:paraId="185F6192" w14:textId="77777777" w:rsidR="007B7BB0" w:rsidRPr="007B7BB0" w:rsidRDefault="007B7BB0" w:rsidP="007B7BB0">
      <w:pPr>
        <w:pStyle w:val="af"/>
        <w:spacing w:after="0" w:line="360" w:lineRule="auto"/>
        <w:ind w:left="357" w:right="-142"/>
        <w:contextualSpacing w:val="0"/>
        <w:jc w:val="both"/>
        <w:rPr>
          <w:rFonts w:ascii="David" w:hAnsi="David" w:cs="David"/>
          <w:sz w:val="24"/>
          <w:szCs w:val="24"/>
          <w:rtl/>
        </w:rPr>
      </w:pPr>
      <w:r w:rsidRPr="007B7BB0">
        <w:rPr>
          <w:rFonts w:cs="David"/>
          <w:sz w:val="24"/>
          <w:szCs w:val="24"/>
          <w:rtl/>
        </w:rPr>
        <w:t>ראו</w:t>
      </w:r>
      <w:r w:rsidRPr="007B7BB0">
        <w:rPr>
          <w:rFonts w:ascii="David" w:hAnsi="David" w:cs="David"/>
          <w:sz w:val="24"/>
          <w:szCs w:val="24"/>
          <w:rtl/>
        </w:rPr>
        <w:t xml:space="preserve"> גם: </w:t>
      </w:r>
      <w:hyperlink r:id="rId30" w:history="1">
        <w:r w:rsidRPr="007B7BB0">
          <w:rPr>
            <w:rStyle w:val="Hyperlink"/>
            <w:rFonts w:ascii="David" w:hAnsi="David" w:cs="David"/>
            <w:color w:val="auto"/>
            <w:sz w:val="24"/>
            <w:szCs w:val="24"/>
            <w:u w:val="none"/>
            <w:rtl/>
          </w:rPr>
          <w:t>בג"ץ 9717/03</w:t>
        </w:r>
      </w:hyperlink>
      <w:r w:rsidRPr="007B7BB0">
        <w:rPr>
          <w:rFonts w:ascii="David" w:hAnsi="David" w:cs="David"/>
          <w:sz w:val="24"/>
          <w:szCs w:val="24"/>
          <w:rtl/>
        </w:rPr>
        <w:t xml:space="preserve">‏ </w:t>
      </w:r>
      <w:r w:rsidRPr="007B7BB0">
        <w:rPr>
          <w:rFonts w:ascii="David" w:hAnsi="David" w:cs="David"/>
          <w:b/>
          <w:bCs/>
          <w:sz w:val="24"/>
          <w:szCs w:val="24"/>
          <w:rtl/>
        </w:rPr>
        <w:t>נעלה – עמותה להתיישבות בשומרון של עובדי התעשייה האווירית לישראל נ' מועצת התכנון העליונה באזור יהודה ושומרון – ועדת המשנה לכרייה ולחציבה</w:t>
      </w:r>
      <w:r w:rsidRPr="007B7BB0">
        <w:rPr>
          <w:rFonts w:ascii="David" w:hAnsi="David" w:cs="David"/>
          <w:sz w:val="24"/>
          <w:szCs w:val="24"/>
          <w:rtl/>
        </w:rPr>
        <w:t xml:space="preserve"> </w:t>
      </w:r>
      <w:proofErr w:type="spellStart"/>
      <w:r w:rsidRPr="007B7BB0">
        <w:rPr>
          <w:rFonts w:ascii="David" w:hAnsi="David" w:cs="David"/>
          <w:sz w:val="24"/>
          <w:szCs w:val="24"/>
          <w:rtl/>
        </w:rPr>
        <w:t>פ''ד</w:t>
      </w:r>
      <w:proofErr w:type="spellEnd"/>
      <w:r w:rsidRPr="007B7BB0">
        <w:rPr>
          <w:rFonts w:ascii="David" w:hAnsi="David" w:cs="David"/>
          <w:sz w:val="24"/>
          <w:szCs w:val="24"/>
          <w:rtl/>
        </w:rPr>
        <w:t xml:space="preserve"> נח(6) 97, פס' 4 (2004); </w:t>
      </w:r>
      <w:hyperlink r:id="rId31" w:history="1">
        <w:proofErr w:type="spellStart"/>
        <w:r w:rsidRPr="007B7BB0">
          <w:rPr>
            <w:rFonts w:ascii="David" w:hAnsi="David" w:cs="David"/>
            <w:sz w:val="24"/>
            <w:szCs w:val="24"/>
            <w:rtl/>
          </w:rPr>
          <w:t>עת"מ</w:t>
        </w:r>
        <w:proofErr w:type="spellEnd"/>
        <w:r w:rsidRPr="007B7BB0">
          <w:rPr>
            <w:rFonts w:ascii="David" w:hAnsi="David" w:cs="David"/>
            <w:sz w:val="24"/>
            <w:szCs w:val="24"/>
            <w:rtl/>
          </w:rPr>
          <w:t xml:space="preserve"> (מרכז) 49288-05-14</w:t>
        </w:r>
      </w:hyperlink>
      <w:r w:rsidRPr="007B7BB0">
        <w:rPr>
          <w:rFonts w:ascii="David" w:hAnsi="David" w:cs="David"/>
          <w:sz w:val="24"/>
          <w:szCs w:val="24"/>
          <w:shd w:val="clear" w:color="auto" w:fill="EEEEEE"/>
          <w:rtl/>
        </w:rPr>
        <w:t xml:space="preserve"> </w:t>
      </w:r>
      <w:r w:rsidRPr="007B7BB0">
        <w:rPr>
          <w:rFonts w:ascii="David" w:hAnsi="David" w:cs="David"/>
          <w:b/>
          <w:bCs/>
          <w:sz w:val="24"/>
          <w:szCs w:val="24"/>
          <w:rtl/>
        </w:rPr>
        <w:t>שרון דרשן נ'</w:t>
      </w:r>
      <w:r w:rsidRPr="007B7BB0">
        <w:rPr>
          <w:rFonts w:ascii="David" w:hAnsi="David" w:cs="David"/>
          <w:sz w:val="24"/>
          <w:szCs w:val="24"/>
          <w:shd w:val="clear" w:color="auto" w:fill="EEEEEE"/>
        </w:rPr>
        <w:t xml:space="preserve"> </w:t>
      </w:r>
      <w:r w:rsidRPr="007B7BB0">
        <w:rPr>
          <w:rFonts w:ascii="David" w:hAnsi="David" w:cs="David"/>
          <w:b/>
          <w:bCs/>
          <w:sz w:val="24"/>
          <w:szCs w:val="24"/>
          <w:rtl/>
        </w:rPr>
        <w:t xml:space="preserve">הוועדה המקומית לתכנון ובניה פתח תקווה </w:t>
      </w:r>
      <w:r w:rsidRPr="007B7BB0">
        <w:rPr>
          <w:rFonts w:ascii="David" w:hAnsi="David" w:cs="David"/>
          <w:sz w:val="24"/>
          <w:szCs w:val="24"/>
          <w:rtl/>
        </w:rPr>
        <w:t xml:space="preserve">(פורסם בנבו, 13.7.2015); </w:t>
      </w:r>
      <w:hyperlink r:id="rId32" w:history="1">
        <w:proofErr w:type="spellStart"/>
        <w:r w:rsidRPr="007B7BB0">
          <w:rPr>
            <w:rFonts w:ascii="David" w:hAnsi="David" w:cs="David"/>
            <w:sz w:val="24"/>
            <w:szCs w:val="24"/>
            <w:rtl/>
          </w:rPr>
          <w:t>עת"מ</w:t>
        </w:r>
        <w:proofErr w:type="spellEnd"/>
        <w:r w:rsidRPr="007B7BB0">
          <w:rPr>
            <w:rFonts w:ascii="David" w:hAnsi="David" w:cs="David"/>
            <w:sz w:val="24"/>
            <w:szCs w:val="24"/>
            <w:rtl/>
          </w:rPr>
          <w:t xml:space="preserve"> (מרכז) 43621-03-12</w:t>
        </w:r>
      </w:hyperlink>
      <w:r w:rsidRPr="007B7BB0">
        <w:rPr>
          <w:rFonts w:ascii="David" w:hAnsi="David" w:cs="David"/>
          <w:sz w:val="24"/>
          <w:szCs w:val="24"/>
          <w:rtl/>
        </w:rPr>
        <w:t xml:space="preserve"> </w:t>
      </w:r>
      <w:proofErr w:type="spellStart"/>
      <w:r w:rsidRPr="007B7BB0">
        <w:rPr>
          <w:rFonts w:ascii="David" w:hAnsi="David" w:cs="David"/>
          <w:b/>
          <w:bCs/>
          <w:sz w:val="24"/>
          <w:szCs w:val="24"/>
          <w:rtl/>
        </w:rPr>
        <w:t>קרית</w:t>
      </w:r>
      <w:proofErr w:type="spellEnd"/>
      <w:r w:rsidRPr="007B7BB0">
        <w:rPr>
          <w:rFonts w:ascii="David" w:hAnsi="David" w:cs="David"/>
          <w:b/>
          <w:bCs/>
          <w:sz w:val="24"/>
          <w:szCs w:val="24"/>
          <w:rtl/>
        </w:rPr>
        <w:t xml:space="preserve"> נוף בע"מ נ' הוועדה המחוזית לתכנון ולבניה מחוז מרכז- ועדה להשלמת </w:t>
      </w:r>
      <w:proofErr w:type="spellStart"/>
      <w:r w:rsidRPr="007B7BB0">
        <w:rPr>
          <w:rFonts w:ascii="David" w:hAnsi="David" w:cs="David"/>
          <w:b/>
          <w:bCs/>
          <w:sz w:val="24"/>
          <w:szCs w:val="24"/>
          <w:rtl/>
        </w:rPr>
        <w:t>תוכניות</w:t>
      </w:r>
      <w:proofErr w:type="spellEnd"/>
      <w:r w:rsidRPr="007B7BB0">
        <w:rPr>
          <w:rFonts w:ascii="David" w:hAnsi="David" w:cs="David"/>
          <w:sz w:val="24"/>
          <w:szCs w:val="24"/>
          <w:rtl/>
        </w:rPr>
        <w:t xml:space="preserve"> (פורסם בנבו, 31.12.14</w:t>
      </w:r>
      <w:r w:rsidR="00700B8A">
        <w:rPr>
          <w:rFonts w:ascii="David" w:hAnsi="David" w:cs="David" w:hint="cs"/>
          <w:sz w:val="24"/>
          <w:szCs w:val="24"/>
          <w:rtl/>
        </w:rPr>
        <w:t>);</w:t>
      </w:r>
      <w:r w:rsidRPr="007B7BB0">
        <w:rPr>
          <w:rFonts w:ascii="David" w:hAnsi="David" w:cs="David"/>
          <w:sz w:val="24"/>
          <w:szCs w:val="24"/>
          <w:rtl/>
        </w:rPr>
        <w:t xml:space="preserve"> </w:t>
      </w:r>
      <w:proofErr w:type="spellStart"/>
      <w:r w:rsidRPr="007B7BB0">
        <w:rPr>
          <w:rFonts w:ascii="David" w:hAnsi="David" w:cs="David"/>
          <w:sz w:val="24"/>
          <w:szCs w:val="24"/>
          <w:rtl/>
        </w:rPr>
        <w:t>עת"</w:t>
      </w:r>
      <w:hyperlink r:id="rId33" w:history="1">
        <w:r w:rsidRPr="007B7BB0">
          <w:rPr>
            <w:rFonts w:ascii="David" w:hAnsi="David" w:cs="David"/>
            <w:sz w:val="24"/>
            <w:szCs w:val="24"/>
            <w:rtl/>
          </w:rPr>
          <w:t>מ</w:t>
        </w:r>
        <w:proofErr w:type="spellEnd"/>
        <w:r w:rsidRPr="007B7BB0">
          <w:rPr>
            <w:rFonts w:ascii="David" w:hAnsi="David" w:cs="David"/>
            <w:sz w:val="24"/>
            <w:szCs w:val="24"/>
            <w:rtl/>
          </w:rPr>
          <w:t xml:space="preserve"> (חי') 2254/04</w:t>
        </w:r>
      </w:hyperlink>
      <w:r w:rsidRPr="007B7BB0">
        <w:rPr>
          <w:rFonts w:ascii="David" w:hAnsi="David" w:cs="David"/>
          <w:sz w:val="24"/>
          <w:szCs w:val="24"/>
          <w:rtl/>
        </w:rPr>
        <w:t xml:space="preserve"> </w:t>
      </w:r>
      <w:r w:rsidRPr="007B7BB0">
        <w:rPr>
          <w:rFonts w:ascii="David" w:hAnsi="David" w:cs="David"/>
          <w:b/>
          <w:bCs/>
          <w:sz w:val="24"/>
          <w:szCs w:val="24"/>
          <w:rtl/>
        </w:rPr>
        <w:t xml:space="preserve">בזק החברה הישראלית לתקשורת בע"מ נ' ועדת ערר מחוזית - מחוז חיפה </w:t>
      </w:r>
      <w:r w:rsidRPr="007B7BB0">
        <w:rPr>
          <w:rFonts w:ascii="David" w:hAnsi="David" w:cs="David"/>
          <w:sz w:val="24"/>
          <w:szCs w:val="24"/>
          <w:rtl/>
        </w:rPr>
        <w:t>(פורסם בנבו, 13.12.04).</w:t>
      </w:r>
    </w:p>
    <w:p w14:paraId="1E2EDC4F" w14:textId="77777777" w:rsidR="007B7BB0" w:rsidRPr="007B7BB0" w:rsidRDefault="007B7BB0" w:rsidP="007B7BB0">
      <w:pPr>
        <w:pStyle w:val="11"/>
        <w:spacing w:line="360" w:lineRule="auto"/>
        <w:ind w:left="360" w:right="-142"/>
        <w:contextualSpacing w:val="0"/>
        <w:jc w:val="both"/>
        <w:rPr>
          <w:rFonts w:ascii="David" w:hAnsi="David" w:cs="David"/>
          <w:sz w:val="24"/>
          <w:szCs w:val="24"/>
        </w:rPr>
      </w:pPr>
      <w:r w:rsidRPr="007B7BB0">
        <w:rPr>
          <w:rFonts w:ascii="David" w:hAnsi="David" w:cs="David"/>
          <w:sz w:val="24"/>
          <w:szCs w:val="24"/>
          <w:rtl/>
        </w:rPr>
        <w:t xml:space="preserve">וכן בספרה של עו"ד איריס </w:t>
      </w:r>
      <w:hyperlink r:id="rId34" w:history="1">
        <w:r w:rsidRPr="007B7BB0">
          <w:rPr>
            <w:rFonts w:ascii="David" w:hAnsi="David" w:cs="David"/>
            <w:sz w:val="24"/>
            <w:szCs w:val="24"/>
            <w:rtl/>
          </w:rPr>
          <w:t>מרקוס מעשה בית דין</w:t>
        </w:r>
      </w:hyperlink>
      <w:r w:rsidRPr="007B7BB0">
        <w:rPr>
          <w:rFonts w:ascii="David" w:hAnsi="David" w:cs="David"/>
          <w:b/>
          <w:bCs/>
          <w:sz w:val="24"/>
          <w:szCs w:val="24"/>
          <w:rtl/>
        </w:rPr>
        <w:t xml:space="preserve"> – השתק עילה והשתק פלוגתא – הלכה ומעשה</w:t>
      </w:r>
      <w:r w:rsidRPr="007B7BB0">
        <w:rPr>
          <w:rFonts w:ascii="David" w:hAnsi="David" w:cs="David"/>
          <w:sz w:val="24"/>
          <w:szCs w:val="24"/>
          <w:rtl/>
        </w:rPr>
        <w:t xml:space="preserve"> (אוצר המשפט, מהדורת 2021), עמ' 139:</w:t>
      </w:r>
    </w:p>
    <w:p w14:paraId="06C67401" w14:textId="77777777" w:rsidR="007B7BB0" w:rsidRPr="007B7BB0" w:rsidRDefault="007B7BB0" w:rsidP="007B7BB0">
      <w:pPr>
        <w:pStyle w:val="af"/>
        <w:spacing w:after="240" w:line="240" w:lineRule="auto"/>
        <w:ind w:left="1319" w:right="993"/>
        <w:contextualSpacing w:val="0"/>
        <w:jc w:val="both"/>
        <w:rPr>
          <w:rFonts w:ascii="FrankRuehl" w:hAnsi="FrankRuehl" w:cs="FrankRuehl"/>
          <w:sz w:val="24"/>
          <w:szCs w:val="24"/>
        </w:rPr>
      </w:pPr>
      <w:r w:rsidRPr="007B7BB0">
        <w:rPr>
          <w:rFonts w:ascii="FrankRuehl" w:hAnsi="FrankRuehl" w:cs="FrankRuehl"/>
          <w:sz w:val="24"/>
          <w:szCs w:val="24"/>
          <w:rtl/>
        </w:rPr>
        <w:t xml:space="preserve">"דוקטרינת מעשה בי-דין אינה חלה כלפי החלטות ועדות התכנון והבניה, וזו גם הסיבה לכך שוועדות התכנון רשאיות לעיין מחדש בהחלטותיהן." </w:t>
      </w:r>
    </w:p>
    <w:p w14:paraId="032509DE" w14:textId="77777777" w:rsidR="007B4CD6" w:rsidRDefault="007B7BB0" w:rsidP="006248FB">
      <w:pPr>
        <w:pStyle w:val="af"/>
        <w:numPr>
          <w:ilvl w:val="0"/>
          <w:numId w:val="1"/>
        </w:numPr>
        <w:spacing w:line="360" w:lineRule="auto"/>
        <w:ind w:right="-142" w:hanging="425"/>
        <w:contextualSpacing w:val="0"/>
        <w:jc w:val="both"/>
        <w:rPr>
          <w:rFonts w:ascii="David" w:hAnsi="David" w:cs="David"/>
          <w:sz w:val="24"/>
          <w:szCs w:val="24"/>
        </w:rPr>
      </w:pPr>
      <w:r w:rsidRPr="007B4CD6">
        <w:rPr>
          <w:rFonts w:ascii="David" w:hAnsi="David" w:cs="David" w:hint="cs"/>
          <w:sz w:val="24"/>
          <w:szCs w:val="24"/>
          <w:rtl/>
        </w:rPr>
        <w:t xml:space="preserve">עם זאת, </w:t>
      </w:r>
      <w:r w:rsidRPr="007B4CD6">
        <w:rPr>
          <w:rFonts w:ascii="David" w:hAnsi="David" w:cs="David"/>
          <w:sz w:val="24"/>
          <w:szCs w:val="24"/>
          <w:rtl/>
        </w:rPr>
        <w:t xml:space="preserve">הלכה היא, שבבוא מוסד תכנון לשנות החלטה קודמת מחמת שינוי נסיבות, עליו לשקול את הדברים בזהירות, על-מנת למנוע פגיעה במי שהסתמך על החלטתו הקודמת ופעל על פיה. </w:t>
      </w:r>
    </w:p>
    <w:p w14:paraId="3B7F9061" w14:textId="618D41E0" w:rsidR="00700B8A" w:rsidRPr="007B4CD6" w:rsidRDefault="007B7BB0" w:rsidP="007B4CD6">
      <w:pPr>
        <w:pStyle w:val="af"/>
        <w:spacing w:line="360" w:lineRule="auto"/>
        <w:ind w:left="360" w:right="-142"/>
        <w:contextualSpacing w:val="0"/>
        <w:jc w:val="both"/>
        <w:rPr>
          <w:rFonts w:ascii="David" w:hAnsi="David" w:cs="David"/>
          <w:sz w:val="24"/>
          <w:szCs w:val="24"/>
          <w:rtl/>
        </w:rPr>
      </w:pPr>
      <w:r w:rsidRPr="007B4CD6">
        <w:rPr>
          <w:rFonts w:ascii="David" w:hAnsi="David" w:cs="David"/>
          <w:sz w:val="24"/>
          <w:szCs w:val="24"/>
          <w:rtl/>
        </w:rPr>
        <w:t xml:space="preserve">ראו: </w:t>
      </w:r>
      <w:hyperlink r:id="rId35" w:history="1">
        <w:r w:rsidRPr="007B4CD6">
          <w:rPr>
            <w:rFonts w:ascii="David" w:hAnsi="David" w:cs="David"/>
            <w:sz w:val="24"/>
            <w:szCs w:val="24"/>
            <w:rtl/>
          </w:rPr>
          <w:t>בג"ץ 18/82</w:t>
        </w:r>
      </w:hyperlink>
      <w:r w:rsidRPr="007B4CD6">
        <w:rPr>
          <w:rFonts w:ascii="David" w:hAnsi="David" w:cs="David"/>
          <w:sz w:val="24"/>
          <w:szCs w:val="24"/>
          <w:rtl/>
        </w:rPr>
        <w:t xml:space="preserve"> </w:t>
      </w:r>
      <w:r w:rsidRPr="007B4CD6">
        <w:rPr>
          <w:rFonts w:ascii="David" w:hAnsi="David" w:cs="David"/>
          <w:b/>
          <w:bCs/>
          <w:sz w:val="24"/>
          <w:szCs w:val="24"/>
          <w:rtl/>
        </w:rPr>
        <w:t>חברה קדישא גחש"א ת"א נ' הוועדה המחוזית לתכנון ולבנייה תל אביב</w:t>
      </w:r>
      <w:r w:rsidRPr="007B4CD6">
        <w:rPr>
          <w:rFonts w:ascii="David" w:hAnsi="David" w:cs="David"/>
          <w:sz w:val="24"/>
          <w:szCs w:val="24"/>
          <w:rtl/>
        </w:rPr>
        <w:t xml:space="preserve"> </w:t>
      </w:r>
      <w:r w:rsidRPr="007B4CD6">
        <w:rPr>
          <w:rFonts w:ascii="David" w:hAnsi="David" w:cs="David"/>
          <w:b/>
          <w:bCs/>
          <w:sz w:val="24"/>
          <w:szCs w:val="24"/>
          <w:rtl/>
        </w:rPr>
        <w:t>יפו</w:t>
      </w:r>
      <w:r w:rsidRPr="007B4CD6">
        <w:rPr>
          <w:rFonts w:ascii="David" w:hAnsi="David" w:cs="David"/>
          <w:sz w:val="24"/>
          <w:szCs w:val="24"/>
          <w:rtl/>
        </w:rPr>
        <w:t>, פ"ד לח(1) 701, 717</w:t>
      </w:r>
      <w:r w:rsidR="00700B8A" w:rsidRPr="007B4CD6">
        <w:rPr>
          <w:rFonts w:ascii="David" w:hAnsi="David" w:cs="David" w:hint="cs"/>
          <w:sz w:val="24"/>
          <w:szCs w:val="24"/>
          <w:rtl/>
        </w:rPr>
        <w:t xml:space="preserve"> (1984)</w:t>
      </w:r>
      <w:r w:rsidRPr="007B4CD6">
        <w:rPr>
          <w:rFonts w:ascii="David" w:hAnsi="David" w:cs="David"/>
          <w:sz w:val="24"/>
          <w:szCs w:val="24"/>
          <w:rtl/>
        </w:rPr>
        <w:t>.</w:t>
      </w:r>
      <w:r w:rsidRPr="007B4CD6">
        <w:rPr>
          <w:rFonts w:ascii="David" w:hAnsi="David" w:cs="David" w:hint="cs"/>
          <w:sz w:val="24"/>
          <w:szCs w:val="24"/>
          <w:rtl/>
        </w:rPr>
        <w:t xml:space="preserve"> </w:t>
      </w:r>
    </w:p>
    <w:p w14:paraId="27D29C9A" w14:textId="4A2B3FF8" w:rsidR="007B7BB0" w:rsidRPr="007B7BB0" w:rsidRDefault="007B7BB0" w:rsidP="00700B8A">
      <w:pPr>
        <w:pStyle w:val="af"/>
        <w:spacing w:line="360" w:lineRule="auto"/>
        <w:ind w:left="360" w:right="-142"/>
        <w:contextualSpacing w:val="0"/>
        <w:jc w:val="both"/>
        <w:rPr>
          <w:rFonts w:ascii="David" w:hAnsi="David" w:cs="David"/>
          <w:sz w:val="24"/>
          <w:szCs w:val="24"/>
          <w:rtl/>
        </w:rPr>
      </w:pPr>
      <w:r w:rsidRPr="007B7BB0">
        <w:rPr>
          <w:rFonts w:ascii="David" w:hAnsi="David" w:cs="David"/>
          <w:sz w:val="24"/>
          <w:szCs w:val="24"/>
          <w:rtl/>
        </w:rPr>
        <w:t xml:space="preserve">למהותו של אינטרס ההסתמכות במשפט </w:t>
      </w:r>
      <w:proofErr w:type="spellStart"/>
      <w:r w:rsidRPr="007B7BB0">
        <w:rPr>
          <w:rFonts w:ascii="David" w:hAnsi="David" w:cs="David"/>
          <w:sz w:val="24"/>
          <w:szCs w:val="24"/>
          <w:rtl/>
        </w:rPr>
        <w:t>המינהלי</w:t>
      </w:r>
      <w:proofErr w:type="spellEnd"/>
      <w:r w:rsidRPr="007B7BB0">
        <w:rPr>
          <w:rFonts w:ascii="David" w:hAnsi="David" w:cs="David"/>
          <w:sz w:val="24"/>
          <w:szCs w:val="24"/>
          <w:rtl/>
        </w:rPr>
        <w:t xml:space="preserve"> והצידוקים להגנה עליו</w:t>
      </w:r>
      <w:r>
        <w:rPr>
          <w:rFonts w:ascii="David" w:hAnsi="David" w:cs="David" w:hint="cs"/>
          <w:sz w:val="24"/>
          <w:szCs w:val="24"/>
          <w:rtl/>
        </w:rPr>
        <w:t xml:space="preserve"> ראו גם: </w:t>
      </w:r>
      <w:hyperlink r:id="rId36" w:history="1">
        <w:r w:rsidRPr="007B7BB0">
          <w:rPr>
            <w:rStyle w:val="Hyperlink"/>
            <w:rFonts w:ascii="David" w:hAnsi="David" w:cs="David"/>
            <w:color w:val="auto"/>
            <w:sz w:val="24"/>
            <w:szCs w:val="24"/>
            <w:u w:val="none"/>
            <w:rtl/>
          </w:rPr>
          <w:t xml:space="preserve">דפנה ברק ארז "הגנת הציפייה במשפט </w:t>
        </w:r>
        <w:proofErr w:type="spellStart"/>
        <w:r w:rsidRPr="007B7BB0">
          <w:rPr>
            <w:rStyle w:val="Hyperlink"/>
            <w:rFonts w:ascii="David" w:hAnsi="David" w:cs="David"/>
            <w:color w:val="auto"/>
            <w:sz w:val="24"/>
            <w:szCs w:val="24"/>
            <w:u w:val="none"/>
            <w:rtl/>
          </w:rPr>
          <w:t>המינהלי</w:t>
        </w:r>
        <w:proofErr w:type="spellEnd"/>
      </w:hyperlink>
      <w:r w:rsidRPr="007B7BB0">
        <w:rPr>
          <w:rFonts w:ascii="David" w:hAnsi="David" w:cs="David"/>
          <w:sz w:val="24"/>
          <w:szCs w:val="24"/>
          <w:rtl/>
        </w:rPr>
        <w:t xml:space="preserve">"  </w:t>
      </w:r>
      <w:r w:rsidRPr="007B7BB0">
        <w:rPr>
          <w:rFonts w:ascii="David" w:hAnsi="David" w:cs="David"/>
          <w:b/>
          <w:bCs/>
          <w:sz w:val="24"/>
          <w:szCs w:val="24"/>
          <w:rtl/>
        </w:rPr>
        <w:t xml:space="preserve">משפטים </w:t>
      </w:r>
      <w:proofErr w:type="spellStart"/>
      <w:r w:rsidRPr="007B7BB0">
        <w:rPr>
          <w:rFonts w:ascii="David" w:hAnsi="David" w:cs="David"/>
          <w:b/>
          <w:bCs/>
          <w:sz w:val="24"/>
          <w:szCs w:val="24"/>
          <w:rtl/>
        </w:rPr>
        <w:t>כז</w:t>
      </w:r>
      <w:proofErr w:type="spellEnd"/>
      <w:r w:rsidRPr="007B7BB0">
        <w:rPr>
          <w:rFonts w:ascii="David" w:hAnsi="David" w:cs="David"/>
          <w:sz w:val="24"/>
          <w:szCs w:val="24"/>
          <w:rtl/>
        </w:rPr>
        <w:t xml:space="preserve"> (1996), עמ' 17 – 69.</w:t>
      </w:r>
    </w:p>
    <w:p w14:paraId="55CE7EBC" w14:textId="77777777" w:rsidR="007B7BB0" w:rsidRPr="007B7BB0" w:rsidRDefault="007B7BB0" w:rsidP="00700B8A">
      <w:pPr>
        <w:pStyle w:val="af"/>
        <w:numPr>
          <w:ilvl w:val="0"/>
          <w:numId w:val="1"/>
        </w:numPr>
        <w:spacing w:line="360" w:lineRule="auto"/>
        <w:ind w:right="-142" w:hanging="601"/>
        <w:contextualSpacing w:val="0"/>
        <w:jc w:val="both"/>
        <w:rPr>
          <w:rFonts w:cs="David"/>
          <w:sz w:val="24"/>
          <w:szCs w:val="24"/>
        </w:rPr>
      </w:pPr>
      <w:r w:rsidRPr="007B7BB0">
        <w:rPr>
          <w:rFonts w:ascii="David" w:hAnsi="David" w:cs="David"/>
          <w:sz w:val="24"/>
          <w:szCs w:val="24"/>
          <w:rtl/>
        </w:rPr>
        <w:t xml:space="preserve">שיקול ההסתמכות מצמצם את מתחם ההחלטות אשר מסור לשיקול דעתה של הרשות </w:t>
      </w:r>
      <w:proofErr w:type="spellStart"/>
      <w:r w:rsidRPr="007B7BB0">
        <w:rPr>
          <w:rFonts w:ascii="David" w:hAnsi="David" w:cs="David"/>
          <w:sz w:val="24"/>
          <w:szCs w:val="24"/>
          <w:rtl/>
        </w:rPr>
        <w:t>המינהלית</w:t>
      </w:r>
      <w:proofErr w:type="spellEnd"/>
      <w:r w:rsidRPr="007B7BB0">
        <w:rPr>
          <w:rFonts w:ascii="David" w:hAnsi="David" w:cs="David"/>
          <w:sz w:val="24"/>
          <w:szCs w:val="24"/>
          <w:rtl/>
        </w:rPr>
        <w:t xml:space="preserve">. </w:t>
      </w:r>
      <w:r w:rsidR="00690995">
        <w:rPr>
          <w:rFonts w:ascii="David" w:hAnsi="David" w:cs="David" w:hint="cs"/>
          <w:sz w:val="24"/>
          <w:szCs w:val="24"/>
          <w:rtl/>
        </w:rPr>
        <w:t xml:space="preserve">בעת קבלת החלטה שנייה יש לקחת בחשבון את ההסתמכות שנוצרה בעקבות ההחלטה הראשונה. </w:t>
      </w:r>
      <w:r w:rsidRPr="007B7BB0">
        <w:rPr>
          <w:rFonts w:ascii="David" w:hAnsi="David" w:cs="David"/>
          <w:sz w:val="24"/>
          <w:szCs w:val="24"/>
          <w:rtl/>
        </w:rPr>
        <w:t>כפי שנקבע ב</w:t>
      </w:r>
      <w:hyperlink r:id="rId37" w:history="1">
        <w:r w:rsidRPr="007B7BB0">
          <w:rPr>
            <w:rFonts w:ascii="David" w:hAnsi="David" w:cs="David"/>
            <w:sz w:val="24"/>
            <w:szCs w:val="24"/>
            <w:rtl/>
          </w:rPr>
          <w:t>בג"ץ 3406/91</w:t>
        </w:r>
      </w:hyperlink>
      <w:r w:rsidRPr="007B7BB0">
        <w:rPr>
          <w:rFonts w:ascii="David" w:hAnsi="David" w:cs="David"/>
          <w:sz w:val="24"/>
          <w:szCs w:val="24"/>
          <w:rtl/>
        </w:rPr>
        <w:t xml:space="preserve"> </w:t>
      </w:r>
      <w:r w:rsidRPr="007B7BB0">
        <w:rPr>
          <w:rFonts w:ascii="David" w:hAnsi="David" w:cs="David"/>
          <w:b/>
          <w:bCs/>
          <w:sz w:val="24"/>
          <w:szCs w:val="24"/>
          <w:rtl/>
        </w:rPr>
        <w:t>בבלי נ' היועץ המשפטי לממשלה</w:t>
      </w:r>
      <w:r w:rsidRPr="007B7BB0">
        <w:rPr>
          <w:rFonts w:ascii="David" w:hAnsi="David" w:cs="David"/>
          <w:sz w:val="24"/>
          <w:szCs w:val="24"/>
          <w:rtl/>
        </w:rPr>
        <w:t>, פ"ד מה(5) 1, 13 –</w:t>
      </w:r>
      <w:r w:rsidRPr="007B7BB0">
        <w:rPr>
          <w:rFonts w:cs="David"/>
          <w:sz w:val="24"/>
          <w:szCs w:val="24"/>
          <w:rtl/>
        </w:rPr>
        <w:t xml:space="preserve"> 14 (1991):</w:t>
      </w:r>
    </w:p>
    <w:p w14:paraId="6DE0D460" w14:textId="77777777" w:rsidR="007B7BB0" w:rsidRPr="007B7BB0" w:rsidRDefault="007B7BB0" w:rsidP="007B7BB0">
      <w:pPr>
        <w:pStyle w:val="af"/>
        <w:spacing w:after="240" w:line="240" w:lineRule="auto"/>
        <w:ind w:left="1319" w:right="993"/>
        <w:contextualSpacing w:val="0"/>
        <w:jc w:val="both"/>
        <w:rPr>
          <w:rFonts w:ascii="FrankRuehl" w:hAnsi="FrankRuehl" w:cs="FrankRuehl"/>
          <w:sz w:val="24"/>
          <w:szCs w:val="24"/>
        </w:rPr>
      </w:pPr>
      <w:r w:rsidRPr="007B7BB0">
        <w:rPr>
          <w:rFonts w:ascii="FrankRuehl" w:hAnsi="FrankRuehl" w:cs="FrankRuehl"/>
          <w:sz w:val="24"/>
          <w:szCs w:val="24"/>
          <w:rtl/>
        </w:rPr>
        <w:t xml:space="preserve">"במסגרת קבלת ההחלטה השנייה, בה חוזרת הרשות </w:t>
      </w:r>
      <w:proofErr w:type="spellStart"/>
      <w:r w:rsidRPr="007B7BB0">
        <w:rPr>
          <w:rFonts w:ascii="FrankRuehl" w:hAnsi="FrankRuehl" w:cs="FrankRuehl"/>
          <w:sz w:val="24"/>
          <w:szCs w:val="24"/>
          <w:rtl/>
        </w:rPr>
        <w:t>המינהלית</w:t>
      </w:r>
      <w:proofErr w:type="spellEnd"/>
      <w:r w:rsidRPr="007B7BB0">
        <w:rPr>
          <w:rFonts w:ascii="FrankRuehl" w:hAnsi="FrankRuehl" w:cs="FrankRuehl"/>
          <w:sz w:val="24"/>
          <w:szCs w:val="24"/>
          <w:rtl/>
        </w:rPr>
        <w:t xml:space="preserve"> מההחלטה הראשונה, עליה להתחשב בהחלטה הראשונה. אכן, החלטה זו יצרה מציאות נורמאטיבית חדשה, </w:t>
      </w:r>
      <w:r w:rsidRPr="007B7BB0">
        <w:rPr>
          <w:rFonts w:ascii="FrankRuehl" w:hAnsi="FrankRuehl" w:cs="FrankRuehl"/>
          <w:sz w:val="24"/>
          <w:szCs w:val="24"/>
          <w:rtl/>
        </w:rPr>
        <w:lastRenderedPageBreak/>
        <w:t>היא ביססה הסתמכות ולעתים אף שינוי מצב לרעה. שינוי בהחלטה זו עשוי לפגוע בציפיות סבירות. יש לשקול עניין זה במסגרת האיזון הכולל, הבוחן את סבירותה של ההחלטה השנייה. על-כן, יהיו בוודאי מקרים, בהם רשות לא תהא רשאית לקבל בדיעבד החלטה שרשאית הייתה לקבלה מראש. בין ה"מראש" לבין ה"בדיעבד" חלף זמן, התרחשו אירועים, נוצרה מציאות חדשה. כל אלה עשויים להפוך את ה"בדיעבד" לבלתי סביר, למרות שאילו נתקבל "מראש" היה הוא סביר בהחלט."</w:t>
      </w:r>
    </w:p>
    <w:p w14:paraId="65405E29" w14:textId="77777777" w:rsidR="007B7BB0" w:rsidRPr="007B7BB0" w:rsidRDefault="007B7BB0" w:rsidP="007B7BB0">
      <w:pPr>
        <w:pStyle w:val="1"/>
        <w:spacing w:line="360" w:lineRule="auto"/>
        <w:ind w:left="360" w:right="-142"/>
        <w:contextualSpacing w:val="0"/>
        <w:jc w:val="both"/>
        <w:rPr>
          <w:rFonts w:ascii="David" w:hAnsi="David" w:cs="David"/>
          <w:sz w:val="24"/>
          <w:szCs w:val="24"/>
        </w:rPr>
      </w:pPr>
      <w:r w:rsidRPr="007B7BB0">
        <w:rPr>
          <w:rFonts w:ascii="David" w:hAnsi="David" w:cs="David"/>
          <w:sz w:val="24"/>
          <w:szCs w:val="24"/>
          <w:rtl/>
        </w:rPr>
        <w:t xml:space="preserve">ראו גם: </w:t>
      </w:r>
      <w:hyperlink r:id="rId38" w:history="1">
        <w:r w:rsidRPr="007B7BB0">
          <w:rPr>
            <w:rFonts w:ascii="David" w:hAnsi="David" w:cs="David"/>
            <w:sz w:val="24"/>
            <w:szCs w:val="24"/>
            <w:rtl/>
          </w:rPr>
          <w:t>ערר  (חי') 1250-12-19</w:t>
        </w:r>
      </w:hyperlink>
      <w:r w:rsidRPr="007B7BB0">
        <w:rPr>
          <w:rFonts w:ascii="David" w:hAnsi="David" w:cs="David"/>
          <w:sz w:val="24"/>
          <w:szCs w:val="24"/>
          <w:rtl/>
        </w:rPr>
        <w:t xml:space="preserve"> </w:t>
      </w:r>
      <w:r w:rsidRPr="007B7BB0">
        <w:rPr>
          <w:rFonts w:ascii="David" w:hAnsi="David" w:cs="David"/>
          <w:b/>
          <w:bCs/>
          <w:sz w:val="24"/>
          <w:szCs w:val="24"/>
          <w:rtl/>
        </w:rPr>
        <w:t>פיבי מויאל נ' הוועדה מקומית לתכנון ולבנייה קריות</w:t>
      </w:r>
      <w:r w:rsidRPr="007B7BB0">
        <w:rPr>
          <w:rFonts w:ascii="David" w:hAnsi="David" w:cs="David"/>
          <w:sz w:val="24"/>
          <w:szCs w:val="24"/>
          <w:rtl/>
        </w:rPr>
        <w:t xml:space="preserve"> (פורסם בנבו, 6.2.2020); </w:t>
      </w:r>
      <w:hyperlink r:id="rId39" w:history="1">
        <w:r w:rsidRPr="007B7BB0">
          <w:rPr>
            <w:rFonts w:ascii="David" w:hAnsi="David" w:cs="David"/>
            <w:sz w:val="24"/>
            <w:szCs w:val="24"/>
            <w:rtl/>
          </w:rPr>
          <w:t>ערר (מרכז) 1014-03-22</w:t>
        </w:r>
      </w:hyperlink>
      <w:r w:rsidRPr="007B7BB0">
        <w:rPr>
          <w:rFonts w:ascii="David" w:hAnsi="David" w:cs="David"/>
          <w:sz w:val="24"/>
          <w:szCs w:val="24"/>
          <w:rtl/>
        </w:rPr>
        <w:t xml:space="preserve"> </w:t>
      </w:r>
      <w:r w:rsidRPr="007B7BB0">
        <w:rPr>
          <w:rFonts w:ascii="David" w:hAnsi="David" w:cs="David"/>
          <w:b/>
          <w:bCs/>
          <w:sz w:val="24"/>
          <w:szCs w:val="24"/>
          <w:rtl/>
        </w:rPr>
        <w:t xml:space="preserve">חגי </w:t>
      </w:r>
      <w:proofErr w:type="spellStart"/>
      <w:r w:rsidRPr="007B7BB0">
        <w:rPr>
          <w:rFonts w:ascii="David" w:hAnsi="David" w:cs="David"/>
          <w:b/>
          <w:bCs/>
          <w:sz w:val="24"/>
          <w:szCs w:val="24"/>
          <w:rtl/>
        </w:rPr>
        <w:t>אסרף</w:t>
      </w:r>
      <w:proofErr w:type="spellEnd"/>
      <w:r w:rsidRPr="007B7BB0">
        <w:rPr>
          <w:rFonts w:ascii="David" w:hAnsi="David" w:cs="David"/>
          <w:b/>
          <w:bCs/>
          <w:sz w:val="24"/>
          <w:szCs w:val="24"/>
          <w:rtl/>
        </w:rPr>
        <w:t xml:space="preserve"> נ' הוועדה המקומית לתכנון ולבנייה הוד השרון</w:t>
      </w:r>
      <w:r w:rsidRPr="007B7BB0">
        <w:rPr>
          <w:rFonts w:ascii="David" w:hAnsi="David" w:cs="David"/>
          <w:sz w:val="24"/>
          <w:szCs w:val="24"/>
          <w:rtl/>
        </w:rPr>
        <w:t xml:space="preserve"> (פורסם בנבו, 6.6.2022).</w:t>
      </w:r>
    </w:p>
    <w:p w14:paraId="71692B53" w14:textId="77777777" w:rsidR="007B7BB0" w:rsidRPr="00C24A87" w:rsidRDefault="007B7BB0" w:rsidP="00700B8A">
      <w:pPr>
        <w:pStyle w:val="af"/>
        <w:numPr>
          <w:ilvl w:val="0"/>
          <w:numId w:val="1"/>
        </w:numPr>
        <w:spacing w:line="360" w:lineRule="auto"/>
        <w:ind w:right="-142" w:hanging="601"/>
        <w:contextualSpacing w:val="0"/>
        <w:jc w:val="both"/>
        <w:rPr>
          <w:rFonts w:cs="David"/>
          <w:sz w:val="24"/>
          <w:szCs w:val="24"/>
        </w:rPr>
      </w:pPr>
      <w:r w:rsidRPr="00700B8A">
        <w:rPr>
          <w:rFonts w:ascii="David" w:hAnsi="David" w:cs="David" w:hint="eastAsia"/>
          <w:sz w:val="24"/>
          <w:szCs w:val="24"/>
          <w:rtl/>
        </w:rPr>
        <w:t>אמות</w:t>
      </w:r>
      <w:r w:rsidRPr="007B7BB0">
        <w:rPr>
          <w:rFonts w:cs="David"/>
          <w:sz w:val="24"/>
          <w:szCs w:val="24"/>
          <w:rtl/>
        </w:rPr>
        <w:t xml:space="preserve"> </w:t>
      </w:r>
      <w:r w:rsidRPr="007B7BB0">
        <w:rPr>
          <w:rFonts w:cs="David" w:hint="eastAsia"/>
          <w:sz w:val="24"/>
          <w:szCs w:val="24"/>
          <w:rtl/>
        </w:rPr>
        <w:t>המידה</w:t>
      </w:r>
      <w:r w:rsidRPr="007B7BB0">
        <w:rPr>
          <w:rFonts w:cs="David"/>
          <w:sz w:val="24"/>
          <w:szCs w:val="24"/>
          <w:rtl/>
        </w:rPr>
        <w:t xml:space="preserve"> </w:t>
      </w:r>
      <w:r w:rsidRPr="007B7BB0">
        <w:rPr>
          <w:rFonts w:cs="David" w:hint="eastAsia"/>
          <w:sz w:val="24"/>
          <w:szCs w:val="24"/>
          <w:rtl/>
        </w:rPr>
        <w:t>לאיזון</w:t>
      </w:r>
      <w:r w:rsidRPr="007B7BB0">
        <w:rPr>
          <w:rFonts w:cs="David"/>
          <w:sz w:val="24"/>
          <w:szCs w:val="24"/>
          <w:rtl/>
        </w:rPr>
        <w:t xml:space="preserve"> </w:t>
      </w:r>
      <w:r w:rsidRPr="007B7BB0">
        <w:rPr>
          <w:rFonts w:cs="David" w:hint="eastAsia"/>
          <w:sz w:val="24"/>
          <w:szCs w:val="24"/>
          <w:rtl/>
        </w:rPr>
        <w:t>בין</w:t>
      </w:r>
      <w:r w:rsidRPr="007B7BB0">
        <w:rPr>
          <w:rFonts w:cs="David"/>
          <w:sz w:val="24"/>
          <w:szCs w:val="24"/>
          <w:rtl/>
        </w:rPr>
        <w:t xml:space="preserve"> </w:t>
      </w:r>
      <w:r w:rsidRPr="007B7BB0">
        <w:rPr>
          <w:rFonts w:cs="David" w:hint="eastAsia"/>
          <w:sz w:val="24"/>
          <w:szCs w:val="24"/>
          <w:rtl/>
        </w:rPr>
        <w:t>אינטרס</w:t>
      </w:r>
      <w:r w:rsidRPr="007B7BB0">
        <w:rPr>
          <w:rFonts w:cs="David"/>
          <w:sz w:val="24"/>
          <w:szCs w:val="24"/>
          <w:rtl/>
        </w:rPr>
        <w:t xml:space="preserve"> </w:t>
      </w:r>
      <w:r w:rsidRPr="007B7BB0">
        <w:rPr>
          <w:rFonts w:cs="David" w:hint="eastAsia"/>
          <w:sz w:val="24"/>
          <w:szCs w:val="24"/>
          <w:rtl/>
        </w:rPr>
        <w:t>הגמישות</w:t>
      </w:r>
      <w:r w:rsidRPr="007B7BB0">
        <w:rPr>
          <w:rFonts w:cs="David"/>
          <w:sz w:val="24"/>
          <w:szCs w:val="24"/>
          <w:rtl/>
        </w:rPr>
        <w:t xml:space="preserve"> </w:t>
      </w:r>
      <w:r w:rsidRPr="007B7BB0">
        <w:rPr>
          <w:rFonts w:cs="David" w:hint="eastAsia"/>
          <w:sz w:val="24"/>
          <w:szCs w:val="24"/>
          <w:rtl/>
        </w:rPr>
        <w:t>לאינטרס</w:t>
      </w:r>
      <w:r w:rsidRPr="007B7BB0">
        <w:rPr>
          <w:rFonts w:cs="David"/>
          <w:sz w:val="24"/>
          <w:szCs w:val="24"/>
          <w:rtl/>
        </w:rPr>
        <w:t xml:space="preserve"> </w:t>
      </w:r>
      <w:r w:rsidRPr="007B7BB0">
        <w:rPr>
          <w:rFonts w:cs="David" w:hint="eastAsia"/>
          <w:sz w:val="24"/>
          <w:szCs w:val="24"/>
          <w:rtl/>
        </w:rPr>
        <w:t>ההסתמכות</w:t>
      </w:r>
      <w:r w:rsidRPr="007B7BB0">
        <w:rPr>
          <w:rFonts w:cs="David"/>
          <w:sz w:val="24"/>
          <w:szCs w:val="24"/>
          <w:rtl/>
        </w:rPr>
        <w:t xml:space="preserve"> </w:t>
      </w:r>
      <w:r w:rsidRPr="007B7BB0">
        <w:rPr>
          <w:rFonts w:cs="David" w:hint="eastAsia"/>
          <w:sz w:val="24"/>
          <w:szCs w:val="24"/>
          <w:rtl/>
        </w:rPr>
        <w:t>הותוו</w:t>
      </w:r>
      <w:r w:rsidRPr="007B7BB0">
        <w:rPr>
          <w:rFonts w:cs="David"/>
          <w:sz w:val="24"/>
          <w:szCs w:val="24"/>
          <w:rtl/>
        </w:rPr>
        <w:t xml:space="preserve"> </w:t>
      </w:r>
      <w:r w:rsidRPr="007B7BB0">
        <w:rPr>
          <w:rFonts w:cs="David" w:hint="eastAsia"/>
          <w:sz w:val="24"/>
          <w:szCs w:val="24"/>
          <w:rtl/>
        </w:rPr>
        <w:t>על</w:t>
      </w:r>
      <w:r w:rsidRPr="007B7BB0">
        <w:rPr>
          <w:rFonts w:cs="David"/>
          <w:sz w:val="24"/>
          <w:szCs w:val="24"/>
          <w:rtl/>
        </w:rPr>
        <w:t xml:space="preserve"> </w:t>
      </w:r>
      <w:r w:rsidRPr="007B7BB0">
        <w:rPr>
          <w:rFonts w:cs="David" w:hint="eastAsia"/>
          <w:sz w:val="24"/>
          <w:szCs w:val="24"/>
          <w:rtl/>
        </w:rPr>
        <w:t>ידי</w:t>
      </w:r>
      <w:r w:rsidRPr="007B7BB0">
        <w:rPr>
          <w:rFonts w:cs="David"/>
          <w:sz w:val="24"/>
          <w:szCs w:val="24"/>
          <w:rtl/>
        </w:rPr>
        <w:t xml:space="preserve"> </w:t>
      </w:r>
      <w:r w:rsidRPr="007B7BB0">
        <w:rPr>
          <w:rFonts w:cs="David" w:hint="eastAsia"/>
          <w:sz w:val="24"/>
          <w:szCs w:val="24"/>
          <w:rtl/>
        </w:rPr>
        <w:t>בית</w:t>
      </w:r>
      <w:r w:rsidRPr="007B7BB0">
        <w:rPr>
          <w:rFonts w:cs="David"/>
          <w:sz w:val="24"/>
          <w:szCs w:val="24"/>
          <w:rtl/>
        </w:rPr>
        <w:t xml:space="preserve"> </w:t>
      </w:r>
      <w:r w:rsidRPr="007B7BB0">
        <w:rPr>
          <w:rFonts w:cs="David" w:hint="eastAsia"/>
          <w:sz w:val="24"/>
          <w:szCs w:val="24"/>
          <w:rtl/>
        </w:rPr>
        <w:t>המשפט</w:t>
      </w:r>
      <w:r w:rsidRPr="007B7BB0">
        <w:rPr>
          <w:rFonts w:cs="David"/>
          <w:sz w:val="24"/>
          <w:szCs w:val="24"/>
          <w:rtl/>
        </w:rPr>
        <w:t xml:space="preserve"> </w:t>
      </w:r>
      <w:r w:rsidRPr="007B7BB0">
        <w:rPr>
          <w:rFonts w:cs="David" w:hint="eastAsia"/>
          <w:sz w:val="24"/>
          <w:szCs w:val="24"/>
          <w:rtl/>
        </w:rPr>
        <w:t>העליון</w:t>
      </w:r>
      <w:r w:rsidRPr="007B7BB0">
        <w:rPr>
          <w:rFonts w:cs="David"/>
          <w:sz w:val="24"/>
          <w:szCs w:val="24"/>
          <w:rtl/>
        </w:rPr>
        <w:t xml:space="preserve"> </w:t>
      </w:r>
      <w:r w:rsidRPr="007B7BB0">
        <w:rPr>
          <w:rFonts w:cs="David" w:hint="eastAsia"/>
          <w:sz w:val="24"/>
          <w:szCs w:val="24"/>
          <w:rtl/>
        </w:rPr>
        <w:t>בפסק</w:t>
      </w:r>
      <w:r w:rsidRPr="007B7BB0">
        <w:rPr>
          <w:rFonts w:cs="David"/>
          <w:sz w:val="24"/>
          <w:szCs w:val="24"/>
          <w:rtl/>
        </w:rPr>
        <w:t xml:space="preserve"> </w:t>
      </w:r>
      <w:r w:rsidRPr="007B7BB0">
        <w:rPr>
          <w:rFonts w:cs="David" w:hint="eastAsia"/>
          <w:sz w:val="24"/>
          <w:szCs w:val="24"/>
          <w:rtl/>
        </w:rPr>
        <w:t>דינו</w:t>
      </w:r>
      <w:r w:rsidRPr="007B7BB0">
        <w:rPr>
          <w:rFonts w:cs="David"/>
          <w:sz w:val="24"/>
          <w:szCs w:val="24"/>
          <w:rtl/>
        </w:rPr>
        <w:t xml:space="preserve"> </w:t>
      </w:r>
      <w:proofErr w:type="spellStart"/>
      <w:r w:rsidRPr="007B7BB0">
        <w:rPr>
          <w:rFonts w:cs="David" w:hint="eastAsia"/>
          <w:sz w:val="24"/>
          <w:szCs w:val="24"/>
          <w:rtl/>
        </w:rPr>
        <w:t>ב</w:t>
      </w:r>
      <w:hyperlink r:id="rId40" w:history="1">
        <w:r w:rsidRPr="007B7BB0">
          <w:rPr>
            <w:rFonts w:cs="David" w:hint="eastAsia"/>
            <w:sz w:val="24"/>
            <w:szCs w:val="24"/>
            <w:rtl/>
          </w:rPr>
          <w:t>עע</w:t>
        </w:r>
        <w:r w:rsidRPr="007B7BB0">
          <w:rPr>
            <w:rFonts w:cs="David"/>
            <w:sz w:val="24"/>
            <w:szCs w:val="24"/>
            <w:rtl/>
          </w:rPr>
          <w:t>"</w:t>
        </w:r>
        <w:r w:rsidRPr="007B7BB0">
          <w:rPr>
            <w:rFonts w:cs="David" w:hint="eastAsia"/>
            <w:sz w:val="24"/>
            <w:szCs w:val="24"/>
            <w:rtl/>
          </w:rPr>
          <w:t>מ</w:t>
        </w:r>
        <w:proofErr w:type="spellEnd"/>
        <w:r w:rsidRPr="007B7BB0">
          <w:rPr>
            <w:rFonts w:cs="David"/>
            <w:sz w:val="24"/>
            <w:szCs w:val="24"/>
            <w:rtl/>
          </w:rPr>
          <w:t xml:space="preserve"> 6240/12</w:t>
        </w:r>
      </w:hyperlink>
      <w:r w:rsidRPr="00C24A87">
        <w:rPr>
          <w:rFonts w:cs="David"/>
          <w:sz w:val="24"/>
          <w:szCs w:val="24"/>
          <w:rtl/>
        </w:rPr>
        <w:t xml:space="preserve"> </w:t>
      </w:r>
      <w:r w:rsidRPr="00C24A87">
        <w:rPr>
          <w:rFonts w:cs="David" w:hint="eastAsia"/>
          <w:b/>
          <w:bCs/>
          <w:sz w:val="24"/>
          <w:szCs w:val="24"/>
          <w:rtl/>
        </w:rPr>
        <w:t>דני</w:t>
      </w:r>
      <w:r w:rsidRPr="00C24A87">
        <w:rPr>
          <w:rFonts w:cs="David"/>
          <w:b/>
          <w:bCs/>
          <w:sz w:val="24"/>
          <w:szCs w:val="24"/>
          <w:rtl/>
        </w:rPr>
        <w:t xml:space="preserve"> </w:t>
      </w:r>
      <w:r w:rsidRPr="00C24A87">
        <w:rPr>
          <w:rFonts w:cs="David" w:hint="eastAsia"/>
          <w:b/>
          <w:bCs/>
          <w:sz w:val="24"/>
          <w:szCs w:val="24"/>
          <w:rtl/>
        </w:rPr>
        <w:t>דנקנר</w:t>
      </w:r>
      <w:r w:rsidRPr="00C24A87">
        <w:rPr>
          <w:rFonts w:cs="David"/>
          <w:b/>
          <w:bCs/>
          <w:sz w:val="24"/>
          <w:szCs w:val="24"/>
          <w:rtl/>
        </w:rPr>
        <w:t xml:space="preserve"> </w:t>
      </w:r>
      <w:r w:rsidRPr="00C24A87">
        <w:rPr>
          <w:rFonts w:cs="David" w:hint="eastAsia"/>
          <w:b/>
          <w:bCs/>
          <w:sz w:val="24"/>
          <w:szCs w:val="24"/>
          <w:rtl/>
        </w:rPr>
        <w:t>נ</w:t>
      </w:r>
      <w:r w:rsidRPr="00C24A87">
        <w:rPr>
          <w:rFonts w:cs="David"/>
          <w:b/>
          <w:bCs/>
          <w:sz w:val="24"/>
          <w:szCs w:val="24"/>
          <w:rtl/>
        </w:rPr>
        <w:t xml:space="preserve">' </w:t>
      </w:r>
      <w:r w:rsidRPr="00C24A87">
        <w:rPr>
          <w:rFonts w:cs="David" w:hint="eastAsia"/>
          <w:b/>
          <w:bCs/>
          <w:sz w:val="24"/>
          <w:szCs w:val="24"/>
          <w:rtl/>
        </w:rPr>
        <w:t>ועדת</w:t>
      </w:r>
      <w:r w:rsidRPr="00C24A87">
        <w:rPr>
          <w:rFonts w:cs="David"/>
          <w:b/>
          <w:bCs/>
          <w:sz w:val="24"/>
          <w:szCs w:val="24"/>
          <w:rtl/>
        </w:rPr>
        <w:t xml:space="preserve"> </w:t>
      </w:r>
      <w:r w:rsidRPr="00C24A87">
        <w:rPr>
          <w:rFonts w:cs="David" w:hint="eastAsia"/>
          <w:b/>
          <w:bCs/>
          <w:sz w:val="24"/>
          <w:szCs w:val="24"/>
          <w:rtl/>
        </w:rPr>
        <w:t>הערר</w:t>
      </w:r>
      <w:r w:rsidRPr="00C24A87">
        <w:rPr>
          <w:rFonts w:cs="David"/>
          <w:b/>
          <w:bCs/>
          <w:sz w:val="24"/>
          <w:szCs w:val="24"/>
          <w:rtl/>
        </w:rPr>
        <w:t xml:space="preserve"> </w:t>
      </w:r>
      <w:r w:rsidRPr="00C24A87">
        <w:rPr>
          <w:rFonts w:cs="David" w:hint="eastAsia"/>
          <w:b/>
          <w:bCs/>
          <w:sz w:val="24"/>
          <w:szCs w:val="24"/>
          <w:rtl/>
        </w:rPr>
        <w:t>לתכנון</w:t>
      </w:r>
      <w:r w:rsidRPr="00C24A87">
        <w:rPr>
          <w:rFonts w:cs="David"/>
          <w:b/>
          <w:bCs/>
          <w:sz w:val="24"/>
          <w:szCs w:val="24"/>
          <w:rtl/>
        </w:rPr>
        <w:t xml:space="preserve"> </w:t>
      </w:r>
      <w:r w:rsidRPr="00C24A87">
        <w:rPr>
          <w:rFonts w:cs="David" w:hint="eastAsia"/>
          <w:b/>
          <w:bCs/>
          <w:sz w:val="24"/>
          <w:szCs w:val="24"/>
          <w:rtl/>
        </w:rPr>
        <w:t>ולבנייה</w:t>
      </w:r>
      <w:r w:rsidRPr="00C24A87">
        <w:rPr>
          <w:rFonts w:cs="David"/>
          <w:b/>
          <w:bCs/>
          <w:sz w:val="24"/>
          <w:szCs w:val="24"/>
          <w:rtl/>
        </w:rPr>
        <w:t xml:space="preserve"> </w:t>
      </w:r>
      <w:r w:rsidRPr="00C24A87">
        <w:rPr>
          <w:rFonts w:cs="David" w:hint="eastAsia"/>
          <w:b/>
          <w:bCs/>
          <w:sz w:val="24"/>
          <w:szCs w:val="24"/>
          <w:rtl/>
        </w:rPr>
        <w:t>מחוז</w:t>
      </w:r>
      <w:r w:rsidRPr="00C24A87">
        <w:rPr>
          <w:rFonts w:cs="David"/>
          <w:b/>
          <w:bCs/>
          <w:sz w:val="24"/>
          <w:szCs w:val="24"/>
          <w:rtl/>
        </w:rPr>
        <w:t xml:space="preserve"> </w:t>
      </w:r>
      <w:r w:rsidRPr="00C24A87">
        <w:rPr>
          <w:rFonts w:cs="David" w:hint="eastAsia"/>
          <w:b/>
          <w:bCs/>
          <w:sz w:val="24"/>
          <w:szCs w:val="24"/>
          <w:rtl/>
        </w:rPr>
        <w:t>חיפה</w:t>
      </w:r>
      <w:r w:rsidRPr="00C24A87">
        <w:rPr>
          <w:rFonts w:cs="David"/>
          <w:sz w:val="24"/>
          <w:szCs w:val="24"/>
          <w:rtl/>
        </w:rPr>
        <w:t xml:space="preserve"> (</w:t>
      </w:r>
      <w:r w:rsidRPr="00C24A87">
        <w:rPr>
          <w:rFonts w:cs="David" w:hint="eastAsia"/>
          <w:sz w:val="24"/>
          <w:szCs w:val="24"/>
          <w:rtl/>
        </w:rPr>
        <w:t>פורסם</w:t>
      </w:r>
      <w:r w:rsidRPr="00C24A87">
        <w:rPr>
          <w:rFonts w:cs="David"/>
          <w:sz w:val="24"/>
          <w:szCs w:val="24"/>
          <w:rtl/>
        </w:rPr>
        <w:t xml:space="preserve"> </w:t>
      </w:r>
      <w:r w:rsidRPr="00C24A87">
        <w:rPr>
          <w:rFonts w:cs="David" w:hint="eastAsia"/>
          <w:sz w:val="24"/>
          <w:szCs w:val="24"/>
          <w:rtl/>
        </w:rPr>
        <w:t>בנבו</w:t>
      </w:r>
      <w:r w:rsidRPr="00C24A87">
        <w:rPr>
          <w:rFonts w:cs="David"/>
          <w:sz w:val="24"/>
          <w:szCs w:val="24"/>
          <w:rtl/>
        </w:rPr>
        <w:t>, 10.5.2015):</w:t>
      </w:r>
    </w:p>
    <w:p w14:paraId="6AB00696" w14:textId="77777777" w:rsidR="007B7BB0" w:rsidRPr="00690995" w:rsidRDefault="007B7BB0" w:rsidP="007B7BB0">
      <w:pPr>
        <w:pStyle w:val="af"/>
        <w:spacing w:after="240" w:line="240" w:lineRule="auto"/>
        <w:ind w:left="1319" w:right="993"/>
        <w:contextualSpacing w:val="0"/>
        <w:jc w:val="both"/>
        <w:rPr>
          <w:rFonts w:ascii="FrankRuehl" w:hAnsi="FrankRuehl" w:cs="FrankRuehl"/>
          <w:sz w:val="24"/>
          <w:szCs w:val="24"/>
          <w:rtl/>
        </w:rPr>
      </w:pPr>
      <w:r w:rsidRPr="00690995">
        <w:rPr>
          <w:rFonts w:ascii="FrankRuehl" w:hAnsi="FrankRuehl" w:cs="FrankRuehl"/>
          <w:sz w:val="24"/>
          <w:szCs w:val="24"/>
          <w:rtl/>
        </w:rPr>
        <w:t xml:space="preserve">"העובדה שוועדת הערר מהווה גוף מעין-שיפוטי המשמש כערכאת ערעור על החלטות הוועדה המקומית, אינה גורעת מסמכותה לשוב ולבחון את החלטותיה שלה, ואין לומר כי מאפייניה השיפוטיים "גוברים" על מאפייניה </w:t>
      </w:r>
      <w:proofErr w:type="spellStart"/>
      <w:r w:rsidRPr="00690995">
        <w:rPr>
          <w:rFonts w:ascii="FrankRuehl" w:hAnsi="FrankRuehl" w:cs="FrankRuehl"/>
          <w:sz w:val="24"/>
          <w:szCs w:val="24"/>
          <w:rtl/>
        </w:rPr>
        <w:t>המינהליים</w:t>
      </w:r>
      <w:proofErr w:type="spellEnd"/>
      <w:r w:rsidRPr="00690995">
        <w:rPr>
          <w:rFonts w:ascii="FrankRuehl" w:hAnsi="FrankRuehl" w:cs="FrankRuehl"/>
          <w:sz w:val="24"/>
          <w:szCs w:val="24"/>
          <w:rtl/>
        </w:rPr>
        <w:t xml:space="preserve"> ומאיינים את סמכויותיה וחובותיה מתוקף היותה רשות </w:t>
      </w:r>
      <w:proofErr w:type="spellStart"/>
      <w:r w:rsidRPr="00690995">
        <w:rPr>
          <w:rFonts w:ascii="FrankRuehl" w:hAnsi="FrankRuehl" w:cs="FrankRuehl"/>
          <w:sz w:val="24"/>
          <w:szCs w:val="24"/>
          <w:rtl/>
        </w:rPr>
        <w:t>מינהלית</w:t>
      </w:r>
      <w:proofErr w:type="spellEnd"/>
      <w:r w:rsidRPr="00690995">
        <w:rPr>
          <w:rFonts w:ascii="FrankRuehl" w:hAnsi="FrankRuehl" w:cs="FrankRuehl"/>
          <w:sz w:val="24"/>
          <w:szCs w:val="24"/>
          <w:rtl/>
        </w:rPr>
        <w:t xml:space="preserve">. </w:t>
      </w:r>
    </w:p>
    <w:p w14:paraId="7DF99702" w14:textId="77777777" w:rsidR="007B7BB0" w:rsidRPr="00690995" w:rsidRDefault="007B7BB0" w:rsidP="007B7BB0">
      <w:pPr>
        <w:pStyle w:val="af"/>
        <w:spacing w:after="240" w:line="240" w:lineRule="auto"/>
        <w:ind w:left="1319" w:right="993"/>
        <w:contextualSpacing w:val="0"/>
        <w:jc w:val="both"/>
        <w:rPr>
          <w:rFonts w:ascii="FrankRuehl" w:hAnsi="FrankRuehl" w:cs="FrankRuehl"/>
          <w:sz w:val="24"/>
          <w:szCs w:val="24"/>
          <w:rtl/>
        </w:rPr>
      </w:pPr>
      <w:r w:rsidRPr="00690995">
        <w:rPr>
          <w:rFonts w:ascii="FrankRuehl" w:hAnsi="FrankRuehl" w:cs="FrankRuehl"/>
          <w:sz w:val="24"/>
          <w:szCs w:val="24"/>
          <w:rtl/>
        </w:rPr>
        <w:t xml:space="preserve">בד בבד, ככל רשות </w:t>
      </w:r>
      <w:proofErr w:type="spellStart"/>
      <w:r w:rsidRPr="00690995">
        <w:rPr>
          <w:rFonts w:ascii="FrankRuehl" w:hAnsi="FrankRuehl" w:cs="FrankRuehl"/>
          <w:sz w:val="24"/>
          <w:szCs w:val="24"/>
          <w:rtl/>
        </w:rPr>
        <w:t>מינהלית</w:t>
      </w:r>
      <w:proofErr w:type="spellEnd"/>
      <w:r w:rsidRPr="00690995">
        <w:rPr>
          <w:rFonts w:ascii="FrankRuehl" w:hAnsi="FrankRuehl" w:cs="FrankRuehl"/>
          <w:sz w:val="24"/>
          <w:szCs w:val="24"/>
          <w:rtl/>
        </w:rPr>
        <w:t xml:space="preserve">, אין פירוש הדבר כי ועדת הערר רשאית להפוך דעתה בשרירות ובהעדר טעם של ממש, שהרי "אין זה רצוי מבחינת עקרונות </w:t>
      </w:r>
      <w:proofErr w:type="spellStart"/>
      <w:r w:rsidRPr="00690995">
        <w:rPr>
          <w:rFonts w:ascii="FrankRuehl" w:hAnsi="FrankRuehl" w:cs="FrankRuehl"/>
          <w:sz w:val="24"/>
          <w:szCs w:val="24"/>
          <w:rtl/>
        </w:rPr>
        <w:t>המינהל</w:t>
      </w:r>
      <w:proofErr w:type="spellEnd"/>
      <w:r w:rsidRPr="00690995">
        <w:rPr>
          <w:rFonts w:ascii="FrankRuehl" w:hAnsi="FrankRuehl" w:cs="FrankRuehl"/>
          <w:sz w:val="24"/>
          <w:szCs w:val="24"/>
          <w:rtl/>
        </w:rPr>
        <w:t xml:space="preserve"> התקין, 'כי האזרח יוטרד באותו עניין פעמיים'... [ו]בהעדר טעמים כבדי משקל, אין להניח לרשות </w:t>
      </w:r>
      <w:proofErr w:type="spellStart"/>
      <w:r w:rsidRPr="00690995">
        <w:rPr>
          <w:rFonts w:ascii="FrankRuehl" w:hAnsi="FrankRuehl" w:cs="FrankRuehl"/>
          <w:sz w:val="24"/>
          <w:szCs w:val="24"/>
          <w:rtl/>
        </w:rPr>
        <w:t>מינהלית</w:t>
      </w:r>
      <w:proofErr w:type="spellEnd"/>
      <w:r w:rsidRPr="00690995">
        <w:rPr>
          <w:rFonts w:ascii="FrankRuehl" w:hAnsi="FrankRuehl" w:cs="FrankRuehl"/>
          <w:sz w:val="24"/>
          <w:szCs w:val="24"/>
          <w:rtl/>
        </w:rPr>
        <w:t xml:space="preserve"> להפוך את הקערה על פיה" (עניין גזר, עמ' 569 והאסמכתאות שם). בהקשר זה מקבל אינטרס ההסתמכות משקל יתר, ועל הרשות לתת דעתה שלא לפגוע במי שהסתמך על החלטתה הקודמת ופעל על פיה (עניין האגודה לסיוע, שם; עניין גזר, עמ' 571 והאסמכתאות שם; דוגמה לעיגון חקיקתי של אינטרס זה בהקשר של ביטול היתר בניה, ראו בסעיף 158יא(ב) סיפא ל</w:t>
      </w:r>
      <w:hyperlink r:id="rId41" w:history="1">
        <w:r w:rsidRPr="00690995">
          <w:rPr>
            <w:rFonts w:ascii="FrankRuehl" w:hAnsi="FrankRuehl" w:cs="FrankRuehl"/>
            <w:sz w:val="24"/>
            <w:szCs w:val="24"/>
            <w:rtl/>
          </w:rPr>
          <w:t>חוק התכנון והבניה</w:t>
        </w:r>
      </w:hyperlink>
      <w:r w:rsidRPr="00690995">
        <w:rPr>
          <w:rFonts w:ascii="FrankRuehl" w:hAnsi="FrankRuehl" w:cs="FrankRuehl"/>
          <w:sz w:val="24"/>
          <w:szCs w:val="24"/>
          <w:rtl/>
        </w:rPr>
        <w:t xml:space="preserve">). </w:t>
      </w:r>
    </w:p>
    <w:p w14:paraId="6B2324DB" w14:textId="77777777" w:rsidR="007B7BB0" w:rsidRPr="00690995" w:rsidRDefault="007B7BB0" w:rsidP="007B7BB0">
      <w:pPr>
        <w:pStyle w:val="af"/>
        <w:spacing w:after="240" w:line="240" w:lineRule="auto"/>
        <w:ind w:left="1319" w:right="993"/>
        <w:contextualSpacing w:val="0"/>
        <w:jc w:val="both"/>
        <w:rPr>
          <w:rFonts w:ascii="FrankRuehl" w:hAnsi="FrankRuehl" w:cs="FrankRuehl"/>
          <w:sz w:val="24"/>
          <w:szCs w:val="24"/>
          <w:rtl/>
        </w:rPr>
      </w:pPr>
      <w:r w:rsidRPr="00690995">
        <w:rPr>
          <w:rFonts w:ascii="FrankRuehl" w:hAnsi="FrankRuehl" w:cs="FrankRuehl"/>
          <w:sz w:val="24"/>
          <w:szCs w:val="24"/>
          <w:rtl/>
        </w:rPr>
        <w:t xml:space="preserve">עם זאת, והחשוב לענייננו, ש"רשות תכנון רשאית מבחינה עקרונית לשנות את דעתה, אם לטובת האזרח ואם לרעתו, כאשר השתנו הנסיבות מאז קבלת ההחלטה הראשונה... וכן היא יכולה להעריך את הנסיבות הקיימות הערכה חדשה, אם היא מוצאת לנחוץ לעשות כן מטעמים חשובים הנעוצים בטובת הציבור" (דברי השופט </w:t>
      </w:r>
      <w:proofErr w:type="spellStart"/>
      <w:r w:rsidRPr="00690995">
        <w:rPr>
          <w:rFonts w:ascii="FrankRuehl" w:hAnsi="FrankRuehl" w:cs="FrankRuehl"/>
          <w:sz w:val="24"/>
          <w:szCs w:val="24"/>
          <w:rtl/>
        </w:rPr>
        <w:t>לנדוי</w:t>
      </w:r>
      <w:proofErr w:type="spellEnd"/>
      <w:r w:rsidRPr="00690995">
        <w:rPr>
          <w:rFonts w:ascii="FrankRuehl" w:hAnsi="FrankRuehl" w:cs="FrankRuehl"/>
          <w:sz w:val="24"/>
          <w:szCs w:val="24"/>
          <w:rtl/>
        </w:rPr>
        <w:t xml:space="preserve"> ב</w:t>
      </w:r>
      <w:hyperlink r:id="rId42" w:history="1">
        <w:r w:rsidRPr="00690995">
          <w:rPr>
            <w:rFonts w:ascii="FrankRuehl" w:hAnsi="FrankRuehl" w:cs="FrankRuehl"/>
            <w:sz w:val="24"/>
            <w:szCs w:val="24"/>
            <w:rtl/>
          </w:rPr>
          <w:t>בג"ץ 318/75</w:t>
        </w:r>
      </w:hyperlink>
      <w:r w:rsidRPr="00690995">
        <w:rPr>
          <w:rFonts w:ascii="FrankRuehl" w:hAnsi="FrankRuehl" w:cs="FrankRuehl"/>
          <w:sz w:val="24"/>
          <w:szCs w:val="24"/>
          <w:rtl/>
        </w:rPr>
        <w:t xml:space="preserve"> </w:t>
      </w:r>
      <w:proofErr w:type="spellStart"/>
      <w:r w:rsidRPr="00690995">
        <w:rPr>
          <w:rFonts w:ascii="FrankRuehl" w:hAnsi="FrankRuehl" w:cs="FrankRuehl"/>
          <w:sz w:val="24"/>
          <w:szCs w:val="24"/>
          <w:rtl/>
        </w:rPr>
        <w:t>חדג'ס</w:t>
      </w:r>
      <w:proofErr w:type="spellEnd"/>
      <w:r w:rsidRPr="00690995">
        <w:rPr>
          <w:rFonts w:ascii="FrankRuehl" w:hAnsi="FrankRuehl" w:cs="FrankRuehl"/>
          <w:sz w:val="24"/>
          <w:szCs w:val="24"/>
          <w:rtl/>
        </w:rPr>
        <w:t xml:space="preserve"> נ' הוועדה המחוזית לתכנון ולבניה, חיפה, </w:t>
      </w:r>
      <w:proofErr w:type="spellStart"/>
      <w:r w:rsidRPr="00690995">
        <w:rPr>
          <w:rFonts w:ascii="FrankRuehl" w:hAnsi="FrankRuehl" w:cs="FrankRuehl"/>
          <w:sz w:val="24"/>
          <w:szCs w:val="24"/>
          <w:rtl/>
        </w:rPr>
        <w:t>פ''ד</w:t>
      </w:r>
      <w:proofErr w:type="spellEnd"/>
      <w:r w:rsidRPr="00690995">
        <w:rPr>
          <w:rFonts w:ascii="FrankRuehl" w:hAnsi="FrankRuehl" w:cs="FrankRuehl"/>
          <w:sz w:val="24"/>
          <w:szCs w:val="24"/>
          <w:rtl/>
        </w:rPr>
        <w:t xml:space="preserve"> ל(2) 133, 137 (1976), המובאים גם בעניין גזר, שם; על כך שהרשות </w:t>
      </w:r>
      <w:proofErr w:type="spellStart"/>
      <w:r w:rsidRPr="00690995">
        <w:rPr>
          <w:rFonts w:ascii="FrankRuehl" w:hAnsi="FrankRuehl" w:cs="FrankRuehl"/>
          <w:sz w:val="24"/>
          <w:szCs w:val="24"/>
          <w:rtl/>
        </w:rPr>
        <w:t>המינהלית</w:t>
      </w:r>
      <w:proofErr w:type="spellEnd"/>
      <w:r w:rsidRPr="00690995">
        <w:rPr>
          <w:rFonts w:ascii="FrankRuehl" w:hAnsi="FrankRuehl" w:cs="FrankRuehl"/>
          <w:sz w:val="24"/>
          <w:szCs w:val="24"/>
          <w:rtl/>
        </w:rPr>
        <w:t xml:space="preserve"> אינה כפופה, לעניין החלטותיה שלה, לכללי הסופיות ומעשה בית דין, וכי הדברים יפים במיוחד בתחום התכנון והבניה, ראו גם </w:t>
      </w:r>
      <w:hyperlink r:id="rId43" w:history="1">
        <w:r w:rsidRPr="00690995">
          <w:rPr>
            <w:rStyle w:val="Hyperlink"/>
            <w:rFonts w:ascii="FrankRuehl" w:hAnsi="FrankRuehl" w:cs="FrankRuehl"/>
            <w:color w:val="auto"/>
            <w:sz w:val="24"/>
            <w:szCs w:val="24"/>
            <w:u w:val="none"/>
            <w:rtl/>
          </w:rPr>
          <w:t>בג"ץ 9717/03</w:t>
        </w:r>
      </w:hyperlink>
      <w:r w:rsidRPr="00690995">
        <w:rPr>
          <w:rFonts w:ascii="FrankRuehl" w:hAnsi="FrankRuehl" w:cs="FrankRuehl"/>
          <w:sz w:val="24"/>
          <w:szCs w:val="24"/>
          <w:rtl/>
        </w:rPr>
        <w:t>‏   נעלה, עמותה להתיישבות בשומרון של עובדי התעשייה‏, פ"ד נח(6) 97, 102-101 (2004))."</w:t>
      </w:r>
    </w:p>
    <w:p w14:paraId="3E49CC96" w14:textId="77777777" w:rsidR="007B7BB0" w:rsidRPr="00C24A87" w:rsidRDefault="007B7BB0" w:rsidP="007B7BB0">
      <w:pPr>
        <w:pStyle w:val="2"/>
        <w:spacing w:line="360" w:lineRule="auto"/>
        <w:ind w:left="0" w:right="709"/>
        <w:contextualSpacing w:val="0"/>
        <w:jc w:val="right"/>
        <w:rPr>
          <w:rFonts w:ascii="David" w:hAnsi="David" w:cs="David"/>
          <w:sz w:val="24"/>
          <w:szCs w:val="24"/>
          <w:rtl/>
        </w:rPr>
      </w:pPr>
      <w:r w:rsidRPr="00C24A87">
        <w:rPr>
          <w:rFonts w:ascii="David" w:hAnsi="David" w:cs="David"/>
          <w:sz w:val="24"/>
          <w:szCs w:val="24"/>
          <w:rtl/>
        </w:rPr>
        <w:t>(ההדגשות אינן במקור, הח"מ)</w:t>
      </w:r>
    </w:p>
    <w:p w14:paraId="303A670B" w14:textId="77777777" w:rsidR="007B7BB0" w:rsidRPr="00700B8A" w:rsidRDefault="007B7BB0" w:rsidP="00700B8A">
      <w:pPr>
        <w:pStyle w:val="af"/>
        <w:numPr>
          <w:ilvl w:val="0"/>
          <w:numId w:val="1"/>
        </w:numPr>
        <w:spacing w:line="360" w:lineRule="auto"/>
        <w:ind w:right="-142" w:hanging="601"/>
        <w:contextualSpacing w:val="0"/>
        <w:jc w:val="both"/>
        <w:rPr>
          <w:rFonts w:ascii="David" w:hAnsi="David" w:cs="David"/>
          <w:sz w:val="24"/>
          <w:szCs w:val="24"/>
        </w:rPr>
      </w:pPr>
      <w:r w:rsidRPr="00C24A87">
        <w:rPr>
          <w:rFonts w:cs="David" w:hint="eastAsia"/>
          <w:sz w:val="24"/>
          <w:szCs w:val="24"/>
          <w:rtl/>
        </w:rPr>
        <w:t>כעולה</w:t>
      </w:r>
      <w:r w:rsidRPr="00C24A87">
        <w:rPr>
          <w:rFonts w:cs="David"/>
          <w:sz w:val="24"/>
          <w:szCs w:val="24"/>
          <w:rtl/>
        </w:rPr>
        <w:t xml:space="preserve"> </w:t>
      </w:r>
      <w:r w:rsidRPr="00C24A87">
        <w:rPr>
          <w:rFonts w:cs="David" w:hint="eastAsia"/>
          <w:sz w:val="24"/>
          <w:szCs w:val="24"/>
          <w:rtl/>
        </w:rPr>
        <w:t>מן</w:t>
      </w:r>
      <w:r w:rsidRPr="00C24A87">
        <w:rPr>
          <w:rFonts w:cs="David"/>
          <w:sz w:val="24"/>
          <w:szCs w:val="24"/>
          <w:rtl/>
        </w:rPr>
        <w:t xml:space="preserve"> </w:t>
      </w:r>
      <w:r w:rsidRPr="00C24A87">
        <w:rPr>
          <w:rFonts w:cs="David" w:hint="eastAsia"/>
          <w:sz w:val="24"/>
          <w:szCs w:val="24"/>
          <w:rtl/>
        </w:rPr>
        <w:t>המקובץ</w:t>
      </w:r>
      <w:r w:rsidRPr="00C24A87">
        <w:rPr>
          <w:rFonts w:cs="David"/>
          <w:sz w:val="24"/>
          <w:szCs w:val="24"/>
          <w:rtl/>
        </w:rPr>
        <w:t xml:space="preserve">, </w:t>
      </w:r>
      <w:r w:rsidRPr="00C24A87">
        <w:rPr>
          <w:rFonts w:cs="David" w:hint="eastAsia"/>
          <w:sz w:val="24"/>
          <w:szCs w:val="24"/>
          <w:rtl/>
        </w:rPr>
        <w:t>שני</w:t>
      </w:r>
      <w:r w:rsidRPr="00C24A87">
        <w:rPr>
          <w:rFonts w:cs="David"/>
          <w:sz w:val="24"/>
          <w:szCs w:val="24"/>
          <w:rtl/>
        </w:rPr>
        <w:t xml:space="preserve"> </w:t>
      </w:r>
      <w:r w:rsidRPr="00C24A87">
        <w:rPr>
          <w:rFonts w:cs="David" w:hint="eastAsia"/>
          <w:sz w:val="24"/>
          <w:szCs w:val="24"/>
          <w:rtl/>
        </w:rPr>
        <w:t>סוגי</w:t>
      </w:r>
      <w:r w:rsidRPr="00C24A87">
        <w:rPr>
          <w:rFonts w:cs="David"/>
          <w:sz w:val="24"/>
          <w:szCs w:val="24"/>
          <w:rtl/>
        </w:rPr>
        <w:t xml:space="preserve"> </w:t>
      </w:r>
      <w:r w:rsidRPr="00C24A87">
        <w:rPr>
          <w:rFonts w:cs="David" w:hint="eastAsia"/>
          <w:sz w:val="24"/>
          <w:szCs w:val="24"/>
          <w:rtl/>
        </w:rPr>
        <w:t>מקרים</w:t>
      </w:r>
      <w:r w:rsidRPr="00C24A87">
        <w:rPr>
          <w:rFonts w:cs="David"/>
          <w:sz w:val="24"/>
          <w:szCs w:val="24"/>
          <w:rtl/>
        </w:rPr>
        <w:t xml:space="preserve"> </w:t>
      </w:r>
      <w:r w:rsidRPr="00C24A87">
        <w:rPr>
          <w:rFonts w:cs="David" w:hint="eastAsia"/>
          <w:sz w:val="24"/>
          <w:szCs w:val="24"/>
          <w:rtl/>
        </w:rPr>
        <w:t>עשויים</w:t>
      </w:r>
      <w:r w:rsidRPr="00C24A87">
        <w:rPr>
          <w:rFonts w:cs="David"/>
          <w:sz w:val="24"/>
          <w:szCs w:val="24"/>
          <w:rtl/>
        </w:rPr>
        <w:t xml:space="preserve"> </w:t>
      </w:r>
      <w:r w:rsidRPr="00C24A87">
        <w:rPr>
          <w:rFonts w:cs="David" w:hint="eastAsia"/>
          <w:sz w:val="24"/>
          <w:szCs w:val="24"/>
          <w:rtl/>
        </w:rPr>
        <w:t>להצדיק</w:t>
      </w:r>
      <w:r w:rsidRPr="00C24A87">
        <w:rPr>
          <w:rFonts w:cs="David"/>
          <w:sz w:val="24"/>
          <w:szCs w:val="24"/>
          <w:rtl/>
        </w:rPr>
        <w:t xml:space="preserve">, </w:t>
      </w:r>
      <w:r w:rsidRPr="00C24A87">
        <w:rPr>
          <w:rFonts w:cs="David" w:hint="eastAsia"/>
          <w:sz w:val="24"/>
          <w:szCs w:val="24"/>
          <w:rtl/>
        </w:rPr>
        <w:t>כל</w:t>
      </w:r>
      <w:r w:rsidRPr="00C24A87">
        <w:rPr>
          <w:rFonts w:cs="David"/>
          <w:sz w:val="24"/>
          <w:szCs w:val="24"/>
          <w:rtl/>
        </w:rPr>
        <w:t xml:space="preserve"> </w:t>
      </w:r>
      <w:r w:rsidRPr="00C24A87">
        <w:rPr>
          <w:rFonts w:cs="David" w:hint="eastAsia"/>
          <w:sz w:val="24"/>
          <w:szCs w:val="24"/>
          <w:rtl/>
        </w:rPr>
        <w:t>אחד</w:t>
      </w:r>
      <w:r w:rsidRPr="00C24A87">
        <w:rPr>
          <w:rFonts w:cs="David"/>
          <w:sz w:val="24"/>
          <w:szCs w:val="24"/>
          <w:rtl/>
        </w:rPr>
        <w:t xml:space="preserve"> </w:t>
      </w:r>
      <w:r w:rsidRPr="00C24A87">
        <w:rPr>
          <w:rFonts w:cs="David" w:hint="eastAsia"/>
          <w:sz w:val="24"/>
          <w:szCs w:val="24"/>
          <w:rtl/>
        </w:rPr>
        <w:t>בנפרד</w:t>
      </w:r>
      <w:r w:rsidRPr="00C24A87">
        <w:rPr>
          <w:rFonts w:cs="David"/>
          <w:sz w:val="24"/>
          <w:szCs w:val="24"/>
          <w:rtl/>
        </w:rPr>
        <w:t xml:space="preserve">, </w:t>
      </w:r>
      <w:r w:rsidRPr="00C24A87">
        <w:rPr>
          <w:rFonts w:cs="David" w:hint="eastAsia"/>
          <w:sz w:val="24"/>
          <w:szCs w:val="24"/>
          <w:rtl/>
        </w:rPr>
        <w:t>עיון</w:t>
      </w:r>
      <w:r w:rsidRPr="00C24A87">
        <w:rPr>
          <w:rFonts w:cs="David"/>
          <w:sz w:val="24"/>
          <w:szCs w:val="24"/>
          <w:rtl/>
        </w:rPr>
        <w:t xml:space="preserve"> </w:t>
      </w:r>
      <w:r w:rsidRPr="00C24A87">
        <w:rPr>
          <w:rFonts w:cs="David" w:hint="eastAsia"/>
          <w:sz w:val="24"/>
          <w:szCs w:val="24"/>
          <w:rtl/>
        </w:rPr>
        <w:t>מחודש</w:t>
      </w:r>
      <w:r w:rsidRPr="00C24A87">
        <w:rPr>
          <w:rFonts w:cs="David"/>
          <w:sz w:val="24"/>
          <w:szCs w:val="24"/>
          <w:rtl/>
        </w:rPr>
        <w:t xml:space="preserve"> </w:t>
      </w:r>
      <w:r w:rsidRPr="00C24A87">
        <w:rPr>
          <w:rFonts w:cs="David" w:hint="eastAsia"/>
          <w:sz w:val="24"/>
          <w:szCs w:val="24"/>
          <w:rtl/>
        </w:rPr>
        <w:t>בהחלט</w:t>
      </w:r>
      <w:r w:rsidR="00690995">
        <w:rPr>
          <w:rFonts w:cs="David" w:hint="cs"/>
          <w:sz w:val="24"/>
          <w:szCs w:val="24"/>
          <w:rtl/>
        </w:rPr>
        <w:t xml:space="preserve">ת מוסד </w:t>
      </w:r>
      <w:r w:rsidR="00690995" w:rsidRPr="00700B8A">
        <w:rPr>
          <w:rFonts w:ascii="David" w:hAnsi="David" w:cs="David" w:hint="cs"/>
          <w:sz w:val="24"/>
          <w:szCs w:val="24"/>
          <w:rtl/>
        </w:rPr>
        <w:t>התכנון</w:t>
      </w:r>
      <w:r w:rsidRPr="00700B8A">
        <w:rPr>
          <w:rFonts w:ascii="David" w:hAnsi="David" w:cs="David"/>
          <w:sz w:val="24"/>
          <w:szCs w:val="24"/>
          <w:rtl/>
        </w:rPr>
        <w:t xml:space="preserve">, </w:t>
      </w:r>
      <w:r w:rsidRPr="00700B8A">
        <w:rPr>
          <w:rFonts w:ascii="David" w:hAnsi="David" w:cs="David" w:hint="eastAsia"/>
          <w:sz w:val="24"/>
          <w:szCs w:val="24"/>
          <w:rtl/>
        </w:rPr>
        <w:t>חרף</w:t>
      </w:r>
      <w:r w:rsidRPr="00700B8A">
        <w:rPr>
          <w:rFonts w:ascii="David" w:hAnsi="David" w:cs="David"/>
          <w:sz w:val="24"/>
          <w:szCs w:val="24"/>
          <w:rtl/>
        </w:rPr>
        <w:t xml:space="preserve"> </w:t>
      </w:r>
      <w:r w:rsidRPr="00700B8A">
        <w:rPr>
          <w:rFonts w:ascii="David" w:hAnsi="David" w:cs="David" w:hint="eastAsia"/>
          <w:sz w:val="24"/>
          <w:szCs w:val="24"/>
          <w:rtl/>
        </w:rPr>
        <w:t>הפגיעה</w:t>
      </w:r>
      <w:r w:rsidRPr="00700B8A">
        <w:rPr>
          <w:rFonts w:ascii="David" w:hAnsi="David" w:cs="David"/>
          <w:sz w:val="24"/>
          <w:szCs w:val="24"/>
          <w:rtl/>
        </w:rPr>
        <w:t xml:space="preserve"> </w:t>
      </w:r>
      <w:r w:rsidRPr="00700B8A">
        <w:rPr>
          <w:rFonts w:ascii="David" w:hAnsi="David" w:cs="David" w:hint="eastAsia"/>
          <w:sz w:val="24"/>
          <w:szCs w:val="24"/>
          <w:rtl/>
        </w:rPr>
        <w:t>באינטרס</w:t>
      </w:r>
      <w:r w:rsidRPr="00700B8A">
        <w:rPr>
          <w:rFonts w:ascii="David" w:hAnsi="David" w:cs="David"/>
          <w:sz w:val="24"/>
          <w:szCs w:val="24"/>
          <w:rtl/>
        </w:rPr>
        <w:t xml:space="preserve"> </w:t>
      </w:r>
      <w:r w:rsidRPr="00700B8A">
        <w:rPr>
          <w:rFonts w:ascii="David" w:hAnsi="David" w:cs="David" w:hint="eastAsia"/>
          <w:sz w:val="24"/>
          <w:szCs w:val="24"/>
          <w:rtl/>
        </w:rPr>
        <w:t>ההסתמכות</w:t>
      </w:r>
      <w:r w:rsidRPr="00700B8A">
        <w:rPr>
          <w:rFonts w:ascii="David" w:hAnsi="David" w:cs="David"/>
          <w:sz w:val="24"/>
          <w:szCs w:val="24"/>
          <w:rtl/>
        </w:rPr>
        <w:t xml:space="preserve">: (1) </w:t>
      </w:r>
      <w:r w:rsidRPr="00700B8A">
        <w:rPr>
          <w:rFonts w:ascii="David" w:hAnsi="David" w:cs="David" w:hint="eastAsia"/>
          <w:sz w:val="24"/>
          <w:szCs w:val="24"/>
          <w:rtl/>
        </w:rPr>
        <w:t>שינוי</w:t>
      </w:r>
      <w:r w:rsidRPr="00700B8A">
        <w:rPr>
          <w:rFonts w:ascii="David" w:hAnsi="David" w:cs="David"/>
          <w:sz w:val="24"/>
          <w:szCs w:val="24"/>
          <w:rtl/>
        </w:rPr>
        <w:t xml:space="preserve"> </w:t>
      </w:r>
      <w:r w:rsidRPr="00700B8A">
        <w:rPr>
          <w:rFonts w:ascii="David" w:hAnsi="David" w:cs="David" w:hint="eastAsia"/>
          <w:sz w:val="24"/>
          <w:szCs w:val="24"/>
          <w:rtl/>
        </w:rPr>
        <w:t>נסיבות</w:t>
      </w:r>
      <w:r w:rsidRPr="00700B8A">
        <w:rPr>
          <w:rFonts w:ascii="David" w:hAnsi="David" w:cs="David"/>
          <w:sz w:val="24"/>
          <w:szCs w:val="24"/>
          <w:rtl/>
        </w:rPr>
        <w:t xml:space="preserve"> </w:t>
      </w:r>
      <w:r w:rsidRPr="00700B8A">
        <w:rPr>
          <w:rFonts w:ascii="David" w:hAnsi="David" w:cs="David" w:hint="eastAsia"/>
          <w:sz w:val="24"/>
          <w:szCs w:val="24"/>
          <w:rtl/>
        </w:rPr>
        <w:t>מאז</w:t>
      </w:r>
      <w:r w:rsidRPr="00700B8A">
        <w:rPr>
          <w:rFonts w:ascii="David" w:hAnsi="David" w:cs="David"/>
          <w:sz w:val="24"/>
          <w:szCs w:val="24"/>
          <w:rtl/>
        </w:rPr>
        <w:t xml:space="preserve"> </w:t>
      </w:r>
      <w:r w:rsidRPr="00700B8A">
        <w:rPr>
          <w:rFonts w:ascii="David" w:hAnsi="David" w:cs="David" w:hint="eastAsia"/>
          <w:sz w:val="24"/>
          <w:szCs w:val="24"/>
          <w:rtl/>
        </w:rPr>
        <w:t>קבלת</w:t>
      </w:r>
      <w:r w:rsidRPr="00700B8A">
        <w:rPr>
          <w:rFonts w:ascii="David" w:hAnsi="David" w:cs="David"/>
          <w:sz w:val="24"/>
          <w:szCs w:val="24"/>
          <w:rtl/>
        </w:rPr>
        <w:t xml:space="preserve"> </w:t>
      </w:r>
      <w:r w:rsidRPr="00700B8A">
        <w:rPr>
          <w:rFonts w:ascii="David" w:hAnsi="David" w:cs="David" w:hint="eastAsia"/>
          <w:sz w:val="24"/>
          <w:szCs w:val="24"/>
          <w:rtl/>
        </w:rPr>
        <w:t>ההחלטה</w:t>
      </w:r>
      <w:r w:rsidRPr="00700B8A">
        <w:rPr>
          <w:rFonts w:ascii="David" w:hAnsi="David" w:cs="David"/>
          <w:sz w:val="24"/>
          <w:szCs w:val="24"/>
          <w:rtl/>
        </w:rPr>
        <w:t xml:space="preserve"> </w:t>
      </w:r>
      <w:r w:rsidRPr="00700B8A">
        <w:rPr>
          <w:rFonts w:ascii="David" w:hAnsi="David" w:cs="David" w:hint="eastAsia"/>
          <w:sz w:val="24"/>
          <w:szCs w:val="24"/>
          <w:rtl/>
        </w:rPr>
        <w:t>הראשונה</w:t>
      </w:r>
      <w:r w:rsidRPr="00700B8A">
        <w:rPr>
          <w:rFonts w:ascii="David" w:hAnsi="David" w:cs="David"/>
          <w:sz w:val="24"/>
          <w:szCs w:val="24"/>
          <w:rtl/>
        </w:rPr>
        <w:t xml:space="preserve">; </w:t>
      </w:r>
      <w:r w:rsidRPr="00700B8A">
        <w:rPr>
          <w:rFonts w:ascii="David" w:hAnsi="David" w:cs="David" w:hint="eastAsia"/>
          <w:sz w:val="24"/>
          <w:szCs w:val="24"/>
          <w:rtl/>
        </w:rPr>
        <w:t>או</w:t>
      </w:r>
      <w:r w:rsidRPr="00700B8A">
        <w:rPr>
          <w:rFonts w:ascii="David" w:hAnsi="David" w:cs="David"/>
          <w:sz w:val="24"/>
          <w:szCs w:val="24"/>
          <w:rtl/>
        </w:rPr>
        <w:t xml:space="preserve"> - (2) </w:t>
      </w:r>
      <w:r w:rsidRPr="00700B8A">
        <w:rPr>
          <w:rFonts w:ascii="David" w:hAnsi="David" w:cs="David" w:hint="eastAsia"/>
          <w:sz w:val="24"/>
          <w:szCs w:val="24"/>
          <w:rtl/>
        </w:rPr>
        <w:t>הערכה</w:t>
      </w:r>
      <w:r w:rsidRPr="00700B8A">
        <w:rPr>
          <w:rFonts w:ascii="David" w:hAnsi="David" w:cs="David"/>
          <w:sz w:val="24"/>
          <w:szCs w:val="24"/>
          <w:rtl/>
        </w:rPr>
        <w:t xml:space="preserve"> </w:t>
      </w:r>
      <w:r w:rsidRPr="00700B8A">
        <w:rPr>
          <w:rFonts w:ascii="David" w:hAnsi="David" w:cs="David" w:hint="eastAsia"/>
          <w:sz w:val="24"/>
          <w:szCs w:val="24"/>
          <w:rtl/>
        </w:rPr>
        <w:t>חדשה</w:t>
      </w:r>
      <w:r w:rsidRPr="00700B8A">
        <w:rPr>
          <w:rFonts w:ascii="David" w:hAnsi="David" w:cs="David"/>
          <w:sz w:val="24"/>
          <w:szCs w:val="24"/>
          <w:rtl/>
        </w:rPr>
        <w:t xml:space="preserve"> </w:t>
      </w:r>
      <w:r w:rsidRPr="00700B8A">
        <w:rPr>
          <w:rFonts w:ascii="David" w:hAnsi="David" w:cs="David" w:hint="eastAsia"/>
          <w:sz w:val="24"/>
          <w:szCs w:val="24"/>
          <w:rtl/>
        </w:rPr>
        <w:t>של</w:t>
      </w:r>
      <w:r w:rsidRPr="00700B8A">
        <w:rPr>
          <w:rFonts w:ascii="David" w:hAnsi="David" w:cs="David"/>
          <w:sz w:val="24"/>
          <w:szCs w:val="24"/>
          <w:rtl/>
        </w:rPr>
        <w:t xml:space="preserve"> </w:t>
      </w:r>
      <w:r w:rsidRPr="00700B8A">
        <w:rPr>
          <w:rFonts w:ascii="David" w:hAnsi="David" w:cs="David" w:hint="eastAsia"/>
          <w:sz w:val="24"/>
          <w:szCs w:val="24"/>
          <w:rtl/>
        </w:rPr>
        <w:t>הנסיבות</w:t>
      </w:r>
      <w:r w:rsidRPr="00700B8A">
        <w:rPr>
          <w:rFonts w:ascii="David" w:hAnsi="David" w:cs="David"/>
          <w:sz w:val="24"/>
          <w:szCs w:val="24"/>
          <w:rtl/>
        </w:rPr>
        <w:t xml:space="preserve"> </w:t>
      </w:r>
      <w:r w:rsidRPr="00700B8A">
        <w:rPr>
          <w:rFonts w:ascii="David" w:hAnsi="David" w:cs="David" w:hint="eastAsia"/>
          <w:sz w:val="24"/>
          <w:szCs w:val="24"/>
          <w:rtl/>
        </w:rPr>
        <w:t>הקיימות</w:t>
      </w:r>
      <w:r w:rsidRPr="00700B8A">
        <w:rPr>
          <w:rFonts w:ascii="David" w:hAnsi="David" w:cs="David"/>
          <w:sz w:val="24"/>
          <w:szCs w:val="24"/>
          <w:rtl/>
        </w:rPr>
        <w:t xml:space="preserve"> </w:t>
      </w:r>
      <w:r w:rsidRPr="00700B8A">
        <w:rPr>
          <w:rFonts w:ascii="David" w:hAnsi="David" w:cs="David" w:hint="eastAsia"/>
          <w:sz w:val="24"/>
          <w:szCs w:val="24"/>
          <w:rtl/>
        </w:rPr>
        <w:t>מטעמים</w:t>
      </w:r>
      <w:r w:rsidRPr="00700B8A">
        <w:rPr>
          <w:rFonts w:ascii="David" w:hAnsi="David" w:cs="David"/>
          <w:sz w:val="24"/>
          <w:szCs w:val="24"/>
          <w:rtl/>
        </w:rPr>
        <w:t xml:space="preserve"> </w:t>
      </w:r>
      <w:r w:rsidRPr="00700B8A">
        <w:rPr>
          <w:rFonts w:ascii="David" w:hAnsi="David" w:cs="David" w:hint="eastAsia"/>
          <w:sz w:val="24"/>
          <w:szCs w:val="24"/>
          <w:rtl/>
        </w:rPr>
        <w:t>חשובים</w:t>
      </w:r>
      <w:r w:rsidRPr="00700B8A">
        <w:rPr>
          <w:rFonts w:ascii="David" w:hAnsi="David" w:cs="David"/>
          <w:sz w:val="24"/>
          <w:szCs w:val="24"/>
          <w:rtl/>
        </w:rPr>
        <w:t xml:space="preserve"> </w:t>
      </w:r>
      <w:r w:rsidRPr="00700B8A">
        <w:rPr>
          <w:rFonts w:ascii="David" w:hAnsi="David" w:cs="David" w:hint="eastAsia"/>
          <w:sz w:val="24"/>
          <w:szCs w:val="24"/>
          <w:rtl/>
        </w:rPr>
        <w:t>הנעוצים</w:t>
      </w:r>
      <w:r w:rsidRPr="00700B8A">
        <w:rPr>
          <w:rFonts w:ascii="David" w:hAnsi="David" w:cs="David"/>
          <w:sz w:val="24"/>
          <w:szCs w:val="24"/>
          <w:rtl/>
        </w:rPr>
        <w:t xml:space="preserve"> </w:t>
      </w:r>
      <w:r w:rsidRPr="00700B8A">
        <w:rPr>
          <w:rFonts w:ascii="David" w:hAnsi="David" w:cs="David" w:hint="eastAsia"/>
          <w:sz w:val="24"/>
          <w:szCs w:val="24"/>
          <w:rtl/>
        </w:rPr>
        <w:t>בטובת</w:t>
      </w:r>
      <w:r w:rsidRPr="00700B8A">
        <w:rPr>
          <w:rFonts w:ascii="David" w:hAnsi="David" w:cs="David"/>
          <w:sz w:val="24"/>
          <w:szCs w:val="24"/>
          <w:rtl/>
        </w:rPr>
        <w:t xml:space="preserve"> </w:t>
      </w:r>
      <w:r w:rsidRPr="00700B8A">
        <w:rPr>
          <w:rFonts w:ascii="David" w:hAnsi="David" w:cs="David" w:hint="eastAsia"/>
          <w:sz w:val="24"/>
          <w:szCs w:val="24"/>
          <w:rtl/>
        </w:rPr>
        <w:t>הציבור</w:t>
      </w:r>
      <w:r w:rsidRPr="00700B8A">
        <w:rPr>
          <w:rFonts w:ascii="David" w:hAnsi="David" w:cs="David"/>
          <w:sz w:val="24"/>
          <w:szCs w:val="24"/>
          <w:rtl/>
        </w:rPr>
        <w:t xml:space="preserve">. </w:t>
      </w:r>
    </w:p>
    <w:p w14:paraId="4B8FCE96" w14:textId="77777777" w:rsidR="00690995" w:rsidRPr="00700B8A" w:rsidRDefault="00690995" w:rsidP="00700B8A">
      <w:pPr>
        <w:pStyle w:val="af"/>
        <w:numPr>
          <w:ilvl w:val="0"/>
          <w:numId w:val="1"/>
        </w:numPr>
        <w:spacing w:line="360" w:lineRule="auto"/>
        <w:ind w:right="-142" w:hanging="601"/>
        <w:contextualSpacing w:val="0"/>
        <w:jc w:val="both"/>
        <w:rPr>
          <w:rFonts w:ascii="David" w:hAnsi="David" w:cs="David"/>
          <w:sz w:val="24"/>
          <w:szCs w:val="24"/>
        </w:rPr>
      </w:pPr>
      <w:r w:rsidRPr="00700B8A">
        <w:rPr>
          <w:rFonts w:ascii="David" w:hAnsi="David" w:cs="David" w:hint="cs"/>
          <w:sz w:val="24"/>
          <w:szCs w:val="24"/>
          <w:rtl/>
        </w:rPr>
        <w:t xml:space="preserve">לא נטען בפנינו ולא התרשמנו בעצמנו, כי חל </w:t>
      </w:r>
      <w:r w:rsidR="007B7BB0" w:rsidRPr="00700B8A">
        <w:rPr>
          <w:rFonts w:ascii="David" w:hAnsi="David" w:cs="David" w:hint="eastAsia"/>
          <w:sz w:val="24"/>
          <w:szCs w:val="24"/>
          <w:rtl/>
        </w:rPr>
        <w:t>שינוי</w:t>
      </w:r>
      <w:r w:rsidR="007B7BB0" w:rsidRPr="00700B8A">
        <w:rPr>
          <w:rFonts w:ascii="David" w:hAnsi="David" w:cs="David"/>
          <w:sz w:val="24"/>
          <w:szCs w:val="24"/>
          <w:rtl/>
        </w:rPr>
        <w:t xml:space="preserve"> </w:t>
      </w:r>
      <w:r w:rsidR="007B7BB0" w:rsidRPr="00700B8A">
        <w:rPr>
          <w:rFonts w:ascii="David" w:hAnsi="David" w:cs="David" w:hint="eastAsia"/>
          <w:sz w:val="24"/>
          <w:szCs w:val="24"/>
          <w:rtl/>
        </w:rPr>
        <w:t>נסיבות</w:t>
      </w:r>
      <w:r w:rsidR="007B7BB0" w:rsidRPr="00700B8A">
        <w:rPr>
          <w:rFonts w:ascii="David" w:hAnsi="David" w:cs="David"/>
          <w:sz w:val="24"/>
          <w:szCs w:val="24"/>
          <w:rtl/>
        </w:rPr>
        <w:t xml:space="preserve"> </w:t>
      </w:r>
      <w:r w:rsidR="00700B8A" w:rsidRPr="00700B8A">
        <w:rPr>
          <w:rFonts w:ascii="David" w:hAnsi="David" w:cs="David" w:hint="cs"/>
          <w:sz w:val="24"/>
          <w:szCs w:val="24"/>
          <w:rtl/>
        </w:rPr>
        <w:t>כלשהו</w:t>
      </w:r>
      <w:r w:rsidR="00700B8A">
        <w:rPr>
          <w:rFonts w:ascii="David" w:hAnsi="David" w:cs="David" w:hint="cs"/>
          <w:sz w:val="24"/>
          <w:szCs w:val="24"/>
          <w:rtl/>
        </w:rPr>
        <w:t xml:space="preserve"> </w:t>
      </w:r>
      <w:r w:rsidR="007B7BB0" w:rsidRPr="00700B8A">
        <w:rPr>
          <w:rFonts w:ascii="David" w:hAnsi="David" w:cs="David" w:hint="eastAsia"/>
          <w:sz w:val="24"/>
          <w:szCs w:val="24"/>
          <w:rtl/>
        </w:rPr>
        <w:t>מאז</w:t>
      </w:r>
      <w:r w:rsidR="007B7BB0" w:rsidRPr="00700B8A">
        <w:rPr>
          <w:rFonts w:ascii="David" w:hAnsi="David" w:cs="David"/>
          <w:sz w:val="24"/>
          <w:szCs w:val="24"/>
          <w:rtl/>
        </w:rPr>
        <w:t xml:space="preserve"> </w:t>
      </w:r>
      <w:r w:rsidR="007B7BB0" w:rsidRPr="00700B8A">
        <w:rPr>
          <w:rFonts w:ascii="David" w:hAnsi="David" w:cs="David" w:hint="eastAsia"/>
          <w:sz w:val="24"/>
          <w:szCs w:val="24"/>
          <w:rtl/>
        </w:rPr>
        <w:t>ניתנה</w:t>
      </w:r>
      <w:r w:rsidR="007B7BB0" w:rsidRPr="00700B8A">
        <w:rPr>
          <w:rFonts w:ascii="David" w:hAnsi="David" w:cs="David"/>
          <w:sz w:val="24"/>
          <w:szCs w:val="24"/>
          <w:rtl/>
        </w:rPr>
        <w:t xml:space="preserve"> </w:t>
      </w:r>
      <w:r w:rsidR="007B7BB0" w:rsidRPr="00700B8A">
        <w:rPr>
          <w:rFonts w:ascii="David" w:hAnsi="David" w:cs="David" w:hint="eastAsia"/>
          <w:sz w:val="24"/>
          <w:szCs w:val="24"/>
          <w:rtl/>
        </w:rPr>
        <w:t>החלט</w:t>
      </w:r>
      <w:r w:rsidRPr="00700B8A">
        <w:rPr>
          <w:rFonts w:ascii="David" w:hAnsi="David" w:cs="David" w:hint="cs"/>
          <w:sz w:val="24"/>
          <w:szCs w:val="24"/>
          <w:rtl/>
        </w:rPr>
        <w:t>ת הוועדה המקומית להמליץ לוועדה המחוזית על הפקדת התוכנית.</w:t>
      </w:r>
    </w:p>
    <w:p w14:paraId="66F5362B" w14:textId="77777777" w:rsidR="005C7AB5" w:rsidRPr="00700B8A" w:rsidRDefault="00690995" w:rsidP="00700B8A">
      <w:pPr>
        <w:pStyle w:val="af"/>
        <w:numPr>
          <w:ilvl w:val="0"/>
          <w:numId w:val="1"/>
        </w:numPr>
        <w:spacing w:line="360" w:lineRule="auto"/>
        <w:ind w:right="-142" w:hanging="601"/>
        <w:contextualSpacing w:val="0"/>
        <w:jc w:val="both"/>
        <w:rPr>
          <w:rFonts w:ascii="David" w:hAnsi="David" w:cs="David"/>
          <w:sz w:val="24"/>
          <w:szCs w:val="24"/>
        </w:rPr>
      </w:pPr>
      <w:r w:rsidRPr="00700B8A">
        <w:rPr>
          <w:rFonts w:ascii="David" w:hAnsi="David" w:cs="David" w:hint="cs"/>
          <w:sz w:val="24"/>
          <w:szCs w:val="24"/>
          <w:rtl/>
        </w:rPr>
        <w:t xml:space="preserve">ניכר כי בטיעוניה ניסתה הוועדה המקומית לקלוע לנימוק השני, היינו: הערכה מחודשת של </w:t>
      </w:r>
      <w:r w:rsidR="007B7BB0" w:rsidRPr="00700B8A">
        <w:rPr>
          <w:rFonts w:ascii="David" w:hAnsi="David" w:cs="David" w:hint="eastAsia"/>
          <w:sz w:val="24"/>
          <w:szCs w:val="24"/>
          <w:rtl/>
        </w:rPr>
        <w:t>הנסיבות</w:t>
      </w:r>
      <w:r w:rsidR="007B7BB0" w:rsidRPr="00700B8A">
        <w:rPr>
          <w:rFonts w:ascii="David" w:hAnsi="David" w:cs="David"/>
          <w:sz w:val="24"/>
          <w:szCs w:val="24"/>
          <w:rtl/>
        </w:rPr>
        <w:t xml:space="preserve"> </w:t>
      </w:r>
      <w:r w:rsidR="007B7BB0" w:rsidRPr="00700B8A">
        <w:rPr>
          <w:rFonts w:ascii="David" w:hAnsi="David" w:cs="David" w:hint="eastAsia"/>
          <w:sz w:val="24"/>
          <w:szCs w:val="24"/>
          <w:rtl/>
        </w:rPr>
        <w:t>הקיימות</w:t>
      </w:r>
      <w:r w:rsidR="007B7BB0" w:rsidRPr="00700B8A">
        <w:rPr>
          <w:rFonts w:ascii="David" w:hAnsi="David" w:cs="David"/>
          <w:sz w:val="24"/>
          <w:szCs w:val="24"/>
          <w:rtl/>
        </w:rPr>
        <w:t xml:space="preserve"> </w:t>
      </w:r>
      <w:r w:rsidR="007B7BB0" w:rsidRPr="00700B8A">
        <w:rPr>
          <w:rFonts w:ascii="David" w:hAnsi="David" w:cs="David" w:hint="eastAsia"/>
          <w:sz w:val="24"/>
          <w:szCs w:val="24"/>
          <w:rtl/>
        </w:rPr>
        <w:t>מטעמים</w:t>
      </w:r>
      <w:r w:rsidR="007B7BB0" w:rsidRPr="00700B8A">
        <w:rPr>
          <w:rFonts w:ascii="David" w:hAnsi="David" w:cs="David"/>
          <w:sz w:val="24"/>
          <w:szCs w:val="24"/>
          <w:rtl/>
        </w:rPr>
        <w:t xml:space="preserve"> </w:t>
      </w:r>
      <w:r w:rsidR="007B7BB0" w:rsidRPr="00700B8A">
        <w:rPr>
          <w:rFonts w:ascii="David" w:hAnsi="David" w:cs="David" w:hint="eastAsia"/>
          <w:sz w:val="24"/>
          <w:szCs w:val="24"/>
          <w:rtl/>
        </w:rPr>
        <w:t>חשובים</w:t>
      </w:r>
      <w:r w:rsidR="007B7BB0" w:rsidRPr="00700B8A">
        <w:rPr>
          <w:rFonts w:ascii="David" w:hAnsi="David" w:cs="David"/>
          <w:sz w:val="24"/>
          <w:szCs w:val="24"/>
          <w:rtl/>
        </w:rPr>
        <w:t xml:space="preserve"> </w:t>
      </w:r>
      <w:r w:rsidR="007B7BB0" w:rsidRPr="00700B8A">
        <w:rPr>
          <w:rFonts w:ascii="David" w:hAnsi="David" w:cs="David" w:hint="eastAsia"/>
          <w:sz w:val="24"/>
          <w:szCs w:val="24"/>
          <w:rtl/>
        </w:rPr>
        <w:t>הנעוצים</w:t>
      </w:r>
      <w:r w:rsidR="007B7BB0" w:rsidRPr="00700B8A">
        <w:rPr>
          <w:rFonts w:ascii="David" w:hAnsi="David" w:cs="David"/>
          <w:sz w:val="24"/>
          <w:szCs w:val="24"/>
          <w:rtl/>
        </w:rPr>
        <w:t xml:space="preserve"> </w:t>
      </w:r>
      <w:r w:rsidR="007B7BB0" w:rsidRPr="00700B8A">
        <w:rPr>
          <w:rFonts w:ascii="David" w:hAnsi="David" w:cs="David" w:hint="eastAsia"/>
          <w:sz w:val="24"/>
          <w:szCs w:val="24"/>
          <w:rtl/>
        </w:rPr>
        <w:t>בטובת</w:t>
      </w:r>
      <w:r w:rsidR="007B7BB0" w:rsidRPr="00700B8A">
        <w:rPr>
          <w:rFonts w:ascii="David" w:hAnsi="David" w:cs="David"/>
          <w:sz w:val="24"/>
          <w:szCs w:val="24"/>
          <w:rtl/>
        </w:rPr>
        <w:t xml:space="preserve"> </w:t>
      </w:r>
      <w:r w:rsidR="007B7BB0" w:rsidRPr="00700B8A">
        <w:rPr>
          <w:rFonts w:ascii="David" w:hAnsi="David" w:cs="David" w:hint="eastAsia"/>
          <w:sz w:val="24"/>
          <w:szCs w:val="24"/>
          <w:rtl/>
        </w:rPr>
        <w:t>הציבור</w:t>
      </w:r>
      <w:r w:rsidRPr="00700B8A">
        <w:rPr>
          <w:rFonts w:ascii="David" w:hAnsi="David" w:cs="David" w:hint="cs"/>
          <w:sz w:val="24"/>
          <w:szCs w:val="24"/>
          <w:rtl/>
        </w:rPr>
        <w:t>.</w:t>
      </w:r>
    </w:p>
    <w:p w14:paraId="682BFC1D" w14:textId="0D815CBD" w:rsidR="009F1866" w:rsidRDefault="00690995" w:rsidP="00700B8A">
      <w:pPr>
        <w:pStyle w:val="af"/>
        <w:numPr>
          <w:ilvl w:val="0"/>
          <w:numId w:val="1"/>
        </w:numPr>
        <w:spacing w:line="360" w:lineRule="auto"/>
        <w:ind w:right="-142" w:hanging="601"/>
        <w:contextualSpacing w:val="0"/>
        <w:jc w:val="both"/>
        <w:rPr>
          <w:rFonts w:ascii="David" w:hAnsi="David" w:cs="David"/>
          <w:sz w:val="24"/>
          <w:szCs w:val="24"/>
        </w:rPr>
      </w:pPr>
      <w:r w:rsidRPr="00700B8A">
        <w:rPr>
          <w:rFonts w:ascii="David" w:hAnsi="David" w:cs="David" w:hint="cs"/>
          <w:sz w:val="24"/>
          <w:szCs w:val="24"/>
          <w:rtl/>
        </w:rPr>
        <w:lastRenderedPageBreak/>
        <w:t>אלא, שטעמים שכאלו לא הוצגו בפנינו, ובוודאי שלא ברמה שעשויה להצדיק את דחיית התוכנית המפורטת</w:t>
      </w:r>
      <w:r w:rsidR="00A07FB3">
        <w:rPr>
          <w:rFonts w:ascii="David" w:hAnsi="David" w:cs="David" w:hint="cs"/>
          <w:sz w:val="24"/>
          <w:szCs w:val="24"/>
          <w:rtl/>
        </w:rPr>
        <w:t>,</w:t>
      </w:r>
      <w:r w:rsidRPr="00700B8A">
        <w:rPr>
          <w:rFonts w:ascii="David" w:hAnsi="David" w:cs="David" w:hint="cs"/>
          <w:sz w:val="24"/>
          <w:szCs w:val="24"/>
          <w:rtl/>
        </w:rPr>
        <w:t xml:space="preserve"> לאחר שנים </w:t>
      </w:r>
      <w:r w:rsidR="00934545">
        <w:rPr>
          <w:rFonts w:ascii="David" w:hAnsi="David" w:cs="David" w:hint="cs"/>
          <w:sz w:val="24"/>
          <w:szCs w:val="24"/>
          <w:rtl/>
        </w:rPr>
        <w:t>רבות ש</w:t>
      </w:r>
      <w:r w:rsidRPr="00700B8A">
        <w:rPr>
          <w:rFonts w:ascii="David" w:hAnsi="David" w:cs="David" w:hint="cs"/>
          <w:sz w:val="24"/>
          <w:szCs w:val="24"/>
          <w:rtl/>
        </w:rPr>
        <w:t>בה</w:t>
      </w:r>
      <w:r w:rsidR="00934545">
        <w:rPr>
          <w:rFonts w:ascii="David" w:hAnsi="David" w:cs="David" w:hint="cs"/>
          <w:sz w:val="24"/>
          <w:szCs w:val="24"/>
          <w:rtl/>
        </w:rPr>
        <w:t>ן</w:t>
      </w:r>
      <w:r w:rsidRPr="00700B8A">
        <w:rPr>
          <w:rFonts w:ascii="David" w:hAnsi="David" w:cs="David" w:hint="cs"/>
          <w:sz w:val="24"/>
          <w:szCs w:val="24"/>
          <w:rtl/>
        </w:rPr>
        <w:t xml:space="preserve"> קודמה על ידי הצדדים. </w:t>
      </w:r>
      <w:r w:rsidR="009F1866">
        <w:rPr>
          <w:rFonts w:ascii="David" w:hAnsi="David" w:cs="David" w:hint="cs"/>
          <w:sz w:val="24"/>
          <w:szCs w:val="24"/>
          <w:rtl/>
        </w:rPr>
        <w:t>שני טיעונים מרכזיים הועלו</w:t>
      </w:r>
      <w:r w:rsidR="00EF3247">
        <w:rPr>
          <w:rFonts w:ascii="David" w:hAnsi="David" w:cs="David" w:hint="cs"/>
          <w:sz w:val="24"/>
          <w:szCs w:val="24"/>
          <w:rtl/>
        </w:rPr>
        <w:t xml:space="preserve"> בהקשר זה</w:t>
      </w:r>
      <w:r w:rsidR="009F1866">
        <w:rPr>
          <w:rFonts w:ascii="David" w:hAnsi="David" w:cs="David" w:hint="cs"/>
          <w:sz w:val="24"/>
          <w:szCs w:val="24"/>
          <w:rtl/>
        </w:rPr>
        <w:t xml:space="preserve"> בדיון</w:t>
      </w:r>
      <w:r w:rsidR="00EF3247">
        <w:rPr>
          <w:rFonts w:ascii="David" w:hAnsi="David" w:cs="David" w:hint="cs"/>
          <w:sz w:val="24"/>
          <w:szCs w:val="24"/>
          <w:rtl/>
        </w:rPr>
        <w:t xml:space="preserve"> בערר</w:t>
      </w:r>
      <w:r w:rsidR="009F1866">
        <w:rPr>
          <w:rFonts w:ascii="David" w:hAnsi="David" w:cs="David" w:hint="cs"/>
          <w:sz w:val="24"/>
          <w:szCs w:val="24"/>
          <w:rtl/>
        </w:rPr>
        <w:t xml:space="preserve">: האחד </w:t>
      </w:r>
      <w:r w:rsidR="009F1866">
        <w:rPr>
          <w:rFonts w:ascii="David" w:hAnsi="David" w:cs="David"/>
          <w:sz w:val="24"/>
          <w:szCs w:val="24"/>
          <w:rtl/>
        </w:rPr>
        <w:t>–</w:t>
      </w:r>
      <w:r w:rsidR="009F1866">
        <w:rPr>
          <w:rFonts w:ascii="David" w:hAnsi="David" w:cs="David" w:hint="cs"/>
          <w:sz w:val="24"/>
          <w:szCs w:val="24"/>
          <w:rtl/>
        </w:rPr>
        <w:t xml:space="preserve"> העדר תועלות ציבוריות מספיקות, והשני </w:t>
      </w:r>
      <w:r w:rsidR="009F1866">
        <w:rPr>
          <w:rFonts w:ascii="David" w:hAnsi="David" w:cs="David"/>
          <w:sz w:val="24"/>
          <w:szCs w:val="24"/>
          <w:rtl/>
        </w:rPr>
        <w:t>–</w:t>
      </w:r>
      <w:r w:rsidR="009F1866">
        <w:rPr>
          <w:rFonts w:ascii="David" w:hAnsi="David" w:cs="David" w:hint="cs"/>
          <w:sz w:val="24"/>
          <w:szCs w:val="24"/>
          <w:rtl/>
        </w:rPr>
        <w:t xml:space="preserve"> שינוי השלביות בדגש על בנייה במקביל של מבנה גני הילדים.</w:t>
      </w:r>
    </w:p>
    <w:p w14:paraId="7A73E555" w14:textId="77777777" w:rsidR="009F1866" w:rsidRDefault="009F1866" w:rsidP="00700B8A">
      <w:pPr>
        <w:pStyle w:val="af"/>
        <w:numPr>
          <w:ilvl w:val="0"/>
          <w:numId w:val="1"/>
        </w:numPr>
        <w:spacing w:line="360" w:lineRule="auto"/>
        <w:ind w:right="-142" w:hanging="601"/>
        <w:contextualSpacing w:val="0"/>
        <w:jc w:val="both"/>
        <w:rPr>
          <w:rFonts w:ascii="David" w:hAnsi="David" w:cs="David"/>
          <w:sz w:val="24"/>
          <w:szCs w:val="24"/>
        </w:rPr>
      </w:pPr>
      <w:r>
        <w:rPr>
          <w:rFonts w:ascii="David" w:hAnsi="David" w:cs="David" w:hint="cs"/>
          <w:sz w:val="24"/>
          <w:szCs w:val="24"/>
          <w:rtl/>
        </w:rPr>
        <w:t>ביחס להשאת זכויות העירייה, טעם חבר הוועדה המקומית שנכח בדיון, כי יש צורך לקחת "שמאי חיצוני" שיבחן שוב את התועלות הציבוריות לעירייה. כך נטען על ידי חברי ועדה מקומית אחרים גם בדיון החוזר שהתקיים במליאת הוועדה המקומית, אשר ביקשו למנות "שמאי מוסכם".</w:t>
      </w:r>
    </w:p>
    <w:p w14:paraId="389FB1AC" w14:textId="5AC73219" w:rsidR="00934545" w:rsidRPr="00934545" w:rsidRDefault="009F1866" w:rsidP="007B1D9C">
      <w:pPr>
        <w:pStyle w:val="af"/>
        <w:numPr>
          <w:ilvl w:val="0"/>
          <w:numId w:val="1"/>
        </w:numPr>
        <w:spacing w:line="360" w:lineRule="auto"/>
        <w:ind w:right="-142" w:hanging="601"/>
        <w:contextualSpacing w:val="0"/>
        <w:jc w:val="both"/>
        <w:rPr>
          <w:rFonts w:ascii="David" w:hAnsi="David" w:cs="David"/>
          <w:sz w:val="24"/>
          <w:szCs w:val="24"/>
          <w:rtl/>
        </w:rPr>
      </w:pPr>
      <w:r w:rsidRPr="00934545">
        <w:rPr>
          <w:rFonts w:ascii="David" w:hAnsi="David" w:cs="David" w:hint="cs"/>
          <w:sz w:val="24"/>
          <w:szCs w:val="24"/>
          <w:rtl/>
        </w:rPr>
        <w:t>יגענו ולא הצלחנו להבין, לשם מה נדרש מינוי של "שמאי חיצוני" או "שמאי מוסכם"? מי הם הצדדים המתחרים</w:t>
      </w:r>
      <w:r w:rsidR="00EF3247" w:rsidRPr="00934545">
        <w:rPr>
          <w:rFonts w:ascii="David" w:hAnsi="David" w:cs="David" w:hint="cs"/>
          <w:sz w:val="24"/>
          <w:szCs w:val="24"/>
          <w:rtl/>
        </w:rPr>
        <w:t>, כביכול,</w:t>
      </w:r>
      <w:r w:rsidRPr="00934545">
        <w:rPr>
          <w:rFonts w:ascii="David" w:hAnsi="David" w:cs="David" w:hint="cs"/>
          <w:sz w:val="24"/>
          <w:szCs w:val="24"/>
          <w:rtl/>
        </w:rPr>
        <w:t xml:space="preserve"> שנדרש למנות שמאי אובייקטיבי או </w:t>
      </w:r>
      <w:r w:rsidR="00EF3247" w:rsidRPr="00934545">
        <w:rPr>
          <w:rFonts w:ascii="David" w:hAnsi="David" w:cs="David" w:hint="cs"/>
          <w:sz w:val="24"/>
          <w:szCs w:val="24"/>
          <w:rtl/>
        </w:rPr>
        <w:t xml:space="preserve">שמאי </w:t>
      </w:r>
      <w:r w:rsidRPr="00934545">
        <w:rPr>
          <w:rFonts w:ascii="David" w:hAnsi="David" w:cs="David" w:hint="cs"/>
          <w:sz w:val="24"/>
          <w:szCs w:val="24"/>
          <w:rtl/>
        </w:rPr>
        <w:t xml:space="preserve">מוסכם על מנת להכריע במחלוקת ביניהם? </w:t>
      </w:r>
      <w:r w:rsidR="00934545" w:rsidRPr="00934545">
        <w:rPr>
          <w:rFonts w:ascii="David" w:hAnsi="David" w:cs="David" w:hint="cs"/>
          <w:sz w:val="24"/>
          <w:szCs w:val="24"/>
          <w:rtl/>
        </w:rPr>
        <w:t>אין, הרי, מחלוקת בין שמאי הוועדה המקומית לבין שמאי מטעם העוררת.</w:t>
      </w:r>
    </w:p>
    <w:p w14:paraId="2F0F4EEB" w14:textId="77777777" w:rsidR="00934545" w:rsidRDefault="009F1866" w:rsidP="00934545">
      <w:pPr>
        <w:pStyle w:val="af"/>
        <w:spacing w:line="360" w:lineRule="auto"/>
        <w:ind w:left="360" w:right="-142"/>
        <w:contextualSpacing w:val="0"/>
        <w:jc w:val="both"/>
        <w:rPr>
          <w:rFonts w:ascii="David" w:hAnsi="David" w:cs="David"/>
          <w:sz w:val="24"/>
          <w:szCs w:val="24"/>
          <w:rtl/>
        </w:rPr>
      </w:pPr>
      <w:r>
        <w:rPr>
          <w:rFonts w:ascii="David" w:hAnsi="David" w:cs="David" w:hint="cs"/>
          <w:sz w:val="24"/>
          <w:szCs w:val="24"/>
          <w:rtl/>
        </w:rPr>
        <w:t>שמאי הוועדה המקומית, המופקד אך ורק על אינטרס הוועדה המקומית והעירייה, הוא זה</w:t>
      </w:r>
      <w:r w:rsidR="00EF3247">
        <w:rPr>
          <w:rFonts w:ascii="David" w:hAnsi="David" w:cs="David" w:hint="cs"/>
          <w:sz w:val="24"/>
          <w:szCs w:val="24"/>
          <w:rtl/>
        </w:rPr>
        <w:t xml:space="preserve"> אשר </w:t>
      </w:r>
      <w:r>
        <w:rPr>
          <w:rFonts w:ascii="David" w:hAnsi="David" w:cs="David" w:hint="cs"/>
          <w:sz w:val="24"/>
          <w:szCs w:val="24"/>
          <w:rtl/>
        </w:rPr>
        <w:t>אישר את חלוקת התועלות בתוכנית</w:t>
      </w:r>
      <w:r w:rsidR="00EF3247">
        <w:rPr>
          <w:rFonts w:ascii="David" w:hAnsi="David" w:cs="David" w:hint="cs"/>
          <w:sz w:val="24"/>
          <w:szCs w:val="24"/>
          <w:rtl/>
        </w:rPr>
        <w:t xml:space="preserve"> המפורטת</w:t>
      </w:r>
      <w:r w:rsidR="007E0025">
        <w:rPr>
          <w:rFonts w:ascii="David" w:hAnsi="David" w:cs="David" w:hint="cs"/>
          <w:sz w:val="24"/>
          <w:szCs w:val="24"/>
          <w:rtl/>
        </w:rPr>
        <w:t xml:space="preserve">, ועל בסיס שומתו נחתם גם </w:t>
      </w:r>
      <w:r>
        <w:rPr>
          <w:rFonts w:ascii="David" w:hAnsi="David" w:cs="David" w:hint="cs"/>
          <w:sz w:val="24"/>
          <w:szCs w:val="24"/>
          <w:rtl/>
        </w:rPr>
        <w:t xml:space="preserve">הסכם העקרונות </w:t>
      </w:r>
      <w:r w:rsidR="007E0025">
        <w:rPr>
          <w:rFonts w:ascii="David" w:hAnsi="David" w:cs="David" w:hint="cs"/>
          <w:sz w:val="24"/>
          <w:szCs w:val="24"/>
          <w:rtl/>
        </w:rPr>
        <w:t xml:space="preserve">בין העירייה לעוררת. </w:t>
      </w:r>
    </w:p>
    <w:p w14:paraId="4B31F74C" w14:textId="27B2A5EE" w:rsidR="009F1866" w:rsidRDefault="00934545" w:rsidP="00934545">
      <w:pPr>
        <w:pStyle w:val="af"/>
        <w:spacing w:line="360" w:lineRule="auto"/>
        <w:ind w:left="360" w:right="-142"/>
        <w:contextualSpacing w:val="0"/>
        <w:jc w:val="both"/>
        <w:rPr>
          <w:rFonts w:ascii="David" w:hAnsi="David" w:cs="David"/>
          <w:sz w:val="24"/>
          <w:szCs w:val="24"/>
        </w:rPr>
      </w:pPr>
      <w:r>
        <w:rPr>
          <w:rFonts w:ascii="David" w:hAnsi="David" w:cs="David" w:hint="cs"/>
          <w:sz w:val="24"/>
          <w:szCs w:val="24"/>
          <w:rtl/>
        </w:rPr>
        <w:t xml:space="preserve">אין </w:t>
      </w:r>
      <w:r w:rsidR="00EF3247">
        <w:rPr>
          <w:rFonts w:ascii="David" w:hAnsi="David" w:cs="David" w:hint="cs"/>
          <w:sz w:val="24"/>
          <w:szCs w:val="24"/>
          <w:rtl/>
        </w:rPr>
        <w:t xml:space="preserve">ועדת ערר זו </w:t>
      </w:r>
      <w:r w:rsidR="009F1866">
        <w:rPr>
          <w:rFonts w:ascii="David" w:hAnsi="David" w:cs="David" w:hint="cs"/>
          <w:sz w:val="24"/>
          <w:szCs w:val="24"/>
          <w:rtl/>
        </w:rPr>
        <w:t>ממנה שמאים להכרעה במחלוק</w:t>
      </w:r>
      <w:r>
        <w:rPr>
          <w:rFonts w:ascii="David" w:hAnsi="David" w:cs="David" w:hint="cs"/>
          <w:sz w:val="24"/>
          <w:szCs w:val="24"/>
          <w:rtl/>
        </w:rPr>
        <w:t>ו</w:t>
      </w:r>
      <w:r w:rsidR="009F1866">
        <w:rPr>
          <w:rFonts w:ascii="David" w:hAnsi="David" w:cs="David" w:hint="cs"/>
          <w:sz w:val="24"/>
          <w:szCs w:val="24"/>
          <w:rtl/>
        </w:rPr>
        <w:t xml:space="preserve">ת </w:t>
      </w:r>
      <w:r>
        <w:rPr>
          <w:rFonts w:ascii="David" w:hAnsi="David" w:cs="David" w:hint="cs"/>
          <w:sz w:val="24"/>
          <w:szCs w:val="24"/>
          <w:rtl/>
        </w:rPr>
        <w:t xml:space="preserve">הנטושות </w:t>
      </w:r>
      <w:r w:rsidR="009F1866">
        <w:rPr>
          <w:rFonts w:ascii="David" w:hAnsi="David" w:cs="David" w:hint="cs"/>
          <w:sz w:val="24"/>
          <w:szCs w:val="24"/>
          <w:rtl/>
        </w:rPr>
        <w:t xml:space="preserve">בין חברי </w:t>
      </w:r>
      <w:r>
        <w:rPr>
          <w:rFonts w:ascii="David" w:hAnsi="David" w:cs="David" w:hint="cs"/>
          <w:sz w:val="24"/>
          <w:szCs w:val="24"/>
          <w:rtl/>
        </w:rPr>
        <w:t>הו</w:t>
      </w:r>
      <w:r w:rsidR="009F1866">
        <w:rPr>
          <w:rFonts w:ascii="David" w:hAnsi="David" w:cs="David" w:hint="cs"/>
          <w:sz w:val="24"/>
          <w:szCs w:val="24"/>
          <w:rtl/>
        </w:rPr>
        <w:t xml:space="preserve">ועדה </w:t>
      </w:r>
      <w:r>
        <w:rPr>
          <w:rFonts w:ascii="David" w:hAnsi="David" w:cs="David" w:hint="cs"/>
          <w:sz w:val="24"/>
          <w:szCs w:val="24"/>
          <w:rtl/>
        </w:rPr>
        <w:t>ה</w:t>
      </w:r>
      <w:r w:rsidR="009F1866">
        <w:rPr>
          <w:rFonts w:ascii="David" w:hAnsi="David" w:cs="David" w:hint="cs"/>
          <w:sz w:val="24"/>
          <w:szCs w:val="24"/>
          <w:rtl/>
        </w:rPr>
        <w:t>מקומית.</w:t>
      </w:r>
      <w:r>
        <w:rPr>
          <w:rFonts w:ascii="David" w:hAnsi="David" w:cs="David" w:hint="cs"/>
          <w:sz w:val="24"/>
          <w:szCs w:val="24"/>
          <w:rtl/>
        </w:rPr>
        <w:t xml:space="preserve"> </w:t>
      </w:r>
    </w:p>
    <w:p w14:paraId="56E8FD8B" w14:textId="2B11BC6F" w:rsidR="009F1866" w:rsidRDefault="009F1866" w:rsidP="009F1866">
      <w:pPr>
        <w:pStyle w:val="af"/>
        <w:numPr>
          <w:ilvl w:val="0"/>
          <w:numId w:val="1"/>
        </w:numPr>
        <w:spacing w:line="360" w:lineRule="auto"/>
        <w:ind w:right="-142" w:hanging="601"/>
        <w:contextualSpacing w:val="0"/>
        <w:jc w:val="both"/>
        <w:rPr>
          <w:rFonts w:ascii="David" w:hAnsi="David" w:cs="David"/>
          <w:sz w:val="24"/>
          <w:szCs w:val="24"/>
        </w:rPr>
      </w:pPr>
      <w:r>
        <w:rPr>
          <w:rFonts w:ascii="David" w:hAnsi="David" w:cs="David" w:hint="cs"/>
          <w:sz w:val="24"/>
          <w:szCs w:val="24"/>
          <w:rtl/>
        </w:rPr>
        <w:t>יתר על כן, שינוי</w:t>
      </w:r>
      <w:r w:rsidR="00EF3247">
        <w:rPr>
          <w:rFonts w:ascii="David" w:hAnsi="David" w:cs="David" w:hint="cs"/>
          <w:sz w:val="24"/>
          <w:szCs w:val="24"/>
          <w:rtl/>
        </w:rPr>
        <w:t xml:space="preserve"> </w:t>
      </w:r>
      <w:r>
        <w:rPr>
          <w:rFonts w:ascii="David" w:hAnsi="David" w:cs="David" w:hint="cs"/>
          <w:sz w:val="24"/>
          <w:szCs w:val="24"/>
          <w:rtl/>
        </w:rPr>
        <w:t xml:space="preserve">החלטה עקב </w:t>
      </w:r>
      <w:r w:rsidRPr="00700B8A">
        <w:rPr>
          <w:rFonts w:ascii="David" w:hAnsi="David" w:cs="David" w:hint="cs"/>
          <w:sz w:val="24"/>
          <w:szCs w:val="24"/>
          <w:rtl/>
        </w:rPr>
        <w:t xml:space="preserve">הערכה מחודשת של </w:t>
      </w:r>
      <w:r w:rsidRPr="00700B8A">
        <w:rPr>
          <w:rFonts w:ascii="David" w:hAnsi="David" w:cs="David" w:hint="eastAsia"/>
          <w:sz w:val="24"/>
          <w:szCs w:val="24"/>
          <w:rtl/>
        </w:rPr>
        <w:t>הנסיבות</w:t>
      </w:r>
      <w:r w:rsidRPr="00700B8A">
        <w:rPr>
          <w:rFonts w:ascii="David" w:hAnsi="David" w:cs="David"/>
          <w:sz w:val="24"/>
          <w:szCs w:val="24"/>
          <w:rtl/>
        </w:rPr>
        <w:t xml:space="preserve"> </w:t>
      </w:r>
      <w:r w:rsidRPr="00700B8A">
        <w:rPr>
          <w:rFonts w:ascii="David" w:hAnsi="David" w:cs="David" w:hint="eastAsia"/>
          <w:sz w:val="24"/>
          <w:szCs w:val="24"/>
          <w:rtl/>
        </w:rPr>
        <w:t>הקיימות</w:t>
      </w:r>
      <w:r w:rsidR="00934545">
        <w:rPr>
          <w:rFonts w:ascii="David" w:hAnsi="David" w:cs="David" w:hint="cs"/>
          <w:sz w:val="24"/>
          <w:szCs w:val="24"/>
          <w:rtl/>
        </w:rPr>
        <w:t>,</w:t>
      </w:r>
      <w:r w:rsidRPr="00700B8A">
        <w:rPr>
          <w:rFonts w:ascii="David" w:hAnsi="David" w:cs="David"/>
          <w:sz w:val="24"/>
          <w:szCs w:val="24"/>
          <w:rtl/>
        </w:rPr>
        <w:t xml:space="preserve"> </w:t>
      </w:r>
      <w:r w:rsidRPr="00700B8A">
        <w:rPr>
          <w:rFonts w:ascii="David" w:hAnsi="David" w:cs="David" w:hint="eastAsia"/>
          <w:sz w:val="24"/>
          <w:szCs w:val="24"/>
          <w:rtl/>
        </w:rPr>
        <w:t>מטעמים</w:t>
      </w:r>
      <w:r w:rsidRPr="00700B8A">
        <w:rPr>
          <w:rFonts w:ascii="David" w:hAnsi="David" w:cs="David"/>
          <w:sz w:val="24"/>
          <w:szCs w:val="24"/>
          <w:rtl/>
        </w:rPr>
        <w:t xml:space="preserve"> </w:t>
      </w:r>
      <w:r w:rsidRPr="00700B8A">
        <w:rPr>
          <w:rFonts w:ascii="David" w:hAnsi="David" w:cs="David" w:hint="eastAsia"/>
          <w:sz w:val="24"/>
          <w:szCs w:val="24"/>
          <w:rtl/>
        </w:rPr>
        <w:t>חשובים</w:t>
      </w:r>
      <w:r w:rsidRPr="00700B8A">
        <w:rPr>
          <w:rFonts w:ascii="David" w:hAnsi="David" w:cs="David"/>
          <w:sz w:val="24"/>
          <w:szCs w:val="24"/>
          <w:rtl/>
        </w:rPr>
        <w:t xml:space="preserve"> </w:t>
      </w:r>
      <w:r w:rsidRPr="00700B8A">
        <w:rPr>
          <w:rFonts w:ascii="David" w:hAnsi="David" w:cs="David" w:hint="eastAsia"/>
          <w:sz w:val="24"/>
          <w:szCs w:val="24"/>
          <w:rtl/>
        </w:rPr>
        <w:t>הנעוצים</w:t>
      </w:r>
      <w:r w:rsidRPr="00700B8A">
        <w:rPr>
          <w:rFonts w:ascii="David" w:hAnsi="David" w:cs="David"/>
          <w:sz w:val="24"/>
          <w:szCs w:val="24"/>
          <w:rtl/>
        </w:rPr>
        <w:t xml:space="preserve"> </w:t>
      </w:r>
      <w:r w:rsidRPr="00700B8A">
        <w:rPr>
          <w:rFonts w:ascii="David" w:hAnsi="David" w:cs="David" w:hint="eastAsia"/>
          <w:sz w:val="24"/>
          <w:szCs w:val="24"/>
          <w:rtl/>
        </w:rPr>
        <w:t>בטובת</w:t>
      </w:r>
      <w:r w:rsidRPr="00700B8A">
        <w:rPr>
          <w:rFonts w:ascii="David" w:hAnsi="David" w:cs="David"/>
          <w:sz w:val="24"/>
          <w:szCs w:val="24"/>
          <w:rtl/>
        </w:rPr>
        <w:t xml:space="preserve"> </w:t>
      </w:r>
      <w:r w:rsidRPr="00700B8A">
        <w:rPr>
          <w:rFonts w:ascii="David" w:hAnsi="David" w:cs="David" w:hint="eastAsia"/>
          <w:sz w:val="24"/>
          <w:szCs w:val="24"/>
          <w:rtl/>
        </w:rPr>
        <w:t>הציבור</w:t>
      </w:r>
      <w:r w:rsidR="00934545">
        <w:rPr>
          <w:rFonts w:ascii="David" w:hAnsi="David" w:cs="David" w:hint="cs"/>
          <w:sz w:val="24"/>
          <w:szCs w:val="24"/>
          <w:rtl/>
        </w:rPr>
        <w:t>,</w:t>
      </w:r>
      <w:r w:rsidR="00EF3247">
        <w:rPr>
          <w:rFonts w:ascii="David" w:hAnsi="David" w:cs="David" w:hint="cs"/>
          <w:sz w:val="24"/>
          <w:szCs w:val="24"/>
          <w:rtl/>
        </w:rPr>
        <w:t xml:space="preserve"> מבוסס על כך שטעמים כאמור כבר הוכחו. לא ניתן להצדיק, באמצעות טענה זו, יציאה למסע דייג ובחינה מחודשת של החלטות קודמות ללא שמץ של ראיה לפגם שנפל בהן. כך טען חבר הוועדה</w:t>
      </w:r>
      <w:r w:rsidR="0066447E">
        <w:rPr>
          <w:rFonts w:ascii="David" w:hAnsi="David" w:cs="David" w:hint="cs"/>
          <w:sz w:val="24"/>
          <w:szCs w:val="24"/>
          <w:rtl/>
        </w:rPr>
        <w:t xml:space="preserve"> המקומית</w:t>
      </w:r>
      <w:r w:rsidR="00EF3247">
        <w:rPr>
          <w:rFonts w:ascii="David" w:hAnsi="David" w:cs="David" w:hint="cs"/>
          <w:sz w:val="24"/>
          <w:szCs w:val="24"/>
          <w:rtl/>
        </w:rPr>
        <w:t xml:space="preserve"> בעמ' 18 לפרוטוקול הדיון בוועדת הערר:</w:t>
      </w:r>
    </w:p>
    <w:p w14:paraId="43539CA8" w14:textId="77777777" w:rsidR="00EF3247" w:rsidRPr="00EF3247" w:rsidRDefault="00EF3247" w:rsidP="00EF3247">
      <w:pPr>
        <w:pStyle w:val="af"/>
        <w:spacing w:after="240" w:line="240" w:lineRule="auto"/>
        <w:ind w:left="1319" w:right="993"/>
        <w:contextualSpacing w:val="0"/>
        <w:jc w:val="both"/>
        <w:rPr>
          <w:rFonts w:ascii="FrankRuehl" w:hAnsi="FrankRuehl" w:cs="FrankRuehl"/>
          <w:sz w:val="24"/>
          <w:szCs w:val="24"/>
        </w:rPr>
      </w:pPr>
      <w:r>
        <w:rPr>
          <w:rFonts w:ascii="FrankRuehl" w:hAnsi="FrankRuehl" w:cs="FrankRuehl" w:hint="cs"/>
          <w:sz w:val="24"/>
          <w:szCs w:val="24"/>
          <w:rtl/>
        </w:rPr>
        <w:t>"</w:t>
      </w:r>
      <w:r w:rsidRPr="00EF3247">
        <w:rPr>
          <w:rFonts w:ascii="FrankRuehl" w:hAnsi="FrankRuehl" w:cs="FrankRuehl" w:hint="cs"/>
          <w:sz w:val="24"/>
          <w:szCs w:val="24"/>
          <w:rtl/>
        </w:rPr>
        <w:t>לשאלת היו"ר אם הייתה לי חוות דעת שמאית מראה ששמאי הוועדה טעה כשאישר את התכנית המפורטת אני משיב שאמנם איני שמאי מקרקעין, אבל קראתי את מה שכתב שמאי הוועדה המקומית ואני סבור שהוא שגה. מאחר ואני קצת מבין בנדל"ן, מה כותב השמאי שזכויות העירייה אינן נפגעות</w:t>
      </w:r>
      <w:r>
        <w:rPr>
          <w:rFonts w:ascii="FrankRuehl" w:hAnsi="FrankRuehl" w:cs="FrankRuehl" w:hint="cs"/>
          <w:sz w:val="24"/>
          <w:szCs w:val="24"/>
          <w:rtl/>
        </w:rPr>
        <w:t>."</w:t>
      </w:r>
    </w:p>
    <w:p w14:paraId="79ADA6BB" w14:textId="6FF78BF6" w:rsidR="00EF3247" w:rsidRDefault="00EF3247" w:rsidP="00EF3247">
      <w:pPr>
        <w:pStyle w:val="af"/>
        <w:numPr>
          <w:ilvl w:val="0"/>
          <w:numId w:val="1"/>
        </w:numPr>
        <w:spacing w:line="360" w:lineRule="auto"/>
        <w:ind w:left="470" w:right="-142" w:hanging="425"/>
        <w:contextualSpacing w:val="0"/>
        <w:jc w:val="both"/>
        <w:rPr>
          <w:rFonts w:cs="David"/>
          <w:sz w:val="24"/>
          <w:szCs w:val="24"/>
        </w:rPr>
      </w:pPr>
      <w:r>
        <w:rPr>
          <w:rFonts w:ascii="David" w:hAnsi="David" w:cs="David" w:hint="cs"/>
          <w:sz w:val="24"/>
          <w:szCs w:val="24"/>
          <w:rtl/>
        </w:rPr>
        <w:t xml:space="preserve">תחושת בטן של חבר ועדה מקומית, בקי ומנוסה בתחום הנדל"ן ככל שיהיה - אך כזה שאינו שמאי מקרקעין - אינה יכולה להספיק לצורך פסילת חוות דעת שמאי הוועדה המקומית </w:t>
      </w:r>
      <w:r w:rsidR="00934545">
        <w:rPr>
          <w:rFonts w:ascii="David" w:hAnsi="David" w:cs="David"/>
          <w:sz w:val="24"/>
          <w:szCs w:val="24"/>
          <w:rtl/>
        </w:rPr>
        <w:t>–</w:t>
      </w:r>
      <w:r w:rsidR="00934545">
        <w:rPr>
          <w:rFonts w:ascii="David" w:hAnsi="David" w:cs="David" w:hint="cs"/>
          <w:sz w:val="24"/>
          <w:szCs w:val="24"/>
          <w:rtl/>
        </w:rPr>
        <w:t xml:space="preserve"> חוות דעת שעליה התבססו </w:t>
      </w:r>
      <w:r>
        <w:rPr>
          <w:rFonts w:ascii="David" w:hAnsi="David" w:cs="David" w:hint="cs"/>
          <w:sz w:val="24"/>
          <w:szCs w:val="24"/>
          <w:rtl/>
        </w:rPr>
        <w:t>החלטת ה</w:t>
      </w:r>
      <w:r w:rsidR="007E0025">
        <w:rPr>
          <w:rFonts w:ascii="David" w:hAnsi="David" w:cs="David" w:hint="cs"/>
          <w:sz w:val="24"/>
          <w:szCs w:val="24"/>
          <w:rtl/>
        </w:rPr>
        <w:t>וועדה המקומית בעבר</w:t>
      </w:r>
      <w:r w:rsidR="00934545">
        <w:rPr>
          <w:rFonts w:ascii="David" w:hAnsi="David" w:cs="David" w:hint="cs"/>
          <w:sz w:val="24"/>
          <w:szCs w:val="24"/>
          <w:rtl/>
        </w:rPr>
        <w:t>,</w:t>
      </w:r>
      <w:r w:rsidR="007E0025">
        <w:rPr>
          <w:rFonts w:ascii="David" w:hAnsi="David" w:cs="David" w:hint="cs"/>
          <w:sz w:val="24"/>
          <w:szCs w:val="24"/>
          <w:rtl/>
        </w:rPr>
        <w:t xml:space="preserve"> </w:t>
      </w:r>
      <w:r>
        <w:rPr>
          <w:rFonts w:ascii="David" w:hAnsi="David" w:cs="David" w:hint="cs"/>
          <w:sz w:val="24"/>
          <w:szCs w:val="24"/>
          <w:rtl/>
        </w:rPr>
        <w:t xml:space="preserve">הסכם העקרונות </w:t>
      </w:r>
      <w:r w:rsidR="00934545">
        <w:rPr>
          <w:rFonts w:ascii="David" w:hAnsi="David" w:cs="David" w:hint="cs"/>
          <w:sz w:val="24"/>
          <w:szCs w:val="24"/>
          <w:rtl/>
        </w:rPr>
        <w:t>ו</w:t>
      </w:r>
      <w:r w:rsidR="007E0025">
        <w:rPr>
          <w:rFonts w:ascii="David" w:hAnsi="David" w:cs="David" w:hint="cs"/>
          <w:sz w:val="24"/>
          <w:szCs w:val="24"/>
          <w:rtl/>
        </w:rPr>
        <w:t>החלטת ועדת המשנה</w:t>
      </w:r>
      <w:r>
        <w:rPr>
          <w:rFonts w:ascii="David" w:hAnsi="David" w:cs="David" w:hint="cs"/>
          <w:sz w:val="24"/>
          <w:szCs w:val="24"/>
          <w:rtl/>
        </w:rPr>
        <w:t>.</w:t>
      </w:r>
    </w:p>
    <w:p w14:paraId="15E23BA3" w14:textId="486D47A8" w:rsidR="00EF3247" w:rsidRPr="00CC37ED" w:rsidRDefault="00EF3247" w:rsidP="00EF3247">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גם הטענה לפגיעה שתיגרם כתוצאה משינוי השלביות לא הוכחה. ההיפך הוא הנכון, הוועדה המקומית עצמה הודתה בדיון, כי שינוי השלביות נעשה לבקשת הצוות המקצועי</w:t>
      </w:r>
      <w:r w:rsidR="00934545">
        <w:rPr>
          <w:rFonts w:cs="David" w:hint="cs"/>
          <w:sz w:val="24"/>
          <w:szCs w:val="24"/>
          <w:rtl/>
        </w:rPr>
        <w:t>,</w:t>
      </w:r>
      <w:r>
        <w:rPr>
          <w:rFonts w:cs="David" w:hint="cs"/>
          <w:sz w:val="24"/>
          <w:szCs w:val="24"/>
          <w:rtl/>
        </w:rPr>
        <w:t xml:space="preserve"> על מנת שלא יבוצעו עבודות בנייה בסמיכות לגני ילדים פעילים. לא </w:t>
      </w:r>
      <w:r w:rsidR="00934545">
        <w:rPr>
          <w:rFonts w:cs="David" w:hint="cs"/>
          <w:sz w:val="24"/>
          <w:szCs w:val="24"/>
          <w:rtl/>
        </w:rPr>
        <w:t>הובהר בפנינו</w:t>
      </w:r>
      <w:r>
        <w:rPr>
          <w:rFonts w:cs="David" w:hint="cs"/>
          <w:sz w:val="24"/>
          <w:szCs w:val="24"/>
          <w:rtl/>
        </w:rPr>
        <w:t xml:space="preserve"> מדוע </w:t>
      </w:r>
      <w:r w:rsidR="004F5515">
        <w:rPr>
          <w:rFonts w:cs="David" w:hint="cs"/>
          <w:sz w:val="24"/>
          <w:szCs w:val="24"/>
          <w:rtl/>
        </w:rPr>
        <w:t>ביצוע העבודות במקביל יסב הוצאות יתרות ל</w:t>
      </w:r>
      <w:r w:rsidR="007E0025">
        <w:rPr>
          <w:rFonts w:cs="David" w:hint="cs"/>
          <w:sz w:val="24"/>
          <w:szCs w:val="24"/>
          <w:rtl/>
        </w:rPr>
        <w:t xml:space="preserve">עירייה </w:t>
      </w:r>
      <w:r w:rsidR="004F5515">
        <w:rPr>
          <w:rFonts w:cs="David" w:hint="cs"/>
          <w:sz w:val="24"/>
          <w:szCs w:val="24"/>
          <w:rtl/>
        </w:rPr>
        <w:t>לעומת ביצוען "בטוּר", וממילא איננו סבורים כי עניין זה, ביחס לגודל הפרויקט, מצדיק את ביטול החלטת ועד</w:t>
      </w:r>
      <w:r w:rsidR="00934545">
        <w:rPr>
          <w:rFonts w:cs="David" w:hint="cs"/>
          <w:sz w:val="24"/>
          <w:szCs w:val="24"/>
          <w:rtl/>
        </w:rPr>
        <w:t>ת</w:t>
      </w:r>
      <w:r w:rsidR="004F5515">
        <w:rPr>
          <w:rFonts w:cs="David" w:hint="cs"/>
          <w:sz w:val="24"/>
          <w:szCs w:val="24"/>
          <w:rtl/>
        </w:rPr>
        <w:t xml:space="preserve"> המ</w:t>
      </w:r>
      <w:r w:rsidR="00626ED4">
        <w:rPr>
          <w:rFonts w:cs="David" w:hint="cs"/>
          <w:sz w:val="24"/>
          <w:szCs w:val="24"/>
          <w:rtl/>
        </w:rPr>
        <w:t>שנה</w:t>
      </w:r>
      <w:r w:rsidR="004F5515">
        <w:rPr>
          <w:rFonts w:cs="David" w:hint="cs"/>
          <w:sz w:val="24"/>
          <w:szCs w:val="24"/>
          <w:rtl/>
        </w:rPr>
        <w:t xml:space="preserve">. </w:t>
      </w:r>
    </w:p>
    <w:p w14:paraId="23169EAE" w14:textId="77777777" w:rsidR="00EF3247" w:rsidRPr="00EF3247" w:rsidRDefault="00EF3247" w:rsidP="00700B8A">
      <w:pPr>
        <w:pStyle w:val="af"/>
        <w:numPr>
          <w:ilvl w:val="0"/>
          <w:numId w:val="1"/>
        </w:numPr>
        <w:spacing w:line="360" w:lineRule="auto"/>
        <w:ind w:right="-142" w:hanging="601"/>
        <w:contextualSpacing w:val="0"/>
        <w:jc w:val="both"/>
        <w:rPr>
          <w:rFonts w:cs="David"/>
          <w:sz w:val="24"/>
          <w:szCs w:val="24"/>
        </w:rPr>
      </w:pPr>
      <w:r>
        <w:rPr>
          <w:rFonts w:cs="David" w:hint="cs"/>
          <w:sz w:val="24"/>
          <w:szCs w:val="24"/>
          <w:rtl/>
        </w:rPr>
        <w:t>בנסיבות אלו לא קמה כל סיבה לעיון חוזר בהחלטת ועדת המשנה, שהיא גם החלטת הוועדה המקומית בעבר, תוך פגיעה בהסתמכות העוררת ובעלי הזכויות והארכת הליך התכנון שלא לצורך.</w:t>
      </w:r>
    </w:p>
    <w:p w14:paraId="35D2311C" w14:textId="439333BD" w:rsidR="004F5515" w:rsidRDefault="004F5515" w:rsidP="004F5515">
      <w:pPr>
        <w:spacing w:line="360" w:lineRule="auto"/>
        <w:ind w:left="-241" w:right="-142"/>
        <w:jc w:val="both"/>
        <w:rPr>
          <w:rFonts w:cs="David"/>
          <w:sz w:val="24"/>
          <w:szCs w:val="24"/>
          <w:rtl/>
        </w:rPr>
      </w:pPr>
    </w:p>
    <w:p w14:paraId="01349FCC" w14:textId="77777777" w:rsidR="00074254" w:rsidRDefault="00074254" w:rsidP="004F5515">
      <w:pPr>
        <w:spacing w:line="360" w:lineRule="auto"/>
        <w:ind w:left="-241" w:right="-142"/>
        <w:jc w:val="both"/>
        <w:rPr>
          <w:rFonts w:cs="David"/>
          <w:sz w:val="24"/>
          <w:szCs w:val="24"/>
          <w:rtl/>
        </w:rPr>
      </w:pPr>
    </w:p>
    <w:p w14:paraId="5BB2C5FA" w14:textId="77777777" w:rsidR="004F5515" w:rsidRPr="004F5515" w:rsidRDefault="004F5515" w:rsidP="004F5515">
      <w:pPr>
        <w:spacing w:line="360" w:lineRule="auto"/>
        <w:ind w:left="-241" w:right="-142"/>
        <w:jc w:val="both"/>
        <w:rPr>
          <w:rFonts w:cs="David"/>
          <w:sz w:val="24"/>
          <w:szCs w:val="24"/>
          <w:u w:val="single"/>
        </w:rPr>
      </w:pPr>
      <w:r w:rsidRPr="004F5515">
        <w:rPr>
          <w:rFonts w:cs="David" w:hint="cs"/>
          <w:sz w:val="24"/>
          <w:szCs w:val="24"/>
          <w:u w:val="single"/>
          <w:rtl/>
        </w:rPr>
        <w:lastRenderedPageBreak/>
        <w:t>התייחסות לטענות נוספות של הוועדה המקומית</w:t>
      </w:r>
    </w:p>
    <w:p w14:paraId="7461FA9C" w14:textId="77777777" w:rsidR="00EF3247" w:rsidRPr="00EF3247" w:rsidRDefault="004F5515" w:rsidP="00700B8A">
      <w:pPr>
        <w:pStyle w:val="af"/>
        <w:numPr>
          <w:ilvl w:val="0"/>
          <w:numId w:val="1"/>
        </w:numPr>
        <w:spacing w:line="360" w:lineRule="auto"/>
        <w:ind w:right="-142" w:hanging="601"/>
        <w:contextualSpacing w:val="0"/>
        <w:jc w:val="both"/>
        <w:rPr>
          <w:rFonts w:cs="David"/>
          <w:sz w:val="24"/>
          <w:szCs w:val="24"/>
        </w:rPr>
      </w:pPr>
      <w:r>
        <w:rPr>
          <w:rFonts w:cs="David" w:hint="cs"/>
          <w:sz w:val="24"/>
          <w:szCs w:val="24"/>
          <w:rtl/>
        </w:rPr>
        <w:t>טענה נוספת של הוועדה המקומית הייתה, כי אין להשוות בין שיקול דעת הוועדה המקומית כגורם ממליץ לוועדה המחוזית לשיקול דעת הוועדה המקומית כגורם מחליט בתוכנית שבסמכותה.</w:t>
      </w:r>
    </w:p>
    <w:p w14:paraId="6DD81700" w14:textId="176A9237" w:rsidR="00153A83" w:rsidRPr="005C7AB5" w:rsidRDefault="005C7AB5" w:rsidP="00700B8A">
      <w:pPr>
        <w:pStyle w:val="af"/>
        <w:numPr>
          <w:ilvl w:val="0"/>
          <w:numId w:val="1"/>
        </w:numPr>
        <w:spacing w:line="360" w:lineRule="auto"/>
        <w:ind w:right="-142" w:hanging="601"/>
        <w:contextualSpacing w:val="0"/>
        <w:jc w:val="both"/>
        <w:rPr>
          <w:rFonts w:cs="David"/>
          <w:sz w:val="24"/>
          <w:szCs w:val="24"/>
        </w:rPr>
      </w:pPr>
      <w:r w:rsidRPr="00700B8A">
        <w:rPr>
          <w:rFonts w:ascii="David" w:hAnsi="David" w:cs="David" w:hint="cs"/>
          <w:sz w:val="24"/>
          <w:szCs w:val="24"/>
          <w:rtl/>
        </w:rPr>
        <w:t>אכן, עם הסמכות מגיעה גם האחריות. אולם, לא השתכנענו, כי האחריות החלה על ועדה מקומית</w:t>
      </w:r>
      <w:r w:rsidR="004F5515">
        <w:rPr>
          <w:rFonts w:ascii="David" w:hAnsi="David" w:cs="David" w:hint="cs"/>
          <w:sz w:val="24"/>
          <w:szCs w:val="24"/>
          <w:rtl/>
        </w:rPr>
        <w:t xml:space="preserve">, </w:t>
      </w:r>
      <w:r w:rsidRPr="00700B8A">
        <w:rPr>
          <w:rFonts w:ascii="David" w:hAnsi="David" w:cs="David" w:hint="cs"/>
          <w:sz w:val="24"/>
          <w:szCs w:val="24"/>
          <w:rtl/>
        </w:rPr>
        <w:t>כאשר ערכאה תכנונית בכירה יותר נדרשת לאותו עניין</w:t>
      </w:r>
      <w:r w:rsidR="004F5515">
        <w:rPr>
          <w:rFonts w:ascii="David" w:hAnsi="David" w:cs="David" w:hint="cs"/>
          <w:sz w:val="24"/>
          <w:szCs w:val="24"/>
          <w:rtl/>
        </w:rPr>
        <w:t>,</w:t>
      </w:r>
      <w:r w:rsidRPr="00700B8A">
        <w:rPr>
          <w:rFonts w:ascii="David" w:hAnsi="David" w:cs="David" w:hint="cs"/>
          <w:sz w:val="24"/>
          <w:szCs w:val="24"/>
          <w:rtl/>
        </w:rPr>
        <w:t xml:space="preserve"> היא פ</w:t>
      </w:r>
      <w:r w:rsidR="00934545">
        <w:rPr>
          <w:rFonts w:ascii="David" w:hAnsi="David" w:cs="David" w:hint="cs"/>
          <w:sz w:val="24"/>
          <w:szCs w:val="24"/>
          <w:rtl/>
        </w:rPr>
        <w:t>ְּ</w:t>
      </w:r>
      <w:r w:rsidRPr="00700B8A">
        <w:rPr>
          <w:rFonts w:ascii="David" w:hAnsi="David" w:cs="David" w:hint="cs"/>
          <w:sz w:val="24"/>
          <w:szCs w:val="24"/>
          <w:rtl/>
        </w:rPr>
        <w:t>חו</w:t>
      </w:r>
      <w:r w:rsidR="00934545">
        <w:rPr>
          <w:rFonts w:ascii="David" w:hAnsi="David" w:cs="David" w:hint="cs"/>
          <w:sz w:val="24"/>
          <w:szCs w:val="24"/>
          <w:rtl/>
        </w:rPr>
        <w:t>ּ</w:t>
      </w:r>
      <w:r w:rsidRPr="00700B8A">
        <w:rPr>
          <w:rFonts w:ascii="David" w:hAnsi="David" w:cs="David" w:hint="cs"/>
          <w:sz w:val="24"/>
          <w:szCs w:val="24"/>
          <w:rtl/>
        </w:rPr>
        <w:t xml:space="preserve">תה. במילים אחרות, </w:t>
      </w:r>
      <w:r w:rsidR="00153A83" w:rsidRPr="00700B8A">
        <w:rPr>
          <w:rFonts w:ascii="David" w:hAnsi="David" w:cs="David" w:hint="cs"/>
          <w:sz w:val="24"/>
          <w:szCs w:val="24"/>
          <w:rtl/>
        </w:rPr>
        <w:t>איננו מקבלים את טענת הוועדה המקומית</w:t>
      </w:r>
      <w:r w:rsidR="00153A83" w:rsidRPr="005C7AB5">
        <w:rPr>
          <w:rFonts w:cs="David" w:hint="cs"/>
          <w:sz w:val="24"/>
          <w:szCs w:val="24"/>
          <w:rtl/>
        </w:rPr>
        <w:t xml:space="preserve">, כי יש להבחין בין שיקול הדעת שמפעילה ועדה מקומית טרם החלטתה להמליץ לוועדה המחוזית על הפקדת </w:t>
      </w:r>
      <w:proofErr w:type="spellStart"/>
      <w:r w:rsidR="00153A83" w:rsidRPr="005C7AB5">
        <w:rPr>
          <w:rFonts w:cs="David" w:hint="cs"/>
          <w:sz w:val="24"/>
          <w:szCs w:val="24"/>
          <w:rtl/>
        </w:rPr>
        <w:t>תוכנית</w:t>
      </w:r>
      <w:proofErr w:type="spellEnd"/>
      <w:r w:rsidR="00153A83" w:rsidRPr="005C7AB5">
        <w:rPr>
          <w:rFonts w:cs="David" w:hint="cs"/>
          <w:sz w:val="24"/>
          <w:szCs w:val="24"/>
          <w:rtl/>
        </w:rPr>
        <w:t xml:space="preserve"> שבסמכות הוועדה המחוזית, לבין שיקול הדעת שמפעילה ועדה מקומית טרם החלטתה להפקיד </w:t>
      </w:r>
      <w:proofErr w:type="spellStart"/>
      <w:r w:rsidR="00153A83" w:rsidRPr="005C7AB5">
        <w:rPr>
          <w:rFonts w:cs="David" w:hint="cs"/>
          <w:sz w:val="24"/>
          <w:szCs w:val="24"/>
          <w:rtl/>
        </w:rPr>
        <w:t>תוכנית</w:t>
      </w:r>
      <w:proofErr w:type="spellEnd"/>
      <w:r w:rsidR="00153A83" w:rsidRPr="005C7AB5">
        <w:rPr>
          <w:rFonts w:cs="David" w:hint="cs"/>
          <w:sz w:val="24"/>
          <w:szCs w:val="24"/>
          <w:rtl/>
        </w:rPr>
        <w:t xml:space="preserve"> שבסמכותה. הסמכות עשויה להיות שונה, אולם שיקול הדעת אמור להיות זהה. </w:t>
      </w:r>
    </w:p>
    <w:p w14:paraId="15F73D3C" w14:textId="77777777" w:rsidR="00402257" w:rsidRDefault="00153A83" w:rsidP="00700B8A">
      <w:pPr>
        <w:pStyle w:val="af"/>
        <w:numPr>
          <w:ilvl w:val="0"/>
          <w:numId w:val="1"/>
        </w:numPr>
        <w:spacing w:line="360" w:lineRule="auto"/>
        <w:ind w:right="-142" w:hanging="601"/>
        <w:contextualSpacing w:val="0"/>
        <w:jc w:val="both"/>
        <w:rPr>
          <w:rFonts w:cs="David"/>
          <w:sz w:val="24"/>
          <w:szCs w:val="24"/>
        </w:rPr>
      </w:pPr>
      <w:r>
        <w:rPr>
          <w:rFonts w:cs="David" w:hint="cs"/>
          <w:sz w:val="24"/>
          <w:szCs w:val="24"/>
          <w:rtl/>
        </w:rPr>
        <w:t xml:space="preserve">הוועדה המקומית מופקדת ואמונה על מרחב התכנון המקומי שלה. אין שום סיבה שהוועדה </w:t>
      </w:r>
      <w:r w:rsidRPr="00700B8A">
        <w:rPr>
          <w:rFonts w:ascii="David" w:hAnsi="David" w:cs="David" w:hint="cs"/>
          <w:sz w:val="24"/>
          <w:szCs w:val="24"/>
          <w:rtl/>
        </w:rPr>
        <w:t>המקומית</w:t>
      </w:r>
      <w:r>
        <w:rPr>
          <w:rFonts w:cs="David" w:hint="cs"/>
          <w:sz w:val="24"/>
          <w:szCs w:val="24"/>
          <w:rtl/>
        </w:rPr>
        <w:t xml:space="preserve"> תמליץ לוועדה המחוזית להפקיד </w:t>
      </w:r>
      <w:proofErr w:type="spellStart"/>
      <w:r>
        <w:rPr>
          <w:rFonts w:cs="David" w:hint="cs"/>
          <w:sz w:val="24"/>
          <w:szCs w:val="24"/>
          <w:rtl/>
        </w:rPr>
        <w:t>תוכנית</w:t>
      </w:r>
      <w:proofErr w:type="spellEnd"/>
      <w:r>
        <w:rPr>
          <w:rFonts w:cs="David" w:hint="cs"/>
          <w:sz w:val="24"/>
          <w:szCs w:val="24"/>
          <w:rtl/>
        </w:rPr>
        <w:t xml:space="preserve"> שהיא עצמה לא הייתה מוכנה להפקיד, לו הייתה התוכנית בסמכותה. </w:t>
      </w:r>
    </w:p>
    <w:p w14:paraId="48F4DF5E" w14:textId="17227251" w:rsidR="00153A83" w:rsidRPr="00700B8A" w:rsidRDefault="00402257" w:rsidP="00700B8A">
      <w:pPr>
        <w:pStyle w:val="af"/>
        <w:numPr>
          <w:ilvl w:val="0"/>
          <w:numId w:val="1"/>
        </w:numPr>
        <w:spacing w:line="360" w:lineRule="auto"/>
        <w:ind w:right="-142" w:hanging="601"/>
        <w:contextualSpacing w:val="0"/>
        <w:jc w:val="both"/>
        <w:rPr>
          <w:rFonts w:ascii="David" w:hAnsi="David" w:cs="David"/>
          <w:sz w:val="24"/>
          <w:szCs w:val="24"/>
        </w:rPr>
      </w:pPr>
      <w:r>
        <w:rPr>
          <w:rFonts w:cs="David" w:hint="cs"/>
          <w:sz w:val="24"/>
          <w:szCs w:val="24"/>
          <w:rtl/>
        </w:rPr>
        <w:t xml:space="preserve">דברים אלו מקבלים משנה תוקף במקרה שלפנינו, כאשר ניכר שהנושאים שהטרידו את חברי הוועדה </w:t>
      </w:r>
      <w:r w:rsidRPr="00700B8A">
        <w:rPr>
          <w:rFonts w:ascii="David" w:hAnsi="David" w:cs="David" w:hint="cs"/>
          <w:sz w:val="24"/>
          <w:szCs w:val="24"/>
          <w:rtl/>
        </w:rPr>
        <w:t xml:space="preserve">המקומית במהלך הדיון החוזר הינם נושאים הנוגעים במובהק למרחב התכנון המקומי: מימון </w:t>
      </w:r>
      <w:r w:rsidR="00C00899" w:rsidRPr="00700B8A">
        <w:rPr>
          <w:rFonts w:ascii="David" w:hAnsi="David" w:cs="David" w:hint="cs"/>
          <w:sz w:val="24"/>
          <w:szCs w:val="24"/>
          <w:rtl/>
        </w:rPr>
        <w:t>מבנה חלופי ל</w:t>
      </w:r>
      <w:r w:rsidRPr="00700B8A">
        <w:rPr>
          <w:rFonts w:ascii="David" w:hAnsi="David" w:cs="David" w:hint="cs"/>
          <w:sz w:val="24"/>
          <w:szCs w:val="24"/>
          <w:rtl/>
        </w:rPr>
        <w:t>גני הילדים בתקופת הב</w:t>
      </w:r>
      <w:r w:rsidR="00C00899" w:rsidRPr="00700B8A">
        <w:rPr>
          <w:rFonts w:ascii="David" w:hAnsi="David" w:cs="David" w:hint="cs"/>
          <w:sz w:val="24"/>
          <w:szCs w:val="24"/>
          <w:rtl/>
        </w:rPr>
        <w:t xml:space="preserve">נייה והתועלות שיצמחו לעירייה מכוח התוכנית המפורטת. קשה לקבל את הטענה, כי נושאים אלו הטרידו את חברי הוועדה המקומית פחות </w:t>
      </w:r>
      <w:r w:rsidR="00934545">
        <w:rPr>
          <w:rFonts w:ascii="David" w:hAnsi="David" w:cs="David" w:hint="cs"/>
          <w:sz w:val="24"/>
          <w:szCs w:val="24"/>
          <w:rtl/>
        </w:rPr>
        <w:t xml:space="preserve">בעת המלצתם לוועדה המחוזית על הפקדת </w:t>
      </w:r>
      <w:r w:rsidR="00C00899" w:rsidRPr="00700B8A">
        <w:rPr>
          <w:rFonts w:ascii="David" w:hAnsi="David" w:cs="David" w:hint="cs"/>
          <w:sz w:val="24"/>
          <w:szCs w:val="24"/>
          <w:rtl/>
        </w:rPr>
        <w:t xml:space="preserve">התוכנית המפורטת, מאשר </w:t>
      </w:r>
      <w:r w:rsidR="00934545">
        <w:rPr>
          <w:rFonts w:ascii="David" w:hAnsi="David" w:cs="David" w:hint="cs"/>
          <w:sz w:val="24"/>
          <w:szCs w:val="24"/>
          <w:rtl/>
        </w:rPr>
        <w:t>בעת החלטתם שלהם בנושא ההפקדה</w:t>
      </w:r>
      <w:r w:rsidR="00C00899" w:rsidRPr="00700B8A">
        <w:rPr>
          <w:rFonts w:ascii="David" w:hAnsi="David" w:cs="David" w:hint="cs"/>
          <w:sz w:val="24"/>
          <w:szCs w:val="24"/>
          <w:rtl/>
        </w:rPr>
        <w:t>. כלום ציפו חברי הוועדה המקומית</w:t>
      </w:r>
      <w:r w:rsidR="00934545">
        <w:rPr>
          <w:rFonts w:ascii="David" w:hAnsi="David" w:cs="David" w:hint="cs"/>
          <w:sz w:val="24"/>
          <w:szCs w:val="24"/>
          <w:rtl/>
        </w:rPr>
        <w:t>,</w:t>
      </w:r>
      <w:r w:rsidR="00C00899" w:rsidRPr="00700B8A">
        <w:rPr>
          <w:rFonts w:ascii="David" w:hAnsi="David" w:cs="David" w:hint="cs"/>
          <w:sz w:val="24"/>
          <w:szCs w:val="24"/>
          <w:rtl/>
        </w:rPr>
        <w:t xml:space="preserve"> כי הוועדה המחוזית תוודא </w:t>
      </w:r>
      <w:r w:rsidR="00934545">
        <w:rPr>
          <w:rFonts w:ascii="David" w:hAnsi="David" w:cs="David" w:hint="cs"/>
          <w:sz w:val="24"/>
          <w:szCs w:val="24"/>
          <w:rtl/>
        </w:rPr>
        <w:t>ש</w:t>
      </w:r>
      <w:r w:rsidR="00C00899" w:rsidRPr="00700B8A">
        <w:rPr>
          <w:rFonts w:ascii="David" w:hAnsi="David" w:cs="David" w:hint="cs"/>
          <w:sz w:val="24"/>
          <w:szCs w:val="24"/>
          <w:rtl/>
        </w:rPr>
        <w:t>התוכנית ממקסמת את התועלות הכלכליות מבחינת ה</w:t>
      </w:r>
      <w:r w:rsidR="007E0025">
        <w:rPr>
          <w:rFonts w:ascii="David" w:hAnsi="David" w:cs="David" w:hint="cs"/>
          <w:sz w:val="24"/>
          <w:szCs w:val="24"/>
          <w:rtl/>
        </w:rPr>
        <w:t>עירייה</w:t>
      </w:r>
      <w:r w:rsidR="00C00899" w:rsidRPr="00700B8A">
        <w:rPr>
          <w:rFonts w:ascii="David" w:hAnsi="David" w:cs="David" w:hint="cs"/>
          <w:sz w:val="24"/>
          <w:szCs w:val="24"/>
          <w:rtl/>
        </w:rPr>
        <w:t>?</w:t>
      </w:r>
    </w:p>
    <w:p w14:paraId="7529F84E" w14:textId="4BE121D8" w:rsidR="009E7B9B" w:rsidRPr="00700B8A" w:rsidRDefault="004F5515" w:rsidP="00700B8A">
      <w:pPr>
        <w:pStyle w:val="af"/>
        <w:numPr>
          <w:ilvl w:val="0"/>
          <w:numId w:val="1"/>
        </w:numPr>
        <w:spacing w:line="360" w:lineRule="auto"/>
        <w:ind w:right="-142" w:hanging="601"/>
        <w:contextualSpacing w:val="0"/>
        <w:jc w:val="both"/>
        <w:rPr>
          <w:rFonts w:ascii="David" w:hAnsi="David" w:cs="David"/>
          <w:sz w:val="24"/>
          <w:szCs w:val="24"/>
        </w:rPr>
      </w:pPr>
      <w:r>
        <w:rPr>
          <w:rFonts w:ascii="David" w:hAnsi="David" w:cs="David" w:hint="cs"/>
          <w:sz w:val="24"/>
          <w:szCs w:val="24"/>
          <w:rtl/>
        </w:rPr>
        <w:t xml:space="preserve">יש לדחות גם את הטענה המבוססת על חשש לניגוד עניינים ערב בחירות. </w:t>
      </w:r>
      <w:r w:rsidR="005C7AB5" w:rsidRPr="00700B8A">
        <w:rPr>
          <w:rFonts w:ascii="David" w:hAnsi="David" w:cs="David" w:hint="cs"/>
          <w:sz w:val="24"/>
          <w:szCs w:val="24"/>
          <w:rtl/>
        </w:rPr>
        <w:t xml:space="preserve">משנדחתה הטענה לניגוד עניינים אפשרי בין חברי סיעתו של ראש העיר לבין העוררת, בחוות דעת סדורה, מפורטת ומנומקת היטב של הוועדה למניעת ניגודי עניינים </w:t>
      </w:r>
      <w:r w:rsidR="00934545">
        <w:rPr>
          <w:rFonts w:ascii="David" w:hAnsi="David" w:cs="David" w:hint="cs"/>
          <w:sz w:val="24"/>
          <w:szCs w:val="24"/>
          <w:rtl/>
        </w:rPr>
        <w:t>ב</w:t>
      </w:r>
      <w:r w:rsidR="005C7AB5" w:rsidRPr="00700B8A">
        <w:rPr>
          <w:rFonts w:ascii="David" w:hAnsi="David" w:cs="David" w:hint="cs"/>
          <w:sz w:val="24"/>
          <w:szCs w:val="24"/>
          <w:rtl/>
        </w:rPr>
        <w:t xml:space="preserve">משרד המשפטים </w:t>
      </w:r>
      <w:r w:rsidR="005C7AB5" w:rsidRPr="00700B8A">
        <w:rPr>
          <w:rFonts w:ascii="David" w:hAnsi="David" w:cs="David"/>
          <w:sz w:val="24"/>
          <w:szCs w:val="24"/>
          <w:rtl/>
        </w:rPr>
        <w:t>–</w:t>
      </w:r>
      <w:r w:rsidR="005C7AB5" w:rsidRPr="00700B8A">
        <w:rPr>
          <w:rFonts w:ascii="David" w:hAnsi="David" w:cs="David" w:hint="cs"/>
          <w:sz w:val="24"/>
          <w:szCs w:val="24"/>
          <w:rtl/>
        </w:rPr>
        <w:t xml:space="preserve"> לא היה כל מקום להתבסס על חשש לכאורי זה בעת הבקשה לדיון חוזר</w:t>
      </w:r>
      <w:r>
        <w:rPr>
          <w:rFonts w:ascii="David" w:hAnsi="David" w:cs="David" w:hint="cs"/>
          <w:sz w:val="24"/>
          <w:szCs w:val="24"/>
          <w:rtl/>
        </w:rPr>
        <w:t>, או בעת הדיון החוזר עצמו</w:t>
      </w:r>
      <w:r w:rsidR="005C7AB5" w:rsidRPr="00700B8A">
        <w:rPr>
          <w:rFonts w:ascii="David" w:hAnsi="David" w:cs="David" w:hint="cs"/>
          <w:sz w:val="24"/>
          <w:szCs w:val="24"/>
          <w:rtl/>
        </w:rPr>
        <w:t>.</w:t>
      </w:r>
    </w:p>
    <w:p w14:paraId="6627BC66" w14:textId="77777777" w:rsidR="009E7B9B" w:rsidRDefault="0069569E" w:rsidP="00700B8A">
      <w:pPr>
        <w:pStyle w:val="af"/>
        <w:numPr>
          <w:ilvl w:val="0"/>
          <w:numId w:val="1"/>
        </w:numPr>
        <w:spacing w:line="360" w:lineRule="auto"/>
        <w:ind w:right="-142" w:hanging="601"/>
        <w:contextualSpacing w:val="0"/>
        <w:jc w:val="both"/>
        <w:rPr>
          <w:rFonts w:cs="David"/>
          <w:sz w:val="24"/>
          <w:szCs w:val="24"/>
        </w:rPr>
      </w:pPr>
      <w:r w:rsidRPr="00700B8A">
        <w:rPr>
          <w:rFonts w:ascii="David" w:hAnsi="David" w:cs="David" w:hint="cs"/>
          <w:sz w:val="24"/>
          <w:szCs w:val="24"/>
          <w:rtl/>
        </w:rPr>
        <w:t>איננו מקבלים אף את הטענה</w:t>
      </w:r>
      <w:r w:rsidR="004F5515">
        <w:rPr>
          <w:rFonts w:ascii="David" w:hAnsi="David" w:cs="David" w:hint="cs"/>
          <w:sz w:val="24"/>
          <w:szCs w:val="24"/>
          <w:rtl/>
        </w:rPr>
        <w:t>,</w:t>
      </w:r>
      <w:r w:rsidRPr="00700B8A">
        <w:rPr>
          <w:rFonts w:ascii="David" w:hAnsi="David" w:cs="David" w:hint="cs"/>
          <w:sz w:val="24"/>
          <w:szCs w:val="24"/>
          <w:rtl/>
        </w:rPr>
        <w:t xml:space="preserve"> כי בשל הסמיכות למועד שתוכנן לקיום הבחירות לרשויות המקומיות, ביום 31.10.2023, היה מקום לבחינה נוספת של החלטת ועדת המשנה להפקיד את התוכנית המפורטת. ההחלטה התקבלה חמישה חודשים לפני מועד הבחירות המתוכנן, והיא תאמה כאמור הן את המלצת הצוות המקצועי של הוועדה המקומית והן את ההחלטה שהתקבלה על ידי הוועדה המקומית</w:t>
      </w:r>
      <w:r>
        <w:rPr>
          <w:rFonts w:cs="David" w:hint="cs"/>
          <w:sz w:val="24"/>
          <w:szCs w:val="24"/>
          <w:rtl/>
        </w:rPr>
        <w:t xml:space="preserve"> שלפניה. אין זה סוג המקרים שמצדיקים להשהות קבלת החלטת על ידי הוועדה המקומית בשל הסמיכות למועד הבחירות. </w:t>
      </w:r>
    </w:p>
    <w:p w14:paraId="1D737CD5" w14:textId="77777777" w:rsidR="003A4A51" w:rsidRDefault="004F5515" w:rsidP="003A4A51">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על כן, גם לגופו של עניין סבורים אנו כי החלטת הוועדה המקומית אינה יכולה לעמוד ודינה להתבטל.</w:t>
      </w:r>
    </w:p>
    <w:p w14:paraId="7288C0CE" w14:textId="15A365E2" w:rsidR="003A4A51" w:rsidRDefault="003A4A51" w:rsidP="003C3F9F">
      <w:pPr>
        <w:spacing w:line="360" w:lineRule="auto"/>
        <w:jc w:val="both"/>
        <w:rPr>
          <w:rFonts w:cs="David"/>
          <w:b/>
          <w:bCs/>
          <w:sz w:val="26"/>
          <w:szCs w:val="26"/>
          <w:rtl/>
        </w:rPr>
      </w:pPr>
    </w:p>
    <w:p w14:paraId="38883D7C" w14:textId="5C01952A" w:rsidR="00074254" w:rsidRDefault="00074254" w:rsidP="003C3F9F">
      <w:pPr>
        <w:spacing w:line="360" w:lineRule="auto"/>
        <w:jc w:val="both"/>
        <w:rPr>
          <w:rFonts w:cs="David"/>
          <w:b/>
          <w:bCs/>
          <w:sz w:val="26"/>
          <w:szCs w:val="26"/>
          <w:rtl/>
        </w:rPr>
      </w:pPr>
    </w:p>
    <w:p w14:paraId="43C46378" w14:textId="77777777" w:rsidR="00074254" w:rsidRPr="00512468" w:rsidRDefault="00074254" w:rsidP="003C3F9F">
      <w:pPr>
        <w:spacing w:line="360" w:lineRule="auto"/>
        <w:jc w:val="both"/>
        <w:rPr>
          <w:rFonts w:cs="David"/>
          <w:b/>
          <w:bCs/>
          <w:sz w:val="26"/>
          <w:szCs w:val="26"/>
          <w:rtl/>
        </w:rPr>
      </w:pPr>
    </w:p>
    <w:p w14:paraId="03599F58" w14:textId="77777777" w:rsidR="003C3F9F" w:rsidRPr="00F72B55" w:rsidRDefault="003C3F9F" w:rsidP="003C3F9F">
      <w:pPr>
        <w:spacing w:line="360" w:lineRule="auto"/>
        <w:ind w:firstLine="43"/>
        <w:jc w:val="both"/>
        <w:rPr>
          <w:rFonts w:cs="David"/>
          <w:b/>
          <w:bCs/>
          <w:sz w:val="26"/>
          <w:szCs w:val="26"/>
          <w:u w:val="single"/>
          <w:rtl/>
        </w:rPr>
      </w:pPr>
      <w:r w:rsidRPr="00F72B55">
        <w:rPr>
          <w:rFonts w:cs="David" w:hint="cs"/>
          <w:b/>
          <w:bCs/>
          <w:sz w:val="26"/>
          <w:szCs w:val="26"/>
          <w:u w:val="single"/>
          <w:rtl/>
        </w:rPr>
        <w:lastRenderedPageBreak/>
        <w:t>סיכום</w:t>
      </w:r>
    </w:p>
    <w:p w14:paraId="204293DD" w14:textId="230624AE" w:rsidR="003C3F9F" w:rsidRPr="00B44C1F" w:rsidRDefault="00CC6573"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אשר על כן הערר מתקבל. החלטת הוועדה המקומית מבוטלת</w:t>
      </w:r>
      <w:r w:rsidR="004F5515">
        <w:rPr>
          <w:rFonts w:cs="David" w:hint="cs"/>
          <w:sz w:val="24"/>
          <w:szCs w:val="24"/>
          <w:rtl/>
        </w:rPr>
        <w:t>,</w:t>
      </w:r>
      <w:r>
        <w:rPr>
          <w:rFonts w:cs="David" w:hint="cs"/>
          <w:sz w:val="24"/>
          <w:szCs w:val="24"/>
          <w:rtl/>
        </w:rPr>
        <w:t xml:space="preserve"> החלטת ועדת המשנה תעמוד על כנה והצדדים יפעלו לפיה, קרי: התוכנית </w:t>
      </w:r>
      <w:r w:rsidR="00626ED4">
        <w:rPr>
          <w:rFonts w:cs="David" w:hint="cs"/>
          <w:sz w:val="24"/>
          <w:szCs w:val="24"/>
          <w:rtl/>
        </w:rPr>
        <w:t>תופקד בתנאים הקבועים בהחלטת</w:t>
      </w:r>
      <w:r w:rsidR="007D4998">
        <w:rPr>
          <w:rFonts w:cs="David" w:hint="cs"/>
          <w:sz w:val="24"/>
          <w:szCs w:val="24"/>
          <w:rtl/>
        </w:rPr>
        <w:t xml:space="preserve"> ועדת המשנה</w:t>
      </w:r>
      <w:r>
        <w:rPr>
          <w:rFonts w:cs="David" w:hint="cs"/>
          <w:sz w:val="24"/>
          <w:szCs w:val="24"/>
          <w:rtl/>
        </w:rPr>
        <w:t xml:space="preserve"> </w:t>
      </w:r>
      <w:r w:rsidR="007D4998">
        <w:rPr>
          <w:rFonts w:cs="David" w:hint="cs"/>
          <w:sz w:val="24"/>
          <w:szCs w:val="24"/>
          <w:rtl/>
        </w:rPr>
        <w:t>ו</w:t>
      </w:r>
      <w:r w:rsidR="00806341">
        <w:rPr>
          <w:rFonts w:cs="David" w:hint="cs"/>
          <w:sz w:val="24"/>
          <w:szCs w:val="24"/>
          <w:rtl/>
        </w:rPr>
        <w:t>הליך התכנון ימשיך מאותו שלב על פי הוראות הדין.</w:t>
      </w:r>
    </w:p>
    <w:p w14:paraId="352F5529" w14:textId="6588D341" w:rsidR="00CC6573" w:rsidRDefault="00CC6573" w:rsidP="00C363E5">
      <w:pPr>
        <w:pStyle w:val="af"/>
        <w:numPr>
          <w:ilvl w:val="0"/>
          <w:numId w:val="1"/>
        </w:numPr>
        <w:spacing w:line="360" w:lineRule="auto"/>
        <w:ind w:left="470" w:right="-142" w:hanging="425"/>
        <w:contextualSpacing w:val="0"/>
        <w:jc w:val="both"/>
        <w:rPr>
          <w:rFonts w:cs="David"/>
          <w:sz w:val="24"/>
          <w:szCs w:val="24"/>
        </w:rPr>
      </w:pPr>
      <w:r>
        <w:rPr>
          <w:rFonts w:cs="David" w:hint="cs"/>
          <w:sz w:val="24"/>
          <w:szCs w:val="24"/>
          <w:rtl/>
        </w:rPr>
        <w:t>בהתחשב בעובדה</w:t>
      </w:r>
      <w:r w:rsidR="0024589E">
        <w:rPr>
          <w:rFonts w:cs="David" w:hint="cs"/>
          <w:sz w:val="24"/>
          <w:szCs w:val="24"/>
          <w:rtl/>
        </w:rPr>
        <w:t>,</w:t>
      </w:r>
      <w:r>
        <w:rPr>
          <w:rFonts w:cs="David" w:hint="cs"/>
          <w:sz w:val="24"/>
          <w:szCs w:val="24"/>
          <w:rtl/>
        </w:rPr>
        <w:t xml:space="preserve"> שמי שיישא בתשלום הוצאות לעוררת ולמשיבים היא הקופה הציבורית</w:t>
      </w:r>
      <w:r w:rsidR="007E0025">
        <w:rPr>
          <w:rFonts w:cs="David" w:hint="cs"/>
          <w:sz w:val="24"/>
          <w:szCs w:val="24"/>
          <w:rtl/>
        </w:rPr>
        <w:t>,</w:t>
      </w:r>
      <w:r>
        <w:rPr>
          <w:rFonts w:cs="David" w:hint="cs"/>
          <w:sz w:val="24"/>
          <w:szCs w:val="24"/>
          <w:rtl/>
        </w:rPr>
        <w:t xml:space="preserve"> ולא חברי הוועדה המקומית שהחליטו על ביטול החלטת ועדת המשנה, לא מצאנו לנכון להשית הוצאות בסכום מלא על הוועדה המקומית. על כן הוועדה המקומית תישא בהוצאות העוררת בסך 10,000 ₪ ובהוצאות כל אחד מן המשיבים 2 - 62 בסך 500 ₪ לכל אחד. ההוצאות ישולמו בתוך 30 יום ולאחר מכן יישאו הפרשי הצמדה וריבית כדין.</w:t>
      </w:r>
    </w:p>
    <w:p w14:paraId="73E2D17F" w14:textId="77777777" w:rsidR="00917FEF" w:rsidRPr="00E5301E" w:rsidRDefault="00917FEF" w:rsidP="00011C3C">
      <w:pPr>
        <w:spacing w:line="360" w:lineRule="auto"/>
        <w:jc w:val="both"/>
        <w:rPr>
          <w:rFonts w:cs="David"/>
          <w:b/>
          <w:bCs/>
          <w:sz w:val="24"/>
          <w:szCs w:val="24"/>
          <w:rtl/>
        </w:rPr>
      </w:pPr>
    </w:p>
    <w:p w14:paraId="5F8BD98A" w14:textId="3775E4CA" w:rsidR="00A619FE" w:rsidRPr="00F72B55" w:rsidRDefault="00A619FE" w:rsidP="00011C3C">
      <w:pPr>
        <w:spacing w:line="360" w:lineRule="auto"/>
        <w:jc w:val="both"/>
        <w:rPr>
          <w:rFonts w:cs="David"/>
          <w:b/>
          <w:bCs/>
          <w:sz w:val="26"/>
          <w:szCs w:val="26"/>
          <w:rtl/>
        </w:rPr>
      </w:pPr>
      <w:r w:rsidRPr="00F72B55">
        <w:rPr>
          <w:rFonts w:cs="David" w:hint="cs"/>
          <w:b/>
          <w:bCs/>
          <w:sz w:val="26"/>
          <w:szCs w:val="26"/>
          <w:rtl/>
        </w:rPr>
        <w:t xml:space="preserve">ההחלטה </w:t>
      </w:r>
      <w:r w:rsidR="00074254">
        <w:rPr>
          <w:rFonts w:cs="David" w:hint="cs"/>
          <w:b/>
          <w:bCs/>
          <w:sz w:val="26"/>
          <w:szCs w:val="26"/>
          <w:rtl/>
        </w:rPr>
        <w:t xml:space="preserve">ניתנה פה אחד ביום: </w:t>
      </w:r>
      <w:r w:rsidR="00074254">
        <w:rPr>
          <w:rFonts w:cs="David" w:hint="eastAsia"/>
          <w:b/>
          <w:bCs/>
          <w:sz w:val="26"/>
          <w:szCs w:val="26"/>
          <w:rtl/>
        </w:rPr>
        <w:t>‏כ</w:t>
      </w:r>
      <w:r w:rsidR="00074254">
        <w:rPr>
          <w:rFonts w:cs="David"/>
          <w:b/>
          <w:bCs/>
          <w:sz w:val="26"/>
          <w:szCs w:val="26"/>
          <w:rtl/>
        </w:rPr>
        <w:t>"ח שבט תשפ"ד</w:t>
      </w:r>
      <w:r w:rsidR="00074254">
        <w:rPr>
          <w:rFonts w:cs="David" w:hint="cs"/>
          <w:b/>
          <w:bCs/>
          <w:sz w:val="26"/>
          <w:szCs w:val="26"/>
          <w:rtl/>
        </w:rPr>
        <w:t xml:space="preserve">, </w:t>
      </w:r>
      <w:r w:rsidR="00074254">
        <w:rPr>
          <w:rFonts w:cs="David" w:hint="eastAsia"/>
          <w:b/>
          <w:bCs/>
          <w:sz w:val="26"/>
          <w:szCs w:val="26"/>
          <w:rtl/>
        </w:rPr>
        <w:t>‏</w:t>
      </w:r>
      <w:r w:rsidR="00074254">
        <w:rPr>
          <w:rFonts w:cs="David"/>
          <w:b/>
          <w:bCs/>
          <w:sz w:val="26"/>
          <w:szCs w:val="26"/>
          <w:rtl/>
        </w:rPr>
        <w:t>07 פברואר 2024</w:t>
      </w:r>
      <w:r w:rsidR="00074254">
        <w:rPr>
          <w:rFonts w:cs="David" w:hint="cs"/>
          <w:b/>
          <w:bCs/>
          <w:sz w:val="26"/>
          <w:szCs w:val="26"/>
          <w:rtl/>
        </w:rPr>
        <w:t>.</w:t>
      </w:r>
      <w:bookmarkStart w:id="4" w:name="_GoBack"/>
      <w:bookmarkEnd w:id="4"/>
    </w:p>
    <w:p w14:paraId="13256C43" w14:textId="77777777" w:rsidR="007F607C" w:rsidRDefault="007F607C" w:rsidP="006E04C2">
      <w:pPr>
        <w:spacing w:after="0" w:line="240" w:lineRule="auto"/>
        <w:jc w:val="both"/>
        <w:rPr>
          <w:rFonts w:cs="David"/>
          <w:b/>
          <w:bCs/>
          <w:sz w:val="24"/>
          <w:szCs w:val="24"/>
          <w:rtl/>
          <w:lang w:val="en-ZW"/>
        </w:rPr>
      </w:pPr>
    </w:p>
    <w:tbl>
      <w:tblPr>
        <w:tblStyle w:val="af0"/>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5"/>
      </w:tblGrid>
      <w:tr w:rsidR="000C15DC" w14:paraId="54957DD4" w14:textId="77777777" w:rsidTr="002A48F1">
        <w:trPr>
          <w:jc w:val="center"/>
        </w:trPr>
        <w:tc>
          <w:tcPr>
            <w:tcW w:w="4453" w:type="dxa"/>
          </w:tcPr>
          <w:p w14:paraId="1DB6F3C0" w14:textId="77777777" w:rsidR="000C15DC" w:rsidRDefault="000C15DC" w:rsidP="00074254">
            <w:pPr>
              <w:pStyle w:val="a5"/>
              <w:ind w:right="357"/>
              <w:jc w:val="center"/>
              <w:rPr>
                <w:rStyle w:val="ae"/>
                <w:rFonts w:cs="David"/>
                <w:i w:val="0"/>
                <w:iCs w:val="0"/>
                <w:rtl/>
              </w:rPr>
            </w:pPr>
            <w:r w:rsidRPr="00F72B55">
              <w:rPr>
                <w:rFonts w:ascii="Calibri" w:eastAsia="Calibri" w:hAnsi="Calibri" w:cs="Miriam" w:hint="cs"/>
                <w:b/>
                <w:bCs/>
                <w:sz w:val="26"/>
                <w:szCs w:val="26"/>
                <w:rtl/>
                <w:lang w:val="en-ZW"/>
              </w:rPr>
              <w:t>_______________________</w:t>
            </w:r>
          </w:p>
        </w:tc>
        <w:tc>
          <w:tcPr>
            <w:tcW w:w="4453" w:type="dxa"/>
          </w:tcPr>
          <w:p w14:paraId="0EB1C314" w14:textId="77777777" w:rsidR="000C15DC" w:rsidRDefault="000C15DC" w:rsidP="00074254">
            <w:pPr>
              <w:pStyle w:val="a5"/>
              <w:ind w:right="357"/>
              <w:jc w:val="center"/>
              <w:rPr>
                <w:rStyle w:val="ae"/>
                <w:rFonts w:cs="David"/>
                <w:i w:val="0"/>
                <w:iCs w:val="0"/>
                <w:rtl/>
              </w:rPr>
            </w:pPr>
            <w:r w:rsidRPr="00F72B55">
              <w:rPr>
                <w:rFonts w:ascii="Calibri" w:eastAsia="Calibri" w:hAnsi="Calibri" w:cs="Miriam" w:hint="cs"/>
                <w:b/>
                <w:bCs/>
                <w:sz w:val="26"/>
                <w:szCs w:val="26"/>
                <w:rtl/>
                <w:lang w:val="en-ZW"/>
              </w:rPr>
              <w:t>_______________________</w:t>
            </w:r>
          </w:p>
        </w:tc>
      </w:tr>
      <w:tr w:rsidR="000C15DC" w:rsidRPr="002A48F1" w14:paraId="33E98C13" w14:textId="77777777" w:rsidTr="000C15DC">
        <w:trPr>
          <w:jc w:val="center"/>
        </w:trPr>
        <w:tc>
          <w:tcPr>
            <w:tcW w:w="4453" w:type="dxa"/>
          </w:tcPr>
          <w:p w14:paraId="06090443" w14:textId="77777777" w:rsidR="000C15DC" w:rsidRPr="002A48F1" w:rsidRDefault="000C15DC" w:rsidP="00074254">
            <w:pPr>
              <w:pStyle w:val="a5"/>
              <w:ind w:right="357"/>
              <w:jc w:val="center"/>
              <w:rPr>
                <w:rFonts w:ascii="Calibri" w:eastAsia="Calibri" w:hAnsi="Calibri"/>
                <w:b/>
                <w:bCs/>
                <w:sz w:val="26"/>
                <w:szCs w:val="26"/>
                <w:rtl/>
                <w:lang w:val="en-ZW"/>
              </w:rPr>
            </w:pPr>
            <w:r w:rsidRPr="00F72B55">
              <w:rPr>
                <w:rFonts w:ascii="Calibri" w:eastAsia="Calibri" w:hAnsi="Calibri" w:cs="David" w:hint="cs"/>
                <w:b/>
                <w:bCs/>
                <w:sz w:val="26"/>
                <w:szCs w:val="26"/>
                <w:rtl/>
                <w:lang w:val="en-ZW"/>
              </w:rPr>
              <w:t>נורית גור</w:t>
            </w:r>
          </w:p>
        </w:tc>
        <w:tc>
          <w:tcPr>
            <w:tcW w:w="4453" w:type="dxa"/>
          </w:tcPr>
          <w:p w14:paraId="22F53471" w14:textId="77777777" w:rsidR="000C15DC" w:rsidRPr="002A48F1" w:rsidRDefault="000C15DC" w:rsidP="00074254">
            <w:pPr>
              <w:pStyle w:val="a5"/>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מאיה אשכנזי</w:t>
            </w:r>
            <w:r w:rsidRPr="002A48F1">
              <w:rPr>
                <w:rFonts w:ascii="Calibri" w:eastAsia="Calibri" w:hAnsi="Calibri" w:cs="David" w:hint="cs"/>
                <w:b/>
                <w:bCs/>
                <w:sz w:val="26"/>
                <w:szCs w:val="26"/>
                <w:rtl/>
                <w:lang w:val="en-ZW"/>
              </w:rPr>
              <w:t>,</w:t>
            </w:r>
            <w:r w:rsidRPr="000C15DC">
              <w:rPr>
                <w:rFonts w:ascii="Calibri" w:eastAsia="Calibri" w:hAnsi="Calibri" w:cs="David" w:hint="cs"/>
                <w:b/>
                <w:bCs/>
                <w:sz w:val="26"/>
                <w:szCs w:val="26"/>
                <w:rtl/>
                <w:lang w:val="en-ZW"/>
              </w:rPr>
              <w:t xml:space="preserve"> עו"ד</w:t>
            </w:r>
          </w:p>
        </w:tc>
      </w:tr>
      <w:tr w:rsidR="000C15DC" w:rsidRPr="000C15DC" w14:paraId="742A833D" w14:textId="77777777" w:rsidTr="000C15DC">
        <w:trPr>
          <w:jc w:val="center"/>
        </w:trPr>
        <w:tc>
          <w:tcPr>
            <w:tcW w:w="4453" w:type="dxa"/>
          </w:tcPr>
          <w:p w14:paraId="21AF7126" w14:textId="77777777" w:rsidR="000C15DC" w:rsidRPr="000C15DC" w:rsidRDefault="000C15DC" w:rsidP="00074254">
            <w:pPr>
              <w:pStyle w:val="a5"/>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מזכירת ועדת ערר</w:t>
            </w:r>
          </w:p>
        </w:tc>
        <w:tc>
          <w:tcPr>
            <w:tcW w:w="4453" w:type="dxa"/>
          </w:tcPr>
          <w:p w14:paraId="629473C7" w14:textId="77777777" w:rsidR="000C15DC" w:rsidRPr="000C15DC" w:rsidRDefault="000C15DC" w:rsidP="00074254">
            <w:pPr>
              <w:pStyle w:val="a5"/>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יו"ר ועדת ערר</w:t>
            </w:r>
          </w:p>
        </w:tc>
      </w:tr>
      <w:tr w:rsidR="000C15DC" w:rsidRPr="000C15DC" w14:paraId="071446BC" w14:textId="77777777" w:rsidTr="000C15DC">
        <w:trPr>
          <w:jc w:val="center"/>
        </w:trPr>
        <w:tc>
          <w:tcPr>
            <w:tcW w:w="4453" w:type="dxa"/>
          </w:tcPr>
          <w:p w14:paraId="1DF9B539" w14:textId="77777777" w:rsidR="000C15DC" w:rsidRPr="000C15DC" w:rsidRDefault="000C15DC" w:rsidP="00074254">
            <w:pPr>
              <w:pStyle w:val="a5"/>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ועדת ערר לתכנון ולבנייה</w:t>
            </w:r>
          </w:p>
        </w:tc>
        <w:tc>
          <w:tcPr>
            <w:tcW w:w="4453" w:type="dxa"/>
          </w:tcPr>
          <w:p w14:paraId="0FA9FB24" w14:textId="77777777" w:rsidR="000C15DC" w:rsidRPr="000C15DC" w:rsidRDefault="000C15DC" w:rsidP="00074254">
            <w:pPr>
              <w:pStyle w:val="a5"/>
              <w:ind w:right="357"/>
              <w:jc w:val="center"/>
              <w:rPr>
                <w:rFonts w:ascii="Calibri" w:eastAsia="Calibri" w:hAnsi="Calibri"/>
                <w:b/>
                <w:bCs/>
                <w:sz w:val="26"/>
                <w:szCs w:val="26"/>
                <w:rtl/>
                <w:lang w:val="en-ZW"/>
              </w:rPr>
            </w:pPr>
            <w:r>
              <w:rPr>
                <w:rFonts w:ascii="Calibri" w:eastAsia="Calibri" w:hAnsi="Calibri" w:cs="David" w:hint="cs"/>
                <w:b/>
                <w:bCs/>
                <w:sz w:val="26"/>
                <w:szCs w:val="26"/>
                <w:rtl/>
                <w:lang w:val="en-ZW"/>
              </w:rPr>
              <w:t>ועדת ערר לתכנון ולבנייה</w:t>
            </w:r>
          </w:p>
        </w:tc>
      </w:tr>
      <w:tr w:rsidR="000C15DC" w:rsidRPr="000C15DC" w14:paraId="4F3C1F24" w14:textId="77777777" w:rsidTr="000C15DC">
        <w:trPr>
          <w:jc w:val="center"/>
        </w:trPr>
        <w:tc>
          <w:tcPr>
            <w:tcW w:w="4453" w:type="dxa"/>
          </w:tcPr>
          <w:p w14:paraId="2FEA45AF" w14:textId="77777777" w:rsidR="000C15DC" w:rsidRPr="000C15DC" w:rsidRDefault="000C15DC" w:rsidP="00074254">
            <w:pPr>
              <w:pStyle w:val="a5"/>
              <w:ind w:right="357"/>
              <w:jc w:val="center"/>
              <w:rPr>
                <w:rFonts w:ascii="David" w:eastAsia="Calibri" w:hAnsi="David" w:cs="David"/>
                <w:b/>
                <w:bCs/>
                <w:sz w:val="26"/>
                <w:szCs w:val="26"/>
                <w:rtl/>
                <w:lang w:val="en-ZW"/>
              </w:rPr>
            </w:pPr>
            <w:r w:rsidRPr="000C15DC">
              <w:rPr>
                <w:rFonts w:ascii="David" w:eastAsia="Calibri" w:hAnsi="David" w:cs="David"/>
                <w:b/>
                <w:bCs/>
                <w:sz w:val="26"/>
                <w:szCs w:val="26"/>
                <w:rtl/>
                <w:lang w:val="en-ZW"/>
              </w:rPr>
              <w:t>מחוז מרכז</w:t>
            </w:r>
          </w:p>
        </w:tc>
        <w:tc>
          <w:tcPr>
            <w:tcW w:w="4453" w:type="dxa"/>
          </w:tcPr>
          <w:p w14:paraId="49800492" w14:textId="77777777" w:rsidR="000C15DC" w:rsidRPr="000C15DC" w:rsidRDefault="000C15DC" w:rsidP="00074254">
            <w:pPr>
              <w:pStyle w:val="a5"/>
              <w:ind w:right="357"/>
              <w:jc w:val="center"/>
              <w:rPr>
                <w:rFonts w:ascii="Calibri" w:eastAsia="Calibri" w:hAnsi="Calibri"/>
                <w:b/>
                <w:bCs/>
                <w:sz w:val="26"/>
                <w:szCs w:val="26"/>
                <w:rtl/>
                <w:lang w:val="en-ZW"/>
              </w:rPr>
            </w:pPr>
            <w:r w:rsidRPr="000C15DC">
              <w:rPr>
                <w:rFonts w:ascii="David" w:eastAsia="Calibri" w:hAnsi="David" w:cs="David"/>
                <w:b/>
                <w:bCs/>
                <w:sz w:val="26"/>
                <w:szCs w:val="26"/>
                <w:rtl/>
                <w:lang w:val="en-ZW"/>
              </w:rPr>
              <w:t>מחוז מרכז</w:t>
            </w:r>
          </w:p>
        </w:tc>
      </w:tr>
    </w:tbl>
    <w:p w14:paraId="50839A91" w14:textId="77777777" w:rsidR="00B93452" w:rsidRDefault="00B93452" w:rsidP="00074254">
      <w:pPr>
        <w:pStyle w:val="a5"/>
        <w:ind w:right="360"/>
        <w:rPr>
          <w:rStyle w:val="ae"/>
          <w:rFonts w:cs="David"/>
          <w:i w:val="0"/>
          <w:iCs w:val="0"/>
          <w:rtl/>
        </w:rPr>
      </w:pPr>
    </w:p>
    <w:p w14:paraId="63CD9B7E" w14:textId="77777777" w:rsidR="00C704A4" w:rsidRDefault="00C704A4" w:rsidP="00074254">
      <w:pPr>
        <w:pStyle w:val="a5"/>
        <w:ind w:right="360"/>
        <w:rPr>
          <w:rStyle w:val="ae"/>
          <w:rFonts w:cs="David"/>
          <w:i w:val="0"/>
          <w:iCs w:val="0"/>
          <w:rtl/>
        </w:rPr>
      </w:pPr>
    </w:p>
    <w:p w14:paraId="61D32369" w14:textId="77777777" w:rsidR="00C704A4" w:rsidRDefault="00C704A4" w:rsidP="00074254">
      <w:pPr>
        <w:pStyle w:val="a5"/>
        <w:ind w:right="360"/>
        <w:rPr>
          <w:rStyle w:val="ae"/>
          <w:rFonts w:cs="David"/>
          <w:i w:val="0"/>
          <w:iCs w:val="0"/>
          <w:rtl/>
        </w:rPr>
      </w:pPr>
    </w:p>
    <w:p w14:paraId="7C026FE6" w14:textId="77777777" w:rsidR="00C704A4" w:rsidRDefault="00C704A4" w:rsidP="00074254">
      <w:pPr>
        <w:pStyle w:val="a5"/>
        <w:ind w:right="360"/>
        <w:rPr>
          <w:rStyle w:val="ae"/>
          <w:rFonts w:cs="David"/>
          <w:i w:val="0"/>
          <w:iCs w:val="0"/>
          <w:rtl/>
        </w:rPr>
      </w:pPr>
    </w:p>
    <w:p w14:paraId="048BB4F5" w14:textId="77777777" w:rsidR="00C704A4" w:rsidRDefault="00C704A4" w:rsidP="006268A5">
      <w:pPr>
        <w:pStyle w:val="a5"/>
        <w:ind w:right="360"/>
        <w:rPr>
          <w:rStyle w:val="ae"/>
          <w:rFonts w:cs="David"/>
          <w:i w:val="0"/>
          <w:iCs w:val="0"/>
          <w:rtl/>
        </w:rPr>
      </w:pPr>
    </w:p>
    <w:p w14:paraId="7EA9CBC7" w14:textId="77777777" w:rsidR="00C704A4" w:rsidRPr="00C704A4" w:rsidRDefault="00C704A4" w:rsidP="006268A5">
      <w:pPr>
        <w:pStyle w:val="a5"/>
        <w:ind w:right="360"/>
        <w:rPr>
          <w:rStyle w:val="ae"/>
          <w:rFonts w:cs="David"/>
          <w:i w:val="0"/>
          <w:iCs w:val="0"/>
          <w:rtl/>
        </w:rPr>
      </w:pPr>
    </w:p>
    <w:sectPr w:rsidR="00C704A4" w:rsidRPr="00C704A4" w:rsidSect="00F6133D">
      <w:headerReference w:type="default" r:id="rId44"/>
      <w:footerReference w:type="default" r:id="rId45"/>
      <w:pgSz w:w="11906" w:h="16838"/>
      <w:pgMar w:top="1247" w:right="1418" w:bottom="1247" w:left="1797" w:header="425" w:footer="0" w:gutter="0"/>
      <w:lnNumType w:countBy="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E4CE8" w14:textId="77777777" w:rsidR="0073222F" w:rsidRDefault="0073222F" w:rsidP="00C66618">
      <w:pPr>
        <w:spacing w:after="0" w:line="240" w:lineRule="auto"/>
      </w:pPr>
      <w:r>
        <w:separator/>
      </w:r>
    </w:p>
  </w:endnote>
  <w:endnote w:type="continuationSeparator" w:id="0">
    <w:p w14:paraId="07EE4BD7" w14:textId="77777777" w:rsidR="0073222F" w:rsidRDefault="0073222F" w:rsidP="00C6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Arial TUR">
    <w:altName w:val="Arial"/>
    <w:charset w:val="00"/>
    <w:family w:val="swiss"/>
    <w:pitch w:val="variable"/>
    <w:sig w:usb0="E0003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49689354"/>
      <w:docPartObj>
        <w:docPartGallery w:val="Page Numbers (Bottom of Page)"/>
        <w:docPartUnique/>
      </w:docPartObj>
    </w:sdtPr>
    <w:sdtEndPr>
      <w:rPr>
        <w:cs/>
      </w:rPr>
    </w:sdtEndPr>
    <w:sdtContent>
      <w:p w14:paraId="54AE871A" w14:textId="77777777" w:rsidR="00917FEF" w:rsidRDefault="00917FEF" w:rsidP="006268A5">
        <w:pPr>
          <w:pStyle w:val="a5"/>
          <w:ind w:right="360"/>
          <w:jc w:val="center"/>
          <w:rPr>
            <w:rStyle w:val="ae"/>
            <w:rFonts w:cs="David"/>
            <w:i w:val="0"/>
            <w:iCs w:val="0"/>
            <w:sz w:val="18"/>
            <w:szCs w:val="18"/>
            <w:rtl/>
          </w:rPr>
        </w:pPr>
      </w:p>
      <w:p w14:paraId="4681DA52" w14:textId="77777777" w:rsidR="006268A5" w:rsidRPr="001C3A31" w:rsidRDefault="006268A5" w:rsidP="006268A5">
        <w:pPr>
          <w:pStyle w:val="a5"/>
          <w:ind w:right="360"/>
          <w:jc w:val="center"/>
          <w:rPr>
            <w:rStyle w:val="ae"/>
            <w:rFonts w:cs="David"/>
            <w:i w:val="0"/>
            <w:iCs w:val="0"/>
            <w:sz w:val="18"/>
            <w:szCs w:val="18"/>
          </w:rPr>
        </w:pPr>
        <w:r w:rsidRPr="001C3A31">
          <w:rPr>
            <w:rStyle w:val="ae"/>
            <w:rFonts w:cs="David" w:hint="cs"/>
            <w:i w:val="0"/>
            <w:iCs w:val="0"/>
            <w:sz w:val="18"/>
            <w:szCs w:val="18"/>
            <w:rtl/>
          </w:rPr>
          <w:t xml:space="preserve">ועדת ערר לתכנון ובניה - מחוז </w:t>
        </w:r>
        <w:r w:rsidR="00917FEF">
          <w:rPr>
            <w:rStyle w:val="ae"/>
            <w:rFonts w:cs="David" w:hint="cs"/>
            <w:i w:val="0"/>
            <w:iCs w:val="0"/>
            <w:sz w:val="18"/>
            <w:szCs w:val="18"/>
            <w:rtl/>
          </w:rPr>
          <w:t>מרכז</w:t>
        </w:r>
      </w:p>
      <w:p w14:paraId="7EA14883" w14:textId="77777777" w:rsidR="006268A5" w:rsidRPr="001C3A31" w:rsidRDefault="00917FEF" w:rsidP="006268A5">
        <w:pPr>
          <w:pStyle w:val="a5"/>
          <w:ind w:right="360"/>
          <w:jc w:val="center"/>
          <w:rPr>
            <w:rStyle w:val="ae"/>
            <w:rFonts w:cs="David"/>
            <w:i w:val="0"/>
            <w:iCs w:val="0"/>
            <w:sz w:val="18"/>
            <w:szCs w:val="18"/>
          </w:rPr>
        </w:pPr>
        <w:r>
          <w:rPr>
            <w:rStyle w:val="ae"/>
            <w:rFonts w:cs="David" w:hint="cs"/>
            <w:i w:val="0"/>
            <w:iCs w:val="0"/>
            <w:sz w:val="18"/>
            <w:szCs w:val="18"/>
            <w:rtl/>
          </w:rPr>
          <w:t>רח' יודפת 1</w:t>
        </w:r>
        <w:r w:rsidR="006268A5" w:rsidRPr="001C3A31">
          <w:rPr>
            <w:rStyle w:val="ae"/>
            <w:rFonts w:cs="David" w:hint="cs"/>
            <w:i w:val="0"/>
            <w:iCs w:val="0"/>
            <w:sz w:val="18"/>
            <w:szCs w:val="18"/>
            <w:rtl/>
          </w:rPr>
          <w:t xml:space="preserve">, </w:t>
        </w:r>
        <w:r w:rsidR="00687353">
          <w:rPr>
            <w:rStyle w:val="ae"/>
            <w:rFonts w:cs="David" w:hint="cs"/>
            <w:i w:val="0"/>
            <w:iCs w:val="0"/>
            <w:sz w:val="18"/>
            <w:szCs w:val="18"/>
            <w:rtl/>
          </w:rPr>
          <w:t>בניין אלון,</w:t>
        </w:r>
        <w:r w:rsidR="006268A5" w:rsidRPr="001C3A31">
          <w:rPr>
            <w:rStyle w:val="ae"/>
            <w:rFonts w:cs="David" w:hint="cs"/>
            <w:i w:val="0"/>
            <w:iCs w:val="0"/>
            <w:sz w:val="18"/>
            <w:szCs w:val="18"/>
            <w:rtl/>
          </w:rPr>
          <w:t xml:space="preserve"> קומה </w:t>
        </w:r>
        <w:r w:rsidR="00687353">
          <w:rPr>
            <w:rStyle w:val="ae"/>
            <w:rFonts w:cs="David" w:hint="cs"/>
            <w:i w:val="0"/>
            <w:iCs w:val="0"/>
            <w:sz w:val="18"/>
            <w:szCs w:val="18"/>
            <w:rtl/>
          </w:rPr>
          <w:t>1</w:t>
        </w:r>
        <w:r w:rsidR="006268A5" w:rsidRPr="001C3A31">
          <w:rPr>
            <w:rStyle w:val="ae"/>
            <w:rFonts w:cs="David" w:hint="cs"/>
            <w:i w:val="0"/>
            <w:iCs w:val="0"/>
            <w:sz w:val="18"/>
            <w:szCs w:val="18"/>
            <w:rtl/>
          </w:rPr>
          <w:t xml:space="preserve">, </w:t>
        </w:r>
        <w:r>
          <w:rPr>
            <w:rStyle w:val="ae"/>
            <w:rFonts w:cs="David" w:hint="cs"/>
            <w:i w:val="0"/>
            <w:iCs w:val="0"/>
            <w:sz w:val="18"/>
            <w:szCs w:val="18"/>
            <w:rtl/>
          </w:rPr>
          <w:t>לוד</w:t>
        </w:r>
        <w:r w:rsidR="006268A5" w:rsidRPr="001C3A31">
          <w:rPr>
            <w:rStyle w:val="ae"/>
            <w:rFonts w:cs="David" w:hint="cs"/>
            <w:i w:val="0"/>
            <w:iCs w:val="0"/>
            <w:sz w:val="18"/>
            <w:szCs w:val="18"/>
            <w:rtl/>
          </w:rPr>
          <w:t xml:space="preserve"> </w:t>
        </w:r>
      </w:p>
      <w:p w14:paraId="0C67C9CC" w14:textId="77777777" w:rsidR="006268A5" w:rsidRPr="001C3A31" w:rsidRDefault="006268A5" w:rsidP="006268A5">
        <w:pPr>
          <w:pStyle w:val="a5"/>
          <w:ind w:right="360"/>
          <w:jc w:val="center"/>
          <w:rPr>
            <w:rStyle w:val="ae"/>
            <w:rFonts w:cs="David"/>
            <w:i w:val="0"/>
            <w:iCs w:val="0"/>
            <w:sz w:val="18"/>
            <w:szCs w:val="18"/>
            <w:rtl/>
          </w:rPr>
        </w:pPr>
        <w:r w:rsidRPr="001C3A31">
          <w:rPr>
            <w:rStyle w:val="ae"/>
            <w:rFonts w:cs="David" w:hint="cs"/>
            <w:i w:val="0"/>
            <w:iCs w:val="0"/>
            <w:sz w:val="18"/>
            <w:szCs w:val="18"/>
            <w:rtl/>
          </w:rPr>
          <w:t xml:space="preserve">קבלת קהל: </w:t>
        </w:r>
        <w:r w:rsidRPr="001C3A31">
          <w:rPr>
            <w:rStyle w:val="ae"/>
            <w:rFonts w:cs="David"/>
            <w:i w:val="0"/>
            <w:iCs w:val="0"/>
            <w:sz w:val="18"/>
            <w:szCs w:val="18"/>
            <w:rtl/>
          </w:rPr>
          <w:t xml:space="preserve">ימים א', ב', ג', ה' </w:t>
        </w:r>
        <w:r w:rsidR="00572066">
          <w:rPr>
            <w:rStyle w:val="ae"/>
            <w:rFonts w:cs="David" w:hint="cs"/>
            <w:i w:val="0"/>
            <w:iCs w:val="0"/>
            <w:sz w:val="18"/>
            <w:szCs w:val="18"/>
            <w:rtl/>
          </w:rPr>
          <w:t>08</w:t>
        </w:r>
        <w:r w:rsidRPr="001C3A31">
          <w:rPr>
            <w:rStyle w:val="ae"/>
            <w:rFonts w:cs="David"/>
            <w:i w:val="0"/>
            <w:iCs w:val="0"/>
            <w:sz w:val="18"/>
            <w:szCs w:val="18"/>
            <w:rtl/>
          </w:rPr>
          <w:t>:</w:t>
        </w:r>
        <w:r w:rsidR="00687353">
          <w:rPr>
            <w:rStyle w:val="ae"/>
            <w:rFonts w:cs="David" w:hint="cs"/>
            <w:i w:val="0"/>
            <w:iCs w:val="0"/>
            <w:sz w:val="18"/>
            <w:szCs w:val="18"/>
            <w:rtl/>
          </w:rPr>
          <w:t>3</w:t>
        </w:r>
        <w:r w:rsidRPr="001C3A31">
          <w:rPr>
            <w:rStyle w:val="ae"/>
            <w:rFonts w:cs="David"/>
            <w:i w:val="0"/>
            <w:iCs w:val="0"/>
            <w:sz w:val="18"/>
            <w:szCs w:val="18"/>
            <w:rtl/>
          </w:rPr>
          <w:t>0</w:t>
        </w:r>
        <w:r w:rsidR="00572066">
          <w:rPr>
            <w:rStyle w:val="ae"/>
            <w:rFonts w:cs="David" w:hint="cs"/>
            <w:i w:val="0"/>
            <w:iCs w:val="0"/>
            <w:sz w:val="18"/>
            <w:szCs w:val="18"/>
            <w:rtl/>
          </w:rPr>
          <w:t xml:space="preserve"> </w:t>
        </w:r>
        <w:r w:rsidRPr="001C3A31">
          <w:rPr>
            <w:rStyle w:val="ae"/>
            <w:rFonts w:cs="David"/>
            <w:i w:val="0"/>
            <w:iCs w:val="0"/>
            <w:sz w:val="18"/>
            <w:szCs w:val="18"/>
            <w:rtl/>
          </w:rPr>
          <w:t>-</w:t>
        </w:r>
        <w:r w:rsidR="00572066">
          <w:rPr>
            <w:rStyle w:val="ae"/>
            <w:rFonts w:cs="David" w:hint="cs"/>
            <w:i w:val="0"/>
            <w:iCs w:val="0"/>
            <w:sz w:val="18"/>
            <w:szCs w:val="18"/>
            <w:rtl/>
          </w:rPr>
          <w:t xml:space="preserve"> 14</w:t>
        </w:r>
        <w:r w:rsidRPr="001C3A31">
          <w:rPr>
            <w:rStyle w:val="ae"/>
            <w:rFonts w:cs="David"/>
            <w:i w:val="0"/>
            <w:iCs w:val="0"/>
            <w:sz w:val="18"/>
            <w:szCs w:val="18"/>
            <w:rtl/>
          </w:rPr>
          <w:t>:</w:t>
        </w:r>
        <w:r w:rsidR="00687353">
          <w:rPr>
            <w:rStyle w:val="ae"/>
            <w:rFonts w:cs="David" w:hint="cs"/>
            <w:i w:val="0"/>
            <w:iCs w:val="0"/>
            <w:sz w:val="18"/>
            <w:szCs w:val="18"/>
            <w:rtl/>
          </w:rPr>
          <w:t>3</w:t>
        </w:r>
        <w:r w:rsidRPr="001C3A31">
          <w:rPr>
            <w:rStyle w:val="ae"/>
            <w:rFonts w:cs="David"/>
            <w:i w:val="0"/>
            <w:iCs w:val="0"/>
            <w:sz w:val="18"/>
            <w:szCs w:val="18"/>
            <w:rtl/>
          </w:rPr>
          <w:t xml:space="preserve">0, יום  ד' </w:t>
        </w:r>
        <w:r w:rsidR="00572066">
          <w:rPr>
            <w:rStyle w:val="ae"/>
            <w:rFonts w:cs="David" w:hint="cs"/>
            <w:i w:val="0"/>
            <w:iCs w:val="0"/>
            <w:sz w:val="18"/>
            <w:szCs w:val="18"/>
            <w:rtl/>
          </w:rPr>
          <w:t>08</w:t>
        </w:r>
        <w:r w:rsidRPr="001C3A31">
          <w:rPr>
            <w:rStyle w:val="ae"/>
            <w:rFonts w:cs="David"/>
            <w:i w:val="0"/>
            <w:iCs w:val="0"/>
            <w:sz w:val="18"/>
            <w:szCs w:val="18"/>
            <w:rtl/>
          </w:rPr>
          <w:t>:</w:t>
        </w:r>
        <w:r w:rsidR="00426A9D">
          <w:rPr>
            <w:rStyle w:val="ae"/>
            <w:rFonts w:cs="David" w:hint="cs"/>
            <w:i w:val="0"/>
            <w:iCs w:val="0"/>
            <w:sz w:val="18"/>
            <w:szCs w:val="18"/>
            <w:rtl/>
          </w:rPr>
          <w:t>3</w:t>
        </w:r>
        <w:r w:rsidRPr="001C3A31">
          <w:rPr>
            <w:rStyle w:val="ae"/>
            <w:rFonts w:cs="David"/>
            <w:i w:val="0"/>
            <w:iCs w:val="0"/>
            <w:sz w:val="18"/>
            <w:szCs w:val="18"/>
            <w:rtl/>
          </w:rPr>
          <w:t>0</w:t>
        </w:r>
        <w:r w:rsidR="00572066">
          <w:rPr>
            <w:rStyle w:val="ae"/>
            <w:rFonts w:cs="David" w:hint="cs"/>
            <w:i w:val="0"/>
            <w:iCs w:val="0"/>
            <w:sz w:val="18"/>
            <w:szCs w:val="18"/>
            <w:rtl/>
          </w:rPr>
          <w:t xml:space="preserve"> </w:t>
        </w:r>
        <w:r w:rsidRPr="001C3A31">
          <w:rPr>
            <w:rStyle w:val="ae"/>
            <w:rFonts w:cs="David"/>
            <w:i w:val="0"/>
            <w:iCs w:val="0"/>
            <w:sz w:val="18"/>
            <w:szCs w:val="18"/>
            <w:rtl/>
          </w:rPr>
          <w:t>-</w:t>
        </w:r>
        <w:r w:rsidR="00572066">
          <w:rPr>
            <w:rStyle w:val="ae"/>
            <w:rFonts w:cs="David" w:hint="cs"/>
            <w:i w:val="0"/>
            <w:iCs w:val="0"/>
            <w:sz w:val="18"/>
            <w:szCs w:val="18"/>
            <w:rtl/>
          </w:rPr>
          <w:t xml:space="preserve"> 16</w:t>
        </w:r>
        <w:r w:rsidRPr="001C3A31">
          <w:rPr>
            <w:rStyle w:val="ae"/>
            <w:rFonts w:cs="David"/>
            <w:i w:val="0"/>
            <w:iCs w:val="0"/>
            <w:sz w:val="18"/>
            <w:szCs w:val="18"/>
            <w:rtl/>
          </w:rPr>
          <w:t>:30</w:t>
        </w:r>
        <w:r w:rsidR="00572066">
          <w:rPr>
            <w:rStyle w:val="ae"/>
            <w:rFonts w:cs="David" w:hint="cs"/>
            <w:i w:val="0"/>
            <w:iCs w:val="0"/>
            <w:sz w:val="18"/>
            <w:szCs w:val="18"/>
            <w:rtl/>
          </w:rPr>
          <w:t xml:space="preserve"> </w:t>
        </w:r>
        <w:r w:rsidRPr="001C3A31">
          <w:rPr>
            <w:rStyle w:val="ae"/>
            <w:rFonts w:cs="David"/>
            <w:i w:val="0"/>
            <w:iCs w:val="0"/>
            <w:sz w:val="18"/>
            <w:szCs w:val="18"/>
            <w:rtl/>
          </w:rPr>
          <w:t xml:space="preserve">  </w:t>
        </w:r>
      </w:p>
      <w:p w14:paraId="04B5427F" w14:textId="77777777" w:rsidR="006268A5" w:rsidRPr="001C3A31" w:rsidRDefault="006268A5" w:rsidP="006268A5">
        <w:pPr>
          <w:pStyle w:val="a5"/>
          <w:ind w:right="360"/>
          <w:jc w:val="center"/>
          <w:rPr>
            <w:rStyle w:val="ae"/>
            <w:rFonts w:cs="David"/>
            <w:i w:val="0"/>
            <w:iCs w:val="0"/>
            <w:sz w:val="18"/>
            <w:szCs w:val="18"/>
            <w:rtl/>
          </w:rPr>
        </w:pPr>
        <w:r w:rsidRPr="001C3A31">
          <w:rPr>
            <w:rStyle w:val="ae"/>
            <w:rFonts w:cs="David" w:hint="cs"/>
            <w:i w:val="0"/>
            <w:iCs w:val="0"/>
            <w:sz w:val="18"/>
            <w:szCs w:val="18"/>
            <w:rtl/>
          </w:rPr>
          <w:t xml:space="preserve">טלפון:  </w:t>
        </w:r>
        <w:r w:rsidR="00426A9D">
          <w:rPr>
            <w:rStyle w:val="ae"/>
            <w:rFonts w:cs="David" w:hint="cs"/>
            <w:i w:val="0"/>
            <w:iCs w:val="0"/>
            <w:sz w:val="18"/>
            <w:szCs w:val="18"/>
            <w:rtl/>
          </w:rPr>
          <w:t>08</w:t>
        </w:r>
        <w:r w:rsidRPr="001C3A31">
          <w:rPr>
            <w:rStyle w:val="ae"/>
            <w:rFonts w:cs="David" w:hint="cs"/>
            <w:i w:val="0"/>
            <w:iCs w:val="0"/>
            <w:sz w:val="18"/>
            <w:szCs w:val="18"/>
            <w:rtl/>
          </w:rPr>
          <w:t>-</w:t>
        </w:r>
        <w:r w:rsidR="00426A9D">
          <w:rPr>
            <w:rStyle w:val="ae"/>
            <w:rFonts w:cs="David" w:hint="cs"/>
            <w:i w:val="0"/>
            <w:iCs w:val="0"/>
            <w:sz w:val="18"/>
            <w:szCs w:val="18"/>
            <w:rtl/>
          </w:rPr>
          <w:t>9156125</w:t>
        </w:r>
        <w:r w:rsidRPr="001C3A31">
          <w:rPr>
            <w:rStyle w:val="ae"/>
            <w:rFonts w:cs="David" w:hint="cs"/>
            <w:i w:val="0"/>
            <w:iCs w:val="0"/>
            <w:sz w:val="18"/>
            <w:szCs w:val="18"/>
            <w:rtl/>
          </w:rPr>
          <w:t xml:space="preserve">  פקס: </w:t>
        </w:r>
        <w:r w:rsidR="00426A9D">
          <w:rPr>
            <w:rStyle w:val="ae"/>
            <w:rFonts w:cs="David" w:hint="cs"/>
            <w:i w:val="0"/>
            <w:iCs w:val="0"/>
            <w:sz w:val="18"/>
            <w:szCs w:val="18"/>
            <w:rtl/>
          </w:rPr>
          <w:t>08</w:t>
        </w:r>
        <w:r w:rsidRPr="001C3A31">
          <w:rPr>
            <w:rStyle w:val="ae"/>
            <w:rFonts w:cs="David" w:hint="cs"/>
            <w:i w:val="0"/>
            <w:iCs w:val="0"/>
            <w:sz w:val="18"/>
            <w:szCs w:val="18"/>
            <w:rtl/>
          </w:rPr>
          <w:t>-</w:t>
        </w:r>
        <w:r w:rsidR="00426A9D">
          <w:rPr>
            <w:rStyle w:val="ae"/>
            <w:rFonts w:cs="David" w:hint="cs"/>
            <w:i w:val="0"/>
            <w:iCs w:val="0"/>
            <w:sz w:val="18"/>
            <w:szCs w:val="18"/>
            <w:rtl/>
          </w:rPr>
          <w:t>9216467</w:t>
        </w:r>
        <w:r w:rsidRPr="001C3A31">
          <w:rPr>
            <w:rStyle w:val="ae"/>
            <w:rFonts w:cs="David" w:hint="cs"/>
            <w:i w:val="0"/>
            <w:iCs w:val="0"/>
            <w:sz w:val="18"/>
            <w:szCs w:val="18"/>
            <w:rtl/>
          </w:rPr>
          <w:t xml:space="preserve">   מייל: </w:t>
        </w:r>
        <w:r w:rsidRPr="001C3A31">
          <w:rPr>
            <w:rStyle w:val="ae"/>
            <w:rFonts w:cs="David"/>
            <w:i w:val="0"/>
            <w:iCs w:val="0"/>
            <w:sz w:val="18"/>
            <w:szCs w:val="18"/>
          </w:rPr>
          <w:t>Arr</w:t>
        </w:r>
        <w:r w:rsidR="00426A9D">
          <w:rPr>
            <w:rStyle w:val="ae"/>
            <w:rFonts w:cs="David"/>
            <w:i w:val="0"/>
            <w:iCs w:val="0"/>
            <w:sz w:val="18"/>
            <w:szCs w:val="18"/>
          </w:rPr>
          <w:t>merkaz4</w:t>
        </w:r>
        <w:r w:rsidRPr="001C3A31">
          <w:rPr>
            <w:rStyle w:val="ae"/>
            <w:rFonts w:cs="David"/>
            <w:i w:val="0"/>
            <w:iCs w:val="0"/>
            <w:sz w:val="18"/>
            <w:szCs w:val="18"/>
          </w:rPr>
          <w:t>@iplan.gov.il</w:t>
        </w:r>
      </w:p>
      <w:p w14:paraId="38C4BC22" w14:textId="77777777" w:rsidR="007C3549" w:rsidRDefault="007C3549" w:rsidP="006268A5">
        <w:pPr>
          <w:pStyle w:val="a5"/>
          <w:rPr>
            <w:rtl/>
          </w:rPr>
        </w:pPr>
      </w:p>
      <w:p w14:paraId="6E722E74" w14:textId="77777777" w:rsidR="007C3549" w:rsidRDefault="007C3549">
        <w:pPr>
          <w:pStyle w:val="a5"/>
          <w:jc w:val="right"/>
        </w:pPr>
      </w:p>
      <w:p w14:paraId="2D6D0AA2" w14:textId="77777777" w:rsidR="007C3549" w:rsidRDefault="007C3549">
        <w:pPr>
          <w:pStyle w:val="a5"/>
          <w:jc w:val="right"/>
          <w:rPr>
            <w:rtl/>
            <w:cs/>
          </w:rPr>
        </w:pPr>
        <w:r>
          <w:fldChar w:fldCharType="begin"/>
        </w:r>
        <w:r>
          <w:rPr>
            <w:rtl/>
            <w:cs/>
          </w:rPr>
          <w:instrText>PAGE   \* MERGEFORMAT</w:instrText>
        </w:r>
        <w:r>
          <w:fldChar w:fldCharType="separate"/>
        </w:r>
        <w:r w:rsidR="006E6AC3" w:rsidRPr="006E6AC3">
          <w:rPr>
            <w:noProof/>
            <w:rtl/>
            <w:lang w:val="he-IL"/>
          </w:rPr>
          <w:t>1</w:t>
        </w:r>
        <w:r>
          <w:fldChar w:fldCharType="end"/>
        </w:r>
      </w:p>
    </w:sdtContent>
  </w:sdt>
  <w:p w14:paraId="4B3DB14F" w14:textId="77777777" w:rsidR="007C3549" w:rsidRDefault="007C3549" w:rsidP="00756C9C">
    <w:pPr>
      <w:pStyle w:val="a5"/>
      <w:tabs>
        <w:tab w:val="clear" w:pos="4153"/>
        <w:tab w:val="clear" w:pos="8306"/>
        <w:tab w:val="left" w:pos="5244"/>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7152A" w14:textId="77777777" w:rsidR="0073222F" w:rsidRDefault="0073222F" w:rsidP="00C66618">
      <w:pPr>
        <w:spacing w:after="0" w:line="240" w:lineRule="auto"/>
      </w:pPr>
      <w:r>
        <w:separator/>
      </w:r>
    </w:p>
  </w:footnote>
  <w:footnote w:type="continuationSeparator" w:id="0">
    <w:p w14:paraId="26291F4A" w14:textId="77777777" w:rsidR="0073222F" w:rsidRDefault="0073222F" w:rsidP="00C66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55D91" w14:textId="77777777" w:rsidR="007C3549" w:rsidRDefault="007C3549" w:rsidP="00011C3C">
    <w:pPr>
      <w:pStyle w:val="a3"/>
      <w:jc w:val="right"/>
      <w:rPr>
        <w:rFonts w:cs="David"/>
        <w:b/>
        <w:bCs/>
        <w:sz w:val="24"/>
        <w:szCs w:val="24"/>
        <w:rtl/>
      </w:rPr>
    </w:pPr>
    <w:r w:rsidRPr="000B4412">
      <w:rPr>
        <w:rFonts w:cs="David" w:hint="cs"/>
        <w:b/>
        <w:bCs/>
        <w:sz w:val="24"/>
        <w:szCs w:val="24"/>
        <w:rtl/>
      </w:rPr>
      <w:t>ערר מס':</w:t>
    </w:r>
    <w:r w:rsidR="002C1A78">
      <w:rPr>
        <w:rFonts w:cs="David" w:hint="cs"/>
        <w:b/>
        <w:bCs/>
        <w:sz w:val="24"/>
        <w:szCs w:val="24"/>
        <w:rtl/>
      </w:rPr>
      <w:t xml:space="preserve"> </w:t>
    </w:r>
    <w:sdt>
      <w:sdtPr>
        <w:rPr>
          <w:rFonts w:cs="David"/>
          <w:b/>
          <w:bCs/>
          <w:sz w:val="24"/>
          <w:szCs w:val="24"/>
          <w:rtl/>
        </w:rPr>
        <w:id w:val="1747459266"/>
        <w:placeholder>
          <w:docPart w:val="DefaultPlaceholder_1081868574"/>
        </w:placeholder>
        <w:text/>
      </w:sdtPr>
      <w:sdtEndPr/>
      <w:sdtContent>
        <w:proofErr w:type="spellStart"/>
        <w:r w:rsidR="00E90957">
          <w:rPr>
            <w:rFonts w:cs="David" w:hint="cs"/>
            <w:b/>
            <w:bCs/>
            <w:sz w:val="24"/>
            <w:szCs w:val="24"/>
            <w:rtl/>
          </w:rPr>
          <w:t>ההש</w:t>
        </w:r>
        <w:proofErr w:type="spellEnd"/>
        <w:r w:rsidR="00E90957">
          <w:rPr>
            <w:rFonts w:cs="David" w:hint="cs"/>
            <w:b/>
            <w:bCs/>
            <w:sz w:val="24"/>
            <w:szCs w:val="24"/>
            <w:rtl/>
          </w:rPr>
          <w:t>/1029/0723</w:t>
        </w:r>
      </w:sdtContent>
    </w:sdt>
  </w:p>
  <w:p w14:paraId="70733726" w14:textId="77777777" w:rsidR="00917FEF" w:rsidRPr="000B4412" w:rsidRDefault="00917FEF" w:rsidP="00011C3C">
    <w:pPr>
      <w:pStyle w:val="a3"/>
      <w:jc w:val="right"/>
      <w:rPr>
        <w:rFonts w:cs="David"/>
        <w:b/>
        <w:bCs/>
        <w:sz w:val="24"/>
        <w:szCs w:val="24"/>
        <w:rtl/>
      </w:rPr>
    </w:pPr>
  </w:p>
  <w:p w14:paraId="0F17A4D8" w14:textId="77777777" w:rsidR="007C3549" w:rsidRPr="00381549" w:rsidRDefault="007C3549" w:rsidP="00381549">
    <w:pPr>
      <w:pStyle w:val="a3"/>
      <w:jc w:val="right"/>
      <w:rPr>
        <w:rFonts w:cs="David"/>
        <w:b/>
        <w:b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13C36"/>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970134"/>
    <w:multiLevelType w:val="multilevel"/>
    <w:tmpl w:val="804A16B6"/>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391D1A"/>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6A79D3"/>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C1A2556"/>
    <w:multiLevelType w:val="multilevel"/>
    <w:tmpl w:val="804A16B6"/>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CFE45C3"/>
    <w:multiLevelType w:val="multilevel"/>
    <w:tmpl w:val="03FC58DC"/>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9A0DB2"/>
    <w:multiLevelType w:val="multilevel"/>
    <w:tmpl w:val="804A16B6"/>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0B1E32"/>
    <w:multiLevelType w:val="multilevel"/>
    <w:tmpl w:val="804A16B6"/>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D1613AF"/>
    <w:multiLevelType w:val="hybridMultilevel"/>
    <w:tmpl w:val="62362D02"/>
    <w:lvl w:ilvl="0" w:tplc="C420B8A6">
      <w:start w:val="1"/>
      <w:numFmt w:val="decimal"/>
      <w:lvlText w:val="(%1)"/>
      <w:lvlJc w:val="left"/>
      <w:pPr>
        <w:ind w:left="1253" w:hanging="360"/>
      </w:pPr>
      <w:rPr>
        <w:rFonts w:hint="default"/>
      </w:rPr>
    </w:lvl>
    <w:lvl w:ilvl="1" w:tplc="04090019" w:tentative="1">
      <w:start w:val="1"/>
      <w:numFmt w:val="lowerLetter"/>
      <w:lvlText w:val="%2."/>
      <w:lvlJc w:val="left"/>
      <w:pPr>
        <w:ind w:left="1973" w:hanging="360"/>
      </w:pPr>
    </w:lvl>
    <w:lvl w:ilvl="2" w:tplc="0409001B" w:tentative="1">
      <w:start w:val="1"/>
      <w:numFmt w:val="lowerRoman"/>
      <w:lvlText w:val="%3."/>
      <w:lvlJc w:val="right"/>
      <w:pPr>
        <w:ind w:left="2693" w:hanging="180"/>
      </w:pPr>
    </w:lvl>
    <w:lvl w:ilvl="3" w:tplc="0409000F" w:tentative="1">
      <w:start w:val="1"/>
      <w:numFmt w:val="decimal"/>
      <w:lvlText w:val="%4."/>
      <w:lvlJc w:val="left"/>
      <w:pPr>
        <w:ind w:left="3413" w:hanging="360"/>
      </w:pPr>
    </w:lvl>
    <w:lvl w:ilvl="4" w:tplc="04090019" w:tentative="1">
      <w:start w:val="1"/>
      <w:numFmt w:val="lowerLetter"/>
      <w:lvlText w:val="%5."/>
      <w:lvlJc w:val="left"/>
      <w:pPr>
        <w:ind w:left="4133" w:hanging="360"/>
      </w:pPr>
    </w:lvl>
    <w:lvl w:ilvl="5" w:tplc="0409001B" w:tentative="1">
      <w:start w:val="1"/>
      <w:numFmt w:val="lowerRoman"/>
      <w:lvlText w:val="%6."/>
      <w:lvlJc w:val="right"/>
      <w:pPr>
        <w:ind w:left="4853" w:hanging="180"/>
      </w:pPr>
    </w:lvl>
    <w:lvl w:ilvl="6" w:tplc="0409000F" w:tentative="1">
      <w:start w:val="1"/>
      <w:numFmt w:val="decimal"/>
      <w:lvlText w:val="%7."/>
      <w:lvlJc w:val="left"/>
      <w:pPr>
        <w:ind w:left="5573" w:hanging="360"/>
      </w:pPr>
    </w:lvl>
    <w:lvl w:ilvl="7" w:tplc="04090019" w:tentative="1">
      <w:start w:val="1"/>
      <w:numFmt w:val="lowerLetter"/>
      <w:lvlText w:val="%8."/>
      <w:lvlJc w:val="left"/>
      <w:pPr>
        <w:ind w:left="6293" w:hanging="360"/>
      </w:pPr>
    </w:lvl>
    <w:lvl w:ilvl="8" w:tplc="0409001B" w:tentative="1">
      <w:start w:val="1"/>
      <w:numFmt w:val="lowerRoman"/>
      <w:lvlText w:val="%9."/>
      <w:lvlJc w:val="right"/>
      <w:pPr>
        <w:ind w:left="7013" w:hanging="180"/>
      </w:pPr>
    </w:lvl>
  </w:abstractNum>
  <w:abstractNum w:abstractNumId="9" w15:restartNumberingAfterBreak="0">
    <w:nsid w:val="51271A78"/>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991174"/>
    <w:multiLevelType w:val="hybridMultilevel"/>
    <w:tmpl w:val="396E7BAA"/>
    <w:lvl w:ilvl="0" w:tplc="C03EA602">
      <w:start w:val="1"/>
      <w:numFmt w:val="decimal"/>
      <w:lvlText w:val="%1-"/>
      <w:lvlJc w:val="left"/>
      <w:pPr>
        <w:ind w:left="830" w:hanging="360"/>
      </w:pPr>
      <w:rPr>
        <w:rFonts w:hint="default"/>
      </w:rPr>
    </w:lvl>
    <w:lvl w:ilvl="1" w:tplc="04090019">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72631273"/>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CBC1A62"/>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9"/>
  </w:num>
  <w:num w:numId="3">
    <w:abstractNumId w:val="10"/>
  </w:num>
  <w:num w:numId="4">
    <w:abstractNumId w:val="2"/>
  </w:num>
  <w:num w:numId="5">
    <w:abstractNumId w:val="3"/>
  </w:num>
  <w:num w:numId="6">
    <w:abstractNumId w:val="11"/>
  </w:num>
  <w:num w:numId="7">
    <w:abstractNumId w:val="0"/>
  </w:num>
  <w:num w:numId="8">
    <w:abstractNumId w:val="12"/>
  </w:num>
  <w:num w:numId="9">
    <w:abstractNumId w:val="8"/>
  </w:num>
  <w:num w:numId="10">
    <w:abstractNumId w:val="6"/>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142"/>
    <w:rsid w:val="00011C3C"/>
    <w:rsid w:val="00013B5E"/>
    <w:rsid w:val="000177A3"/>
    <w:rsid w:val="000236F0"/>
    <w:rsid w:val="0002387A"/>
    <w:rsid w:val="00032806"/>
    <w:rsid w:val="00032914"/>
    <w:rsid w:val="0003308B"/>
    <w:rsid w:val="00040A19"/>
    <w:rsid w:val="0006519D"/>
    <w:rsid w:val="0006593E"/>
    <w:rsid w:val="000725A6"/>
    <w:rsid w:val="00074254"/>
    <w:rsid w:val="00081048"/>
    <w:rsid w:val="00082A47"/>
    <w:rsid w:val="000848FD"/>
    <w:rsid w:val="000850DE"/>
    <w:rsid w:val="00087FA7"/>
    <w:rsid w:val="00095148"/>
    <w:rsid w:val="000B0639"/>
    <w:rsid w:val="000B2868"/>
    <w:rsid w:val="000B4412"/>
    <w:rsid w:val="000B7269"/>
    <w:rsid w:val="000C15DC"/>
    <w:rsid w:val="000C1A66"/>
    <w:rsid w:val="000C6DE9"/>
    <w:rsid w:val="000C6EDF"/>
    <w:rsid w:val="000D180C"/>
    <w:rsid w:val="000D260C"/>
    <w:rsid w:val="000D3E6B"/>
    <w:rsid w:val="000D6122"/>
    <w:rsid w:val="000D700B"/>
    <w:rsid w:val="000E6366"/>
    <w:rsid w:val="001042C6"/>
    <w:rsid w:val="0010446C"/>
    <w:rsid w:val="00110090"/>
    <w:rsid w:val="0011293A"/>
    <w:rsid w:val="0011604B"/>
    <w:rsid w:val="00122A25"/>
    <w:rsid w:val="001253F6"/>
    <w:rsid w:val="0012631A"/>
    <w:rsid w:val="0012733C"/>
    <w:rsid w:val="0014124C"/>
    <w:rsid w:val="001419D2"/>
    <w:rsid w:val="00141E8A"/>
    <w:rsid w:val="001518BF"/>
    <w:rsid w:val="00153A83"/>
    <w:rsid w:val="00156382"/>
    <w:rsid w:val="0016060A"/>
    <w:rsid w:val="001611B2"/>
    <w:rsid w:val="0016232E"/>
    <w:rsid w:val="00172AAD"/>
    <w:rsid w:val="00174575"/>
    <w:rsid w:val="001746CD"/>
    <w:rsid w:val="0017565A"/>
    <w:rsid w:val="00185BF8"/>
    <w:rsid w:val="00192C46"/>
    <w:rsid w:val="00192D34"/>
    <w:rsid w:val="0019691D"/>
    <w:rsid w:val="001A0DA3"/>
    <w:rsid w:val="001A5EC3"/>
    <w:rsid w:val="001A6ADE"/>
    <w:rsid w:val="001B108F"/>
    <w:rsid w:val="001B217F"/>
    <w:rsid w:val="001B7188"/>
    <w:rsid w:val="001C0B34"/>
    <w:rsid w:val="001C3A31"/>
    <w:rsid w:val="001C609D"/>
    <w:rsid w:val="001C6CFB"/>
    <w:rsid w:val="001C70F9"/>
    <w:rsid w:val="001D49A6"/>
    <w:rsid w:val="001D5B59"/>
    <w:rsid w:val="001E7DF8"/>
    <w:rsid w:val="001F0A83"/>
    <w:rsid w:val="001F1AE4"/>
    <w:rsid w:val="00201173"/>
    <w:rsid w:val="00205F7A"/>
    <w:rsid w:val="00221FD7"/>
    <w:rsid w:val="00223984"/>
    <w:rsid w:val="002403D0"/>
    <w:rsid w:val="00242472"/>
    <w:rsid w:val="0024589E"/>
    <w:rsid w:val="0024745A"/>
    <w:rsid w:val="002524A2"/>
    <w:rsid w:val="002535A2"/>
    <w:rsid w:val="00254C92"/>
    <w:rsid w:val="00260B5F"/>
    <w:rsid w:val="0027083A"/>
    <w:rsid w:val="0027099C"/>
    <w:rsid w:val="00272414"/>
    <w:rsid w:val="0028416B"/>
    <w:rsid w:val="0028649C"/>
    <w:rsid w:val="00286653"/>
    <w:rsid w:val="002925FF"/>
    <w:rsid w:val="00293364"/>
    <w:rsid w:val="00296142"/>
    <w:rsid w:val="002A1343"/>
    <w:rsid w:val="002A48F1"/>
    <w:rsid w:val="002A7102"/>
    <w:rsid w:val="002A7E69"/>
    <w:rsid w:val="002B1159"/>
    <w:rsid w:val="002B25CF"/>
    <w:rsid w:val="002C1A78"/>
    <w:rsid w:val="002C29C8"/>
    <w:rsid w:val="002D324C"/>
    <w:rsid w:val="002D51EE"/>
    <w:rsid w:val="002F0476"/>
    <w:rsid w:val="002F25F7"/>
    <w:rsid w:val="002F3E1F"/>
    <w:rsid w:val="002F5739"/>
    <w:rsid w:val="002F70E7"/>
    <w:rsid w:val="002F7D01"/>
    <w:rsid w:val="00303594"/>
    <w:rsid w:val="00303853"/>
    <w:rsid w:val="00312F3F"/>
    <w:rsid w:val="00314E48"/>
    <w:rsid w:val="00320D5D"/>
    <w:rsid w:val="00325716"/>
    <w:rsid w:val="00332D8F"/>
    <w:rsid w:val="0033637A"/>
    <w:rsid w:val="00336627"/>
    <w:rsid w:val="00340BA8"/>
    <w:rsid w:val="00342D00"/>
    <w:rsid w:val="00342D5A"/>
    <w:rsid w:val="0034399C"/>
    <w:rsid w:val="00344144"/>
    <w:rsid w:val="003523F7"/>
    <w:rsid w:val="00371420"/>
    <w:rsid w:val="0037375F"/>
    <w:rsid w:val="00376247"/>
    <w:rsid w:val="00381549"/>
    <w:rsid w:val="00383E66"/>
    <w:rsid w:val="003927B1"/>
    <w:rsid w:val="003A1E1F"/>
    <w:rsid w:val="003A4A51"/>
    <w:rsid w:val="003B38C1"/>
    <w:rsid w:val="003B5D0A"/>
    <w:rsid w:val="003B7E8F"/>
    <w:rsid w:val="003C3F9F"/>
    <w:rsid w:val="003D074E"/>
    <w:rsid w:val="003D44A8"/>
    <w:rsid w:val="003E5D5E"/>
    <w:rsid w:val="00401694"/>
    <w:rsid w:val="00402257"/>
    <w:rsid w:val="0040406B"/>
    <w:rsid w:val="004071A3"/>
    <w:rsid w:val="0042438C"/>
    <w:rsid w:val="00426A9D"/>
    <w:rsid w:val="0043331E"/>
    <w:rsid w:val="00440E5E"/>
    <w:rsid w:val="00440E6B"/>
    <w:rsid w:val="004461E8"/>
    <w:rsid w:val="0045378A"/>
    <w:rsid w:val="004611F5"/>
    <w:rsid w:val="00461F54"/>
    <w:rsid w:val="00462CAA"/>
    <w:rsid w:val="00466D97"/>
    <w:rsid w:val="00470883"/>
    <w:rsid w:val="004805E6"/>
    <w:rsid w:val="0048613D"/>
    <w:rsid w:val="004930AD"/>
    <w:rsid w:val="00494D7D"/>
    <w:rsid w:val="004A1C41"/>
    <w:rsid w:val="004A5DBB"/>
    <w:rsid w:val="004A5F6F"/>
    <w:rsid w:val="004B39EE"/>
    <w:rsid w:val="004B64E0"/>
    <w:rsid w:val="004C2A83"/>
    <w:rsid w:val="004C6058"/>
    <w:rsid w:val="004D02E3"/>
    <w:rsid w:val="004D464E"/>
    <w:rsid w:val="004D5F1D"/>
    <w:rsid w:val="004E1E7D"/>
    <w:rsid w:val="004E74D5"/>
    <w:rsid w:val="004F07A7"/>
    <w:rsid w:val="004F5515"/>
    <w:rsid w:val="004F605C"/>
    <w:rsid w:val="00511DED"/>
    <w:rsid w:val="00512468"/>
    <w:rsid w:val="00515321"/>
    <w:rsid w:val="00522BD6"/>
    <w:rsid w:val="00522C42"/>
    <w:rsid w:val="005255C7"/>
    <w:rsid w:val="00526314"/>
    <w:rsid w:val="00531C68"/>
    <w:rsid w:val="00531FC2"/>
    <w:rsid w:val="005329F8"/>
    <w:rsid w:val="005354B2"/>
    <w:rsid w:val="00536A94"/>
    <w:rsid w:val="00540A2F"/>
    <w:rsid w:val="005413D5"/>
    <w:rsid w:val="00544D28"/>
    <w:rsid w:val="00551B73"/>
    <w:rsid w:val="0055324E"/>
    <w:rsid w:val="005544E1"/>
    <w:rsid w:val="00556884"/>
    <w:rsid w:val="00562FB9"/>
    <w:rsid w:val="00572066"/>
    <w:rsid w:val="00574F97"/>
    <w:rsid w:val="00577040"/>
    <w:rsid w:val="00592FAB"/>
    <w:rsid w:val="00593B88"/>
    <w:rsid w:val="005963B3"/>
    <w:rsid w:val="00596D45"/>
    <w:rsid w:val="005A1A46"/>
    <w:rsid w:val="005A66F5"/>
    <w:rsid w:val="005B46FC"/>
    <w:rsid w:val="005C2B53"/>
    <w:rsid w:val="005C5D7A"/>
    <w:rsid w:val="005C7AB5"/>
    <w:rsid w:val="005D32E1"/>
    <w:rsid w:val="005D5577"/>
    <w:rsid w:val="005D7260"/>
    <w:rsid w:val="005D7A44"/>
    <w:rsid w:val="005E1A60"/>
    <w:rsid w:val="005E47D3"/>
    <w:rsid w:val="006005FC"/>
    <w:rsid w:val="00610E78"/>
    <w:rsid w:val="0061448E"/>
    <w:rsid w:val="00620487"/>
    <w:rsid w:val="00626655"/>
    <w:rsid w:val="006268A5"/>
    <w:rsid w:val="00626ED4"/>
    <w:rsid w:val="00632492"/>
    <w:rsid w:val="00634F50"/>
    <w:rsid w:val="006368B6"/>
    <w:rsid w:val="00650388"/>
    <w:rsid w:val="00653B70"/>
    <w:rsid w:val="00661099"/>
    <w:rsid w:val="0066447E"/>
    <w:rsid w:val="00665B32"/>
    <w:rsid w:val="00666CAB"/>
    <w:rsid w:val="00666E4A"/>
    <w:rsid w:val="00667858"/>
    <w:rsid w:val="006720A7"/>
    <w:rsid w:val="006722F2"/>
    <w:rsid w:val="006741F8"/>
    <w:rsid w:val="00674401"/>
    <w:rsid w:val="00683F1A"/>
    <w:rsid w:val="00687353"/>
    <w:rsid w:val="00690031"/>
    <w:rsid w:val="00690995"/>
    <w:rsid w:val="00690A46"/>
    <w:rsid w:val="0069569E"/>
    <w:rsid w:val="006A2A93"/>
    <w:rsid w:val="006A32F9"/>
    <w:rsid w:val="006B5673"/>
    <w:rsid w:val="006B578E"/>
    <w:rsid w:val="006B5F30"/>
    <w:rsid w:val="006B61E8"/>
    <w:rsid w:val="006B75B4"/>
    <w:rsid w:val="006B7C06"/>
    <w:rsid w:val="006C4BD0"/>
    <w:rsid w:val="006E04C2"/>
    <w:rsid w:val="006E22BC"/>
    <w:rsid w:val="006E37EF"/>
    <w:rsid w:val="006E6AC3"/>
    <w:rsid w:val="006E7667"/>
    <w:rsid w:val="006F0E04"/>
    <w:rsid w:val="006F1D3B"/>
    <w:rsid w:val="006F320A"/>
    <w:rsid w:val="006F369C"/>
    <w:rsid w:val="00700B8A"/>
    <w:rsid w:val="007102A9"/>
    <w:rsid w:val="00710C49"/>
    <w:rsid w:val="00715FA0"/>
    <w:rsid w:val="007221F9"/>
    <w:rsid w:val="00722A06"/>
    <w:rsid w:val="00725F15"/>
    <w:rsid w:val="0073222F"/>
    <w:rsid w:val="00734478"/>
    <w:rsid w:val="00734C18"/>
    <w:rsid w:val="00734FC4"/>
    <w:rsid w:val="00736F80"/>
    <w:rsid w:val="00740623"/>
    <w:rsid w:val="0074445B"/>
    <w:rsid w:val="0075176C"/>
    <w:rsid w:val="00752FE9"/>
    <w:rsid w:val="00754F99"/>
    <w:rsid w:val="00756C9C"/>
    <w:rsid w:val="0076730E"/>
    <w:rsid w:val="00770D04"/>
    <w:rsid w:val="00776172"/>
    <w:rsid w:val="00780E28"/>
    <w:rsid w:val="007853ED"/>
    <w:rsid w:val="0079583F"/>
    <w:rsid w:val="007A3130"/>
    <w:rsid w:val="007B4CD6"/>
    <w:rsid w:val="007B7BB0"/>
    <w:rsid w:val="007C3549"/>
    <w:rsid w:val="007D4998"/>
    <w:rsid w:val="007D62F8"/>
    <w:rsid w:val="007D7FDE"/>
    <w:rsid w:val="007E0025"/>
    <w:rsid w:val="007E00D1"/>
    <w:rsid w:val="007E03E5"/>
    <w:rsid w:val="007E0BF6"/>
    <w:rsid w:val="007E144B"/>
    <w:rsid w:val="007E1953"/>
    <w:rsid w:val="007F0250"/>
    <w:rsid w:val="007F118B"/>
    <w:rsid w:val="007F1985"/>
    <w:rsid w:val="007F2FF6"/>
    <w:rsid w:val="007F427B"/>
    <w:rsid w:val="007F607C"/>
    <w:rsid w:val="00803326"/>
    <w:rsid w:val="00806341"/>
    <w:rsid w:val="00815B28"/>
    <w:rsid w:val="00830397"/>
    <w:rsid w:val="00832BBB"/>
    <w:rsid w:val="0083606D"/>
    <w:rsid w:val="00837416"/>
    <w:rsid w:val="0084193E"/>
    <w:rsid w:val="00845DC5"/>
    <w:rsid w:val="0084669E"/>
    <w:rsid w:val="00847590"/>
    <w:rsid w:val="00861B5B"/>
    <w:rsid w:val="008654D3"/>
    <w:rsid w:val="008728E6"/>
    <w:rsid w:val="008767CB"/>
    <w:rsid w:val="00877532"/>
    <w:rsid w:val="0089237B"/>
    <w:rsid w:val="008A2521"/>
    <w:rsid w:val="008A3D76"/>
    <w:rsid w:val="008A5B7D"/>
    <w:rsid w:val="008B2BED"/>
    <w:rsid w:val="008B31DC"/>
    <w:rsid w:val="008B46C4"/>
    <w:rsid w:val="008C4583"/>
    <w:rsid w:val="008C4B08"/>
    <w:rsid w:val="008C4DDA"/>
    <w:rsid w:val="008D1620"/>
    <w:rsid w:val="008D3508"/>
    <w:rsid w:val="008F23E3"/>
    <w:rsid w:val="008F5D0D"/>
    <w:rsid w:val="00904851"/>
    <w:rsid w:val="00906A86"/>
    <w:rsid w:val="00907F3B"/>
    <w:rsid w:val="0091078E"/>
    <w:rsid w:val="009119B8"/>
    <w:rsid w:val="009174EB"/>
    <w:rsid w:val="00917FEF"/>
    <w:rsid w:val="00920251"/>
    <w:rsid w:val="00923C05"/>
    <w:rsid w:val="00934545"/>
    <w:rsid w:val="0093460A"/>
    <w:rsid w:val="009366B3"/>
    <w:rsid w:val="00936EED"/>
    <w:rsid w:val="00944921"/>
    <w:rsid w:val="009472E8"/>
    <w:rsid w:val="009479AF"/>
    <w:rsid w:val="00962DB5"/>
    <w:rsid w:val="00964127"/>
    <w:rsid w:val="0097414A"/>
    <w:rsid w:val="009837F7"/>
    <w:rsid w:val="00991D54"/>
    <w:rsid w:val="0099345A"/>
    <w:rsid w:val="00994020"/>
    <w:rsid w:val="00995148"/>
    <w:rsid w:val="009979C4"/>
    <w:rsid w:val="009A712E"/>
    <w:rsid w:val="009A7E30"/>
    <w:rsid w:val="009B7467"/>
    <w:rsid w:val="009C20E0"/>
    <w:rsid w:val="009C3D7C"/>
    <w:rsid w:val="009C64C0"/>
    <w:rsid w:val="009D380A"/>
    <w:rsid w:val="009D3F68"/>
    <w:rsid w:val="009E7B9B"/>
    <w:rsid w:val="009F1866"/>
    <w:rsid w:val="009F2876"/>
    <w:rsid w:val="009F6DA2"/>
    <w:rsid w:val="00A00A2F"/>
    <w:rsid w:val="00A00BAD"/>
    <w:rsid w:val="00A06BFC"/>
    <w:rsid w:val="00A07FB3"/>
    <w:rsid w:val="00A10915"/>
    <w:rsid w:val="00A138C9"/>
    <w:rsid w:val="00A20593"/>
    <w:rsid w:val="00A22AFB"/>
    <w:rsid w:val="00A2632D"/>
    <w:rsid w:val="00A374CC"/>
    <w:rsid w:val="00A42C9E"/>
    <w:rsid w:val="00A44C31"/>
    <w:rsid w:val="00A47CD0"/>
    <w:rsid w:val="00A50907"/>
    <w:rsid w:val="00A5245B"/>
    <w:rsid w:val="00A53880"/>
    <w:rsid w:val="00A56CA9"/>
    <w:rsid w:val="00A619FE"/>
    <w:rsid w:val="00A62C70"/>
    <w:rsid w:val="00A659BA"/>
    <w:rsid w:val="00A678CA"/>
    <w:rsid w:val="00A75A5F"/>
    <w:rsid w:val="00A7714D"/>
    <w:rsid w:val="00A81071"/>
    <w:rsid w:val="00A9332E"/>
    <w:rsid w:val="00A95878"/>
    <w:rsid w:val="00AA3716"/>
    <w:rsid w:val="00AA6CE1"/>
    <w:rsid w:val="00AC3D83"/>
    <w:rsid w:val="00AC3E87"/>
    <w:rsid w:val="00AD2B64"/>
    <w:rsid w:val="00AE1958"/>
    <w:rsid w:val="00AF11F4"/>
    <w:rsid w:val="00AF3F96"/>
    <w:rsid w:val="00B00AA1"/>
    <w:rsid w:val="00B137E9"/>
    <w:rsid w:val="00B16167"/>
    <w:rsid w:val="00B16CBD"/>
    <w:rsid w:val="00B264A0"/>
    <w:rsid w:val="00B2733A"/>
    <w:rsid w:val="00B362F4"/>
    <w:rsid w:val="00B36815"/>
    <w:rsid w:val="00B400C7"/>
    <w:rsid w:val="00B5298A"/>
    <w:rsid w:val="00B5379A"/>
    <w:rsid w:val="00B67009"/>
    <w:rsid w:val="00B7392C"/>
    <w:rsid w:val="00B80238"/>
    <w:rsid w:val="00B80F99"/>
    <w:rsid w:val="00B8299C"/>
    <w:rsid w:val="00B93452"/>
    <w:rsid w:val="00BA426D"/>
    <w:rsid w:val="00BB0F40"/>
    <w:rsid w:val="00BB6234"/>
    <w:rsid w:val="00BC4087"/>
    <w:rsid w:val="00BD725C"/>
    <w:rsid w:val="00BE17E9"/>
    <w:rsid w:val="00BE61F9"/>
    <w:rsid w:val="00BE7827"/>
    <w:rsid w:val="00BE7852"/>
    <w:rsid w:val="00BF1E34"/>
    <w:rsid w:val="00BF26A6"/>
    <w:rsid w:val="00BF31C0"/>
    <w:rsid w:val="00C00899"/>
    <w:rsid w:val="00C02312"/>
    <w:rsid w:val="00C03A9B"/>
    <w:rsid w:val="00C05C69"/>
    <w:rsid w:val="00C13185"/>
    <w:rsid w:val="00C16BBC"/>
    <w:rsid w:val="00C175B6"/>
    <w:rsid w:val="00C2191C"/>
    <w:rsid w:val="00C363E5"/>
    <w:rsid w:val="00C40418"/>
    <w:rsid w:val="00C4446D"/>
    <w:rsid w:val="00C66618"/>
    <w:rsid w:val="00C66963"/>
    <w:rsid w:val="00C66C42"/>
    <w:rsid w:val="00C70011"/>
    <w:rsid w:val="00C704A4"/>
    <w:rsid w:val="00C73ED4"/>
    <w:rsid w:val="00C91262"/>
    <w:rsid w:val="00C9597F"/>
    <w:rsid w:val="00C9745E"/>
    <w:rsid w:val="00CA3BDF"/>
    <w:rsid w:val="00CB4AEC"/>
    <w:rsid w:val="00CB4F4A"/>
    <w:rsid w:val="00CB622F"/>
    <w:rsid w:val="00CB78EF"/>
    <w:rsid w:val="00CC0389"/>
    <w:rsid w:val="00CC1A69"/>
    <w:rsid w:val="00CC31BB"/>
    <w:rsid w:val="00CC37ED"/>
    <w:rsid w:val="00CC6573"/>
    <w:rsid w:val="00CD5FF5"/>
    <w:rsid w:val="00CE6B23"/>
    <w:rsid w:val="00D05A50"/>
    <w:rsid w:val="00D1005D"/>
    <w:rsid w:val="00D12063"/>
    <w:rsid w:val="00D227BA"/>
    <w:rsid w:val="00D273C7"/>
    <w:rsid w:val="00D276F3"/>
    <w:rsid w:val="00D360E3"/>
    <w:rsid w:val="00D43065"/>
    <w:rsid w:val="00D46DBA"/>
    <w:rsid w:val="00D71B98"/>
    <w:rsid w:val="00D7301C"/>
    <w:rsid w:val="00D73CCF"/>
    <w:rsid w:val="00D920F6"/>
    <w:rsid w:val="00D93EB5"/>
    <w:rsid w:val="00D9421E"/>
    <w:rsid w:val="00D94B06"/>
    <w:rsid w:val="00DB0C5E"/>
    <w:rsid w:val="00DB76BC"/>
    <w:rsid w:val="00DC1C39"/>
    <w:rsid w:val="00DC5682"/>
    <w:rsid w:val="00DD050C"/>
    <w:rsid w:val="00DD175C"/>
    <w:rsid w:val="00DF3B1A"/>
    <w:rsid w:val="00DF7297"/>
    <w:rsid w:val="00E02894"/>
    <w:rsid w:val="00E03BA8"/>
    <w:rsid w:val="00E10FEA"/>
    <w:rsid w:val="00E21281"/>
    <w:rsid w:val="00E23949"/>
    <w:rsid w:val="00E26EFE"/>
    <w:rsid w:val="00E407FC"/>
    <w:rsid w:val="00E47DCB"/>
    <w:rsid w:val="00E50199"/>
    <w:rsid w:val="00E5301E"/>
    <w:rsid w:val="00E61F29"/>
    <w:rsid w:val="00E708E0"/>
    <w:rsid w:val="00E72F07"/>
    <w:rsid w:val="00E74A8A"/>
    <w:rsid w:val="00E74E20"/>
    <w:rsid w:val="00E76AB7"/>
    <w:rsid w:val="00E7764B"/>
    <w:rsid w:val="00E86080"/>
    <w:rsid w:val="00E90957"/>
    <w:rsid w:val="00E91047"/>
    <w:rsid w:val="00EA029A"/>
    <w:rsid w:val="00EA07A9"/>
    <w:rsid w:val="00EA31E4"/>
    <w:rsid w:val="00EA3DFA"/>
    <w:rsid w:val="00EC076D"/>
    <w:rsid w:val="00EC09E8"/>
    <w:rsid w:val="00EC5599"/>
    <w:rsid w:val="00EC567B"/>
    <w:rsid w:val="00ED092D"/>
    <w:rsid w:val="00ED0C31"/>
    <w:rsid w:val="00ED31F6"/>
    <w:rsid w:val="00ED7A29"/>
    <w:rsid w:val="00EE0BE0"/>
    <w:rsid w:val="00EE3A69"/>
    <w:rsid w:val="00EE3D38"/>
    <w:rsid w:val="00EE5000"/>
    <w:rsid w:val="00EF185D"/>
    <w:rsid w:val="00EF3247"/>
    <w:rsid w:val="00EF7EF7"/>
    <w:rsid w:val="00F01F31"/>
    <w:rsid w:val="00F02669"/>
    <w:rsid w:val="00F06805"/>
    <w:rsid w:val="00F1178E"/>
    <w:rsid w:val="00F14DA7"/>
    <w:rsid w:val="00F20EA5"/>
    <w:rsid w:val="00F2264C"/>
    <w:rsid w:val="00F22CB5"/>
    <w:rsid w:val="00F3258C"/>
    <w:rsid w:val="00F41DB8"/>
    <w:rsid w:val="00F44342"/>
    <w:rsid w:val="00F46766"/>
    <w:rsid w:val="00F50B46"/>
    <w:rsid w:val="00F55A55"/>
    <w:rsid w:val="00F6133D"/>
    <w:rsid w:val="00F61DB3"/>
    <w:rsid w:val="00F631F8"/>
    <w:rsid w:val="00F64A36"/>
    <w:rsid w:val="00F72B55"/>
    <w:rsid w:val="00F75A64"/>
    <w:rsid w:val="00F77507"/>
    <w:rsid w:val="00F81BCA"/>
    <w:rsid w:val="00F8377D"/>
    <w:rsid w:val="00F83D7F"/>
    <w:rsid w:val="00F8457C"/>
    <w:rsid w:val="00F963A9"/>
    <w:rsid w:val="00FB5064"/>
    <w:rsid w:val="00FB57C8"/>
    <w:rsid w:val="00FC454E"/>
    <w:rsid w:val="00FD7007"/>
    <w:rsid w:val="00FD7711"/>
    <w:rsid w:val="00FE76EA"/>
    <w:rsid w:val="00FF4A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10EC4"/>
  <w15:docId w15:val="{1643E94B-D9EE-485B-86B8-09CB3D1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5">
    <w:name w:val="heading 5"/>
    <w:basedOn w:val="a"/>
    <w:link w:val="50"/>
    <w:uiPriority w:val="9"/>
    <w:qFormat/>
    <w:rsid w:val="006741F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nhideWhenUsed/>
    <w:rsid w:val="00272414"/>
    <w:rPr>
      <w:color w:val="0000FF"/>
      <w:u w:val="single"/>
    </w:rPr>
  </w:style>
  <w:style w:type="paragraph" w:styleId="a3">
    <w:name w:val="header"/>
    <w:basedOn w:val="a"/>
    <w:link w:val="a4"/>
    <w:unhideWhenUsed/>
    <w:rsid w:val="00C66618"/>
    <w:pPr>
      <w:tabs>
        <w:tab w:val="center" w:pos="4153"/>
        <w:tab w:val="right" w:pos="8306"/>
      </w:tabs>
      <w:spacing w:after="0" w:line="240" w:lineRule="auto"/>
    </w:pPr>
  </w:style>
  <w:style w:type="character" w:customStyle="1" w:styleId="a4">
    <w:name w:val="כותרת עליונה תו"/>
    <w:basedOn w:val="a0"/>
    <w:link w:val="a3"/>
    <w:uiPriority w:val="99"/>
    <w:rsid w:val="00C66618"/>
  </w:style>
  <w:style w:type="paragraph" w:styleId="a5">
    <w:name w:val="footer"/>
    <w:basedOn w:val="a"/>
    <w:link w:val="a6"/>
    <w:unhideWhenUsed/>
    <w:rsid w:val="00C66618"/>
    <w:pPr>
      <w:tabs>
        <w:tab w:val="center" w:pos="4153"/>
        <w:tab w:val="right" w:pos="8306"/>
      </w:tabs>
      <w:spacing w:after="0" w:line="240" w:lineRule="auto"/>
    </w:pPr>
  </w:style>
  <w:style w:type="character" w:customStyle="1" w:styleId="a6">
    <w:name w:val="כותרת תחתונה תו"/>
    <w:basedOn w:val="a0"/>
    <w:link w:val="a5"/>
    <w:rsid w:val="00C66618"/>
  </w:style>
  <w:style w:type="paragraph" w:customStyle="1" w:styleId="a7">
    <w:name w:val="ציטו"/>
    <w:basedOn w:val="a"/>
    <w:qFormat/>
    <w:rsid w:val="003D074E"/>
    <w:pPr>
      <w:spacing w:line="360" w:lineRule="auto"/>
      <w:jc w:val="both"/>
    </w:pPr>
    <w:rPr>
      <w:rFonts w:cs="David"/>
      <w:sz w:val="24"/>
      <w:szCs w:val="24"/>
    </w:rPr>
  </w:style>
  <w:style w:type="paragraph" w:styleId="a8">
    <w:name w:val="Intense Quote"/>
    <w:basedOn w:val="a"/>
    <w:next w:val="a"/>
    <w:link w:val="a9"/>
    <w:uiPriority w:val="30"/>
    <w:qFormat/>
    <w:rsid w:val="003D074E"/>
    <w:pPr>
      <w:pBdr>
        <w:bottom w:val="single" w:sz="4" w:space="4" w:color="5B9BD5" w:themeColor="accent1"/>
      </w:pBdr>
      <w:spacing w:before="200" w:after="280"/>
      <w:ind w:left="936" w:right="936"/>
    </w:pPr>
    <w:rPr>
      <w:b/>
      <w:bCs/>
      <w:i/>
      <w:iCs/>
      <w:color w:val="5B9BD5" w:themeColor="accent1"/>
    </w:rPr>
  </w:style>
  <w:style w:type="character" w:customStyle="1" w:styleId="a9">
    <w:name w:val="ציטוט חזק תו"/>
    <w:basedOn w:val="a0"/>
    <w:link w:val="a8"/>
    <w:uiPriority w:val="30"/>
    <w:rsid w:val="003D074E"/>
    <w:rPr>
      <w:b/>
      <w:bCs/>
      <w:i/>
      <w:iCs/>
      <w:color w:val="5B9BD5" w:themeColor="accent1"/>
    </w:rPr>
  </w:style>
  <w:style w:type="paragraph" w:styleId="aa">
    <w:name w:val="Balloon Text"/>
    <w:basedOn w:val="a"/>
    <w:link w:val="ab"/>
    <w:uiPriority w:val="99"/>
    <w:semiHidden/>
    <w:unhideWhenUsed/>
    <w:rsid w:val="00F83D7F"/>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F83D7F"/>
    <w:rPr>
      <w:rFonts w:ascii="Tahoma" w:hAnsi="Tahoma" w:cs="Tahoma"/>
      <w:sz w:val="16"/>
      <w:szCs w:val="16"/>
    </w:rPr>
  </w:style>
  <w:style w:type="character" w:styleId="ac">
    <w:name w:val="line number"/>
    <w:basedOn w:val="a0"/>
    <w:uiPriority w:val="99"/>
    <w:semiHidden/>
    <w:unhideWhenUsed/>
    <w:rsid w:val="00E72F07"/>
  </w:style>
  <w:style w:type="character" w:styleId="ad">
    <w:name w:val="Placeholder Text"/>
    <w:basedOn w:val="a0"/>
    <w:uiPriority w:val="99"/>
    <w:semiHidden/>
    <w:rsid w:val="00011C3C"/>
    <w:rPr>
      <w:color w:val="808080"/>
    </w:rPr>
  </w:style>
  <w:style w:type="character" w:styleId="ae">
    <w:name w:val="Subtle Emphasis"/>
    <w:basedOn w:val="a0"/>
    <w:uiPriority w:val="19"/>
    <w:qFormat/>
    <w:rsid w:val="00B93452"/>
    <w:rPr>
      <w:i/>
      <w:iCs/>
      <w:color w:val="808080" w:themeColor="text1" w:themeTint="7F"/>
    </w:rPr>
  </w:style>
  <w:style w:type="paragraph" w:styleId="af">
    <w:name w:val="List Paragraph"/>
    <w:basedOn w:val="a"/>
    <w:qFormat/>
    <w:rsid w:val="004C6058"/>
    <w:pPr>
      <w:ind w:left="720"/>
      <w:contextualSpacing/>
    </w:pPr>
  </w:style>
  <w:style w:type="character" w:customStyle="1" w:styleId="default">
    <w:name w:val="default"/>
    <w:rsid w:val="004C6058"/>
    <w:rPr>
      <w:rFonts w:ascii="Times New Roman" w:hAnsi="Times New Roman" w:cs="Times New Roman"/>
      <w:sz w:val="26"/>
      <w:szCs w:val="26"/>
    </w:rPr>
  </w:style>
  <w:style w:type="table" w:styleId="af0">
    <w:name w:val="Table Grid"/>
    <w:basedOn w:val="a1"/>
    <w:uiPriority w:val="39"/>
    <w:rsid w:val="000C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ציטוט פסיקה וחוק"/>
    <w:basedOn w:val="af"/>
    <w:qFormat/>
    <w:rsid w:val="00551B73"/>
    <w:pPr>
      <w:spacing w:line="360" w:lineRule="auto"/>
      <w:ind w:left="1177" w:right="993"/>
      <w:contextualSpacing w:val="0"/>
      <w:jc w:val="both"/>
    </w:pPr>
    <w:rPr>
      <w:rFonts w:ascii="FrankRuehl" w:hAnsi="FrankRuehl" w:cs="FrankRuehl"/>
      <w:sz w:val="24"/>
      <w:szCs w:val="24"/>
    </w:rPr>
  </w:style>
  <w:style w:type="paragraph" w:customStyle="1" w:styleId="P00">
    <w:name w:val="P00"/>
    <w:link w:val="P000"/>
    <w:rsid w:val="00754F9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P000">
    <w:name w:val="P00 תו"/>
    <w:link w:val="P00"/>
    <w:rsid w:val="00754F99"/>
    <w:rPr>
      <w:rFonts w:ascii="Times New Roman" w:eastAsia="Times New Roman" w:hAnsi="Times New Roman" w:cs="Times New Roman"/>
      <w:noProof/>
      <w:sz w:val="20"/>
      <w:szCs w:val="26"/>
      <w:lang w:eastAsia="he-IL"/>
    </w:rPr>
  </w:style>
  <w:style w:type="paragraph" w:customStyle="1" w:styleId="P22">
    <w:name w:val="P22"/>
    <w:basedOn w:val="P00"/>
    <w:rsid w:val="00754F99"/>
    <w:pPr>
      <w:tabs>
        <w:tab w:val="clear" w:pos="624"/>
        <w:tab w:val="clear" w:pos="1021"/>
      </w:tabs>
      <w:ind w:right="1021"/>
    </w:pPr>
  </w:style>
  <w:style w:type="character" w:customStyle="1" w:styleId="big-number">
    <w:name w:val="big-number"/>
    <w:basedOn w:val="default"/>
    <w:rsid w:val="0043331E"/>
    <w:rPr>
      <w:rFonts w:ascii="Times New Roman" w:hAnsi="Times New Roman" w:cs="Times New Roman"/>
      <w:sz w:val="32"/>
      <w:szCs w:val="32"/>
    </w:rPr>
  </w:style>
  <w:style w:type="paragraph" w:customStyle="1" w:styleId="Ruller4">
    <w:name w:val="Ruller4"/>
    <w:basedOn w:val="a"/>
    <w:rsid w:val="004A5DBB"/>
    <w:pPr>
      <w:tabs>
        <w:tab w:val="left" w:pos="800"/>
      </w:tabs>
      <w:overflowPunct w:val="0"/>
      <w:autoSpaceDE w:val="0"/>
      <w:autoSpaceDN w:val="0"/>
      <w:adjustRightInd w:val="0"/>
      <w:spacing w:after="0" w:line="360" w:lineRule="auto"/>
      <w:jc w:val="both"/>
    </w:pPr>
    <w:rPr>
      <w:rFonts w:ascii="Arial TUR" w:eastAsia="Times New Roman" w:hAnsi="Arial TUR" w:cs="FrankRuehl"/>
      <w:spacing w:val="10"/>
      <w:szCs w:val="28"/>
      <w:lang w:eastAsia="he-IL"/>
    </w:rPr>
  </w:style>
  <w:style w:type="paragraph" w:customStyle="1" w:styleId="1">
    <w:name w:val="פיסקת רשימה1"/>
    <w:basedOn w:val="a"/>
    <w:link w:val="ListParagraphChar1"/>
    <w:rsid w:val="007B7BB0"/>
    <w:pPr>
      <w:ind w:left="720"/>
      <w:contextualSpacing/>
    </w:pPr>
    <w:rPr>
      <w:rFonts w:ascii="Calibri" w:eastAsia="Calibri" w:hAnsi="Calibri" w:cs="Arial"/>
    </w:rPr>
  </w:style>
  <w:style w:type="paragraph" w:customStyle="1" w:styleId="11">
    <w:name w:val="פיסקת רשימה11"/>
    <w:basedOn w:val="a"/>
    <w:link w:val="ListParagraphChar"/>
    <w:rsid w:val="007B7BB0"/>
    <w:pPr>
      <w:ind w:left="720"/>
      <w:contextualSpacing/>
    </w:pPr>
    <w:rPr>
      <w:rFonts w:ascii="Calibri" w:eastAsia="Times New Roman" w:hAnsi="Calibri" w:cs="Arial"/>
    </w:rPr>
  </w:style>
  <w:style w:type="paragraph" w:customStyle="1" w:styleId="2">
    <w:name w:val="פיסקת רשימה2"/>
    <w:basedOn w:val="a"/>
    <w:rsid w:val="007B7BB0"/>
    <w:pPr>
      <w:ind w:left="720"/>
      <w:contextualSpacing/>
    </w:pPr>
    <w:rPr>
      <w:rFonts w:ascii="Calibri" w:eastAsia="Calibri" w:hAnsi="Calibri" w:cs="Arial"/>
    </w:rPr>
  </w:style>
  <w:style w:type="character" w:customStyle="1" w:styleId="ListParagraphChar">
    <w:name w:val="List Paragraph Char"/>
    <w:link w:val="11"/>
    <w:locked/>
    <w:rsid w:val="007B7BB0"/>
    <w:rPr>
      <w:rFonts w:ascii="Calibri" w:eastAsia="Times New Roman" w:hAnsi="Calibri" w:cs="Arial"/>
    </w:rPr>
  </w:style>
  <w:style w:type="character" w:customStyle="1" w:styleId="ListParagraphChar1">
    <w:name w:val="List Paragraph Char1"/>
    <w:link w:val="1"/>
    <w:locked/>
    <w:rsid w:val="007B7BB0"/>
    <w:rPr>
      <w:rFonts w:ascii="Calibri" w:eastAsia="Calibri" w:hAnsi="Calibri" w:cs="Arial"/>
    </w:rPr>
  </w:style>
  <w:style w:type="character" w:customStyle="1" w:styleId="50">
    <w:name w:val="כותרת 5 תו"/>
    <w:basedOn w:val="a0"/>
    <w:link w:val="5"/>
    <w:uiPriority w:val="9"/>
    <w:rsid w:val="006741F8"/>
    <w:rPr>
      <w:rFonts w:ascii="Times New Roman" w:eastAsia="Times New Roman" w:hAnsi="Times New Roman" w:cs="Times New Roman"/>
      <w:b/>
      <w:bCs/>
      <w:sz w:val="20"/>
      <w:szCs w:val="20"/>
    </w:rPr>
  </w:style>
  <w:style w:type="paragraph" w:styleId="af2">
    <w:name w:val="Revision"/>
    <w:hidden/>
    <w:uiPriority w:val="99"/>
    <w:semiHidden/>
    <w:rsid w:val="002F7D01"/>
    <w:pPr>
      <w:spacing w:after="0" w:line="240" w:lineRule="auto"/>
    </w:pPr>
  </w:style>
  <w:style w:type="character" w:styleId="af3">
    <w:name w:val="annotation reference"/>
    <w:basedOn w:val="a0"/>
    <w:uiPriority w:val="99"/>
    <w:semiHidden/>
    <w:unhideWhenUsed/>
    <w:rsid w:val="00C16BBC"/>
    <w:rPr>
      <w:sz w:val="16"/>
      <w:szCs w:val="16"/>
    </w:rPr>
  </w:style>
  <w:style w:type="paragraph" w:styleId="af4">
    <w:name w:val="annotation text"/>
    <w:basedOn w:val="a"/>
    <w:link w:val="af5"/>
    <w:uiPriority w:val="99"/>
    <w:unhideWhenUsed/>
    <w:rsid w:val="00C16BBC"/>
    <w:pPr>
      <w:spacing w:line="240" w:lineRule="auto"/>
    </w:pPr>
    <w:rPr>
      <w:sz w:val="20"/>
      <w:szCs w:val="20"/>
    </w:rPr>
  </w:style>
  <w:style w:type="character" w:customStyle="1" w:styleId="af5">
    <w:name w:val="טקסט הערה תו"/>
    <w:basedOn w:val="a0"/>
    <w:link w:val="af4"/>
    <w:uiPriority w:val="99"/>
    <w:rsid w:val="00C16BBC"/>
    <w:rPr>
      <w:sz w:val="20"/>
      <w:szCs w:val="20"/>
    </w:rPr>
  </w:style>
  <w:style w:type="paragraph" w:styleId="af6">
    <w:name w:val="annotation subject"/>
    <w:basedOn w:val="af4"/>
    <w:next w:val="af4"/>
    <w:link w:val="af7"/>
    <w:uiPriority w:val="99"/>
    <w:semiHidden/>
    <w:unhideWhenUsed/>
    <w:rsid w:val="00C16BBC"/>
    <w:rPr>
      <w:b/>
      <w:bCs/>
    </w:rPr>
  </w:style>
  <w:style w:type="character" w:customStyle="1" w:styleId="af7">
    <w:name w:val="נושא הערה תו"/>
    <w:basedOn w:val="af5"/>
    <w:link w:val="af6"/>
    <w:uiPriority w:val="99"/>
    <w:semiHidden/>
    <w:rsid w:val="00C16BB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20897">
      <w:bodyDiv w:val="1"/>
      <w:marLeft w:val="0"/>
      <w:marRight w:val="0"/>
      <w:marTop w:val="0"/>
      <w:marBottom w:val="0"/>
      <w:divBdr>
        <w:top w:val="none" w:sz="0" w:space="0" w:color="auto"/>
        <w:left w:val="none" w:sz="0" w:space="0" w:color="auto"/>
        <w:bottom w:val="none" w:sz="0" w:space="0" w:color="auto"/>
        <w:right w:val="none" w:sz="0" w:space="0" w:color="auto"/>
      </w:divBdr>
    </w:div>
    <w:div w:id="488791957">
      <w:bodyDiv w:val="1"/>
      <w:marLeft w:val="0"/>
      <w:marRight w:val="0"/>
      <w:marTop w:val="0"/>
      <w:marBottom w:val="0"/>
      <w:divBdr>
        <w:top w:val="none" w:sz="0" w:space="0" w:color="auto"/>
        <w:left w:val="none" w:sz="0" w:space="0" w:color="auto"/>
        <w:bottom w:val="none" w:sz="0" w:space="0" w:color="auto"/>
        <w:right w:val="none" w:sz="0" w:space="0" w:color="auto"/>
      </w:divBdr>
    </w:div>
    <w:div w:id="755592414">
      <w:bodyDiv w:val="1"/>
      <w:marLeft w:val="0"/>
      <w:marRight w:val="0"/>
      <w:marTop w:val="0"/>
      <w:marBottom w:val="0"/>
      <w:divBdr>
        <w:top w:val="none" w:sz="0" w:space="0" w:color="auto"/>
        <w:left w:val="none" w:sz="0" w:space="0" w:color="auto"/>
        <w:bottom w:val="none" w:sz="0" w:space="0" w:color="auto"/>
        <w:right w:val="none" w:sz="0" w:space="0" w:color="auto"/>
      </w:divBdr>
    </w:div>
    <w:div w:id="829058200">
      <w:bodyDiv w:val="1"/>
      <w:marLeft w:val="0"/>
      <w:marRight w:val="0"/>
      <w:marTop w:val="0"/>
      <w:marBottom w:val="0"/>
      <w:divBdr>
        <w:top w:val="none" w:sz="0" w:space="0" w:color="auto"/>
        <w:left w:val="none" w:sz="0" w:space="0" w:color="auto"/>
        <w:bottom w:val="none" w:sz="0" w:space="0" w:color="auto"/>
        <w:right w:val="none" w:sz="0" w:space="0" w:color="auto"/>
      </w:divBdr>
    </w:div>
    <w:div w:id="1511137210">
      <w:bodyDiv w:val="1"/>
      <w:marLeft w:val="0"/>
      <w:marRight w:val="0"/>
      <w:marTop w:val="0"/>
      <w:marBottom w:val="0"/>
      <w:divBdr>
        <w:top w:val="none" w:sz="0" w:space="0" w:color="auto"/>
        <w:left w:val="none" w:sz="0" w:space="0" w:color="auto"/>
        <w:bottom w:val="none" w:sz="0" w:space="0" w:color="auto"/>
        <w:right w:val="none" w:sz="0" w:space="0" w:color="auto"/>
      </w:divBdr>
    </w:div>
    <w:div w:id="1646274185">
      <w:bodyDiv w:val="1"/>
      <w:marLeft w:val="0"/>
      <w:marRight w:val="0"/>
      <w:marTop w:val="0"/>
      <w:marBottom w:val="0"/>
      <w:divBdr>
        <w:top w:val="none" w:sz="0" w:space="0" w:color="auto"/>
        <w:left w:val="none" w:sz="0" w:space="0" w:color="auto"/>
        <w:bottom w:val="none" w:sz="0" w:space="0" w:color="auto"/>
        <w:right w:val="none" w:sz="0" w:space="0" w:color="auto"/>
      </w:divBdr>
    </w:div>
    <w:div w:id="1890143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evo.co.il/case/17924551" TargetMode="External"/><Relationship Id="rId18" Type="http://schemas.openxmlformats.org/officeDocument/2006/relationships/hyperlink" Target="http://www.nevo.co.il/law/98603" TargetMode="External"/><Relationship Id="rId26" Type="http://schemas.openxmlformats.org/officeDocument/2006/relationships/hyperlink" Target="http://www.nevo.co.il/law/73724" TargetMode="External"/><Relationship Id="rId39" Type="http://schemas.openxmlformats.org/officeDocument/2006/relationships/hyperlink" Target="http://www.nevo.co.il/case/28814891" TargetMode="External"/><Relationship Id="rId21" Type="http://schemas.openxmlformats.org/officeDocument/2006/relationships/hyperlink" Target="http://www.nevo.co.il/safrut/bookgroup/385" TargetMode="External"/><Relationship Id="rId34" Type="http://schemas.openxmlformats.org/officeDocument/2006/relationships/hyperlink" Target="http://www.nevo.co.il/safrut/bookgroup/3994" TargetMode="External"/><Relationship Id="rId42" Type="http://schemas.openxmlformats.org/officeDocument/2006/relationships/hyperlink" Target="http://www.nevo.co.il/case/17939431"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evo.co.il/case/6169890" TargetMode="External"/><Relationship Id="rId29" Type="http://schemas.openxmlformats.org/officeDocument/2006/relationships/hyperlink" Target="http://www.nevo.co.il/safrut/book/42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vo.co.il/law/74903" TargetMode="External"/><Relationship Id="rId24" Type="http://schemas.openxmlformats.org/officeDocument/2006/relationships/hyperlink" Target="http://www.nevo.co.il/law/73724/5.b" TargetMode="External"/><Relationship Id="rId32" Type="http://schemas.openxmlformats.org/officeDocument/2006/relationships/hyperlink" Target="http://www.nevo.co.il/case/4948358" TargetMode="External"/><Relationship Id="rId37" Type="http://schemas.openxmlformats.org/officeDocument/2006/relationships/hyperlink" Target="http://www.nevo.co.il/case/17919638" TargetMode="External"/><Relationship Id="rId40" Type="http://schemas.openxmlformats.org/officeDocument/2006/relationships/hyperlink" Target="http://www.nevo.co.il/case/559386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evo.co.il/case/17913795" TargetMode="External"/><Relationship Id="rId23" Type="http://schemas.openxmlformats.org/officeDocument/2006/relationships/hyperlink" Target="http://www.nevo.co.il/law/73724/5" TargetMode="External"/><Relationship Id="rId28" Type="http://schemas.openxmlformats.org/officeDocument/2006/relationships/hyperlink" Target="http://www.nevo.co.il/law/73724/5" TargetMode="External"/><Relationship Id="rId36" Type="http://schemas.openxmlformats.org/officeDocument/2006/relationships/hyperlink" Target="http://www.nevo.co.il/safrut/book/6870" TargetMode="External"/><Relationship Id="rId10" Type="http://schemas.openxmlformats.org/officeDocument/2006/relationships/hyperlink" Target="http://www.nevo.co.il/case/17941710" TargetMode="External"/><Relationship Id="rId19" Type="http://schemas.openxmlformats.org/officeDocument/2006/relationships/hyperlink" Target="http://www.nevo.co.il/safrut/book/3839" TargetMode="External"/><Relationship Id="rId31" Type="http://schemas.openxmlformats.org/officeDocument/2006/relationships/hyperlink" Target="http://www.nevo.co.il/case/16959293"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evo.co.il/case/20590242" TargetMode="External"/><Relationship Id="rId22" Type="http://schemas.openxmlformats.org/officeDocument/2006/relationships/hyperlink" Target="http://www.nevo.co.il/case/6169890" TargetMode="External"/><Relationship Id="rId27" Type="http://schemas.openxmlformats.org/officeDocument/2006/relationships/hyperlink" Target="http://www.nevo.co.il/law/73724/1" TargetMode="External"/><Relationship Id="rId30" Type="http://schemas.openxmlformats.org/officeDocument/2006/relationships/hyperlink" Target="http://www.nevo.co.il/case/6158447%20" TargetMode="External"/><Relationship Id="rId35" Type="http://schemas.openxmlformats.org/officeDocument/2006/relationships/hyperlink" Target="http://www.nevo.co.il/case/17913692" TargetMode="External"/><Relationship Id="rId43" Type="http://schemas.openxmlformats.org/officeDocument/2006/relationships/hyperlink" Target="http://www.nevo.co.il/case/6158447%20"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nevo.co.il/law/98603" TargetMode="External"/><Relationship Id="rId17" Type="http://schemas.openxmlformats.org/officeDocument/2006/relationships/hyperlink" Target="http://www.nevo.co.il/law/72263" TargetMode="External"/><Relationship Id="rId25" Type="http://schemas.openxmlformats.org/officeDocument/2006/relationships/hyperlink" Target="http://www.nevo.co.il/case/2806556" TargetMode="External"/><Relationship Id="rId33" Type="http://schemas.openxmlformats.org/officeDocument/2006/relationships/hyperlink" Target="http://www.nevo.co.il/case/5821452" TargetMode="External"/><Relationship Id="rId38" Type="http://schemas.openxmlformats.org/officeDocument/2006/relationships/hyperlink" Target="http://www.nevo.co.il/case/26686197" TargetMode="External"/><Relationship Id="rId46" Type="http://schemas.openxmlformats.org/officeDocument/2006/relationships/fontTable" Target="fontTable.xml"/><Relationship Id="rId20" Type="http://schemas.openxmlformats.org/officeDocument/2006/relationships/hyperlink" Target="http://www.nevo.co.il/case/6017564" TargetMode="External"/><Relationship Id="rId41" Type="http://schemas.openxmlformats.org/officeDocument/2006/relationships/hyperlink" Target="http://www.nevo.co.il/law/91073"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כללי"/>
          <w:gallery w:val="placeholder"/>
        </w:category>
        <w:types>
          <w:type w:val="bbPlcHdr"/>
        </w:types>
        <w:behaviors>
          <w:behavior w:val="content"/>
        </w:behaviors>
        <w:guid w:val="{FC1DFDDD-91C0-444B-943A-9C33DAAD5360}"/>
      </w:docPartPr>
      <w:docPartBody>
        <w:p w:rsidR="00F557C3" w:rsidRDefault="00D50BF8">
          <w:r w:rsidRPr="00441550">
            <w:rPr>
              <w:rStyle w:val="a3"/>
              <w:rFonts w:hint="cs"/>
              <w:rtl/>
            </w:rPr>
            <w:t>לחץ</w:t>
          </w:r>
          <w:r w:rsidRPr="00441550">
            <w:rPr>
              <w:rStyle w:val="a3"/>
              <w:rtl/>
            </w:rPr>
            <w:t xml:space="preserve"> </w:t>
          </w:r>
          <w:r w:rsidRPr="00441550">
            <w:rPr>
              <w:rStyle w:val="a3"/>
              <w:rFonts w:hint="cs"/>
              <w:rtl/>
            </w:rPr>
            <w:t>כאן</w:t>
          </w:r>
          <w:r w:rsidRPr="00441550">
            <w:rPr>
              <w:rStyle w:val="a3"/>
              <w:rtl/>
            </w:rPr>
            <w:t xml:space="preserve"> </w:t>
          </w:r>
          <w:r w:rsidRPr="00441550">
            <w:rPr>
              <w:rStyle w:val="a3"/>
              <w:rFonts w:hint="cs"/>
              <w:rtl/>
            </w:rPr>
            <w:t>להזנת</w:t>
          </w:r>
          <w:r w:rsidRPr="00441550">
            <w:rPr>
              <w:rStyle w:val="a3"/>
              <w:rtl/>
            </w:rPr>
            <w:t xml:space="preserve"> </w:t>
          </w:r>
          <w:r w:rsidRPr="00441550">
            <w:rPr>
              <w:rStyle w:val="a3"/>
              <w:rFonts w:hint="cs"/>
              <w:rtl/>
            </w:rPr>
            <w:t>טקסט</w:t>
          </w:r>
          <w:r w:rsidRPr="00441550">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Arial TUR">
    <w:altName w:val="Arial"/>
    <w:charset w:val="00"/>
    <w:family w:val="swiss"/>
    <w:pitch w:val="variable"/>
    <w:sig w:usb0="E0003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BF8"/>
    <w:rsid w:val="00060232"/>
    <w:rsid w:val="001F5B59"/>
    <w:rsid w:val="002777F8"/>
    <w:rsid w:val="0042295A"/>
    <w:rsid w:val="004871F5"/>
    <w:rsid w:val="0062253E"/>
    <w:rsid w:val="006D2680"/>
    <w:rsid w:val="00726B93"/>
    <w:rsid w:val="00730C8D"/>
    <w:rsid w:val="00815967"/>
    <w:rsid w:val="00827908"/>
    <w:rsid w:val="0085143A"/>
    <w:rsid w:val="008849BC"/>
    <w:rsid w:val="008A0C2E"/>
    <w:rsid w:val="008B76BA"/>
    <w:rsid w:val="009F7E4D"/>
    <w:rsid w:val="00A07C23"/>
    <w:rsid w:val="00A77C2F"/>
    <w:rsid w:val="00AB5B90"/>
    <w:rsid w:val="00B569B6"/>
    <w:rsid w:val="00BA205C"/>
    <w:rsid w:val="00C216DC"/>
    <w:rsid w:val="00C25634"/>
    <w:rsid w:val="00CB1B1F"/>
    <w:rsid w:val="00D004AF"/>
    <w:rsid w:val="00D50BF8"/>
    <w:rsid w:val="00ED60B1"/>
    <w:rsid w:val="00F555AF"/>
    <w:rsid w:val="00F557C3"/>
    <w:rsid w:val="00F62D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2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39E38-D165-48CB-AB17-36EB1F4A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8458</Words>
  <Characters>48212</Characters>
  <Application>Microsoft Office Word</Application>
  <DocSecurity>0</DocSecurity>
  <Lines>401</Lines>
  <Paragraphs>113</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56557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נורית גור</cp:lastModifiedBy>
  <cp:revision>2</cp:revision>
  <dcterms:created xsi:type="dcterms:W3CDTF">2024-02-07T11:28:00Z</dcterms:created>
  <dcterms:modified xsi:type="dcterms:W3CDTF">2024-02-07T11:28:00Z</dcterms:modified>
</cp:coreProperties>
</file>