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1F477F">
              <w:rPr>
                <w:rFonts w:ascii="Calibri" w:hAnsi="Calibri" w:cs="Calibri"/>
                <w:noProof/>
                <w:rtl/>
              </w:rPr>
              <w:t>‏י"ז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1F477F">
              <w:rPr>
                <w:rFonts w:ascii="Calibri" w:hAnsi="Calibri" w:cs="Calibri"/>
                <w:noProof/>
                <w:rtl/>
              </w:rPr>
              <w:t>‏17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65FCC" w:rsidRDefault="000346AA" w:rsidP="00765FCC">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1F477F" w:rsidRDefault="001F477F" w:rsidP="001F477F">
      <w:pPr>
        <w:spacing w:after="120" w:line="360" w:lineRule="auto"/>
        <w:jc w:val="center"/>
        <w:rPr>
          <w:rFonts w:cstheme="minorHAnsi"/>
          <w:b/>
          <w:bCs/>
          <w:sz w:val="28"/>
          <w:szCs w:val="28"/>
          <w:rtl/>
        </w:rPr>
      </w:pPr>
      <w:bookmarkStart w:id="0" w:name="_GoBack"/>
      <w:r w:rsidRPr="001F477F">
        <w:rPr>
          <w:rFonts w:cstheme="minorHAnsi"/>
          <w:b/>
          <w:bCs/>
          <w:sz w:val="28"/>
          <w:szCs w:val="28"/>
          <w:rtl/>
        </w:rPr>
        <w:t>התפתחויות בתמחור המשכנתאות בישראל</w:t>
      </w:r>
    </w:p>
    <w:bookmarkEnd w:id="0"/>
    <w:p w:rsidR="001F477F" w:rsidRPr="001F477F" w:rsidRDefault="001F477F" w:rsidP="001F477F">
      <w:pPr>
        <w:spacing w:after="120" w:line="360" w:lineRule="auto"/>
        <w:jc w:val="center"/>
        <w:rPr>
          <w:rFonts w:cstheme="minorHAnsi"/>
          <w:b/>
          <w:bCs/>
          <w:sz w:val="28"/>
          <w:szCs w:val="28"/>
          <w:rtl/>
        </w:rPr>
      </w:pPr>
    </w:p>
    <w:p w:rsidR="001F477F" w:rsidRPr="0075186B" w:rsidRDefault="001F477F" w:rsidP="001F477F">
      <w:pPr>
        <w:pStyle w:val="a5"/>
        <w:numPr>
          <w:ilvl w:val="0"/>
          <w:numId w:val="32"/>
        </w:numPr>
        <w:spacing w:after="120" w:line="360" w:lineRule="auto"/>
        <w:jc w:val="both"/>
        <w:rPr>
          <w:rFonts w:cstheme="minorHAnsi"/>
          <w:sz w:val="24"/>
          <w:szCs w:val="24"/>
        </w:rPr>
      </w:pPr>
      <w:r w:rsidRPr="0075186B">
        <w:rPr>
          <w:rFonts w:cstheme="minorHAnsi"/>
          <w:sz w:val="24"/>
          <w:szCs w:val="24"/>
          <w:rtl/>
        </w:rPr>
        <w:t>בשנתיים האחרונות ירדו מרווחי המשכנתאות בישראל</w:t>
      </w:r>
      <w:r w:rsidRPr="0075186B">
        <w:rPr>
          <w:rFonts w:cstheme="minorHAnsi"/>
          <w:sz w:val="24"/>
          <w:szCs w:val="24"/>
        </w:rPr>
        <w:t xml:space="preserve"> </w:t>
      </w:r>
      <w:r w:rsidRPr="0075186B">
        <w:rPr>
          <w:rFonts w:cstheme="minorHAnsi"/>
          <w:sz w:val="24"/>
          <w:szCs w:val="24"/>
          <w:rtl/>
        </w:rPr>
        <w:t>על רקע מספר התפתחויות – עליית ריבית בנק ישראל, רפורמות צרכניות להגברת שקיפות המידע והתחרות בשוק המשכנתאות, ומלחמת "חרבות ברזל".</w:t>
      </w:r>
    </w:p>
    <w:p w:rsidR="001F477F" w:rsidRDefault="001F477F" w:rsidP="001F477F">
      <w:pPr>
        <w:pStyle w:val="a5"/>
        <w:numPr>
          <w:ilvl w:val="0"/>
          <w:numId w:val="32"/>
        </w:numPr>
        <w:spacing w:after="120" w:line="360" w:lineRule="auto"/>
        <w:jc w:val="both"/>
        <w:rPr>
          <w:rFonts w:cstheme="minorHAnsi"/>
          <w:sz w:val="24"/>
          <w:szCs w:val="24"/>
        </w:rPr>
      </w:pPr>
      <w:r w:rsidRPr="0075186B">
        <w:rPr>
          <w:rFonts w:cstheme="minorHAnsi"/>
          <w:sz w:val="24"/>
          <w:szCs w:val="24"/>
          <w:rtl/>
        </w:rPr>
        <w:t>כרבע מהירידה של המרווחים מוסבר בהתגברות התחרות בשוק, והשאר מוסבר בצמצום המרווחים בעקבות עליית הריבית וירידת הביקוש למשכנתאות.</w:t>
      </w:r>
    </w:p>
    <w:p w:rsidR="001F477F" w:rsidRPr="0075186B" w:rsidRDefault="001F477F" w:rsidP="001F477F">
      <w:pPr>
        <w:pStyle w:val="a5"/>
        <w:spacing w:after="120" w:line="360" w:lineRule="auto"/>
        <w:jc w:val="both"/>
        <w:rPr>
          <w:rFonts w:cstheme="minorHAnsi"/>
          <w:sz w:val="24"/>
          <w:szCs w:val="24"/>
        </w:rPr>
      </w:pPr>
    </w:p>
    <w:p w:rsidR="001F477F" w:rsidRPr="001F477F" w:rsidRDefault="001F477F" w:rsidP="001F477F">
      <w:pPr>
        <w:pStyle w:val="1"/>
        <w:keepNext/>
        <w:keepLines/>
        <w:numPr>
          <w:ilvl w:val="0"/>
          <w:numId w:val="31"/>
        </w:numPr>
        <w:bidi/>
        <w:spacing w:before="240" w:beforeAutospacing="0" w:after="0" w:afterAutospacing="0" w:line="276" w:lineRule="auto"/>
        <w:jc w:val="both"/>
        <w:rPr>
          <w:rFonts w:asciiTheme="minorHAnsi" w:eastAsia="Calibri" w:hAnsiTheme="minorHAnsi" w:cstheme="minorHAnsi"/>
          <w:sz w:val="24"/>
          <w:szCs w:val="24"/>
          <w:rtl/>
        </w:rPr>
      </w:pPr>
      <w:r w:rsidRPr="001F477F">
        <w:rPr>
          <w:rFonts w:asciiTheme="minorHAnsi" w:eastAsia="Calibri" w:hAnsiTheme="minorHAnsi" w:cstheme="minorHAnsi"/>
          <w:sz w:val="24"/>
          <w:szCs w:val="24"/>
          <w:rtl/>
        </w:rPr>
        <w:t>רקע</w:t>
      </w: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 xml:space="preserve">מרווחי המשכנתאות בישראל ירדו בשנים האחרונות ירידה חדה (איור 1). מרווח </w:t>
      </w:r>
      <w:proofErr w:type="spellStart"/>
      <w:r w:rsidRPr="0075186B">
        <w:rPr>
          <w:rFonts w:cstheme="minorHAnsi"/>
          <w:sz w:val="24"/>
          <w:szCs w:val="24"/>
          <w:rtl/>
        </w:rPr>
        <w:t>המשכנתה</w:t>
      </w:r>
      <w:proofErr w:type="spellEnd"/>
      <w:r w:rsidRPr="0075186B">
        <w:rPr>
          <w:rFonts w:cstheme="minorHAnsi"/>
          <w:sz w:val="24"/>
          <w:szCs w:val="24"/>
          <w:rtl/>
        </w:rPr>
        <w:t xml:space="preserve">, המוצג באיור 1, הוא ההפרש בין הריבית במסלול </w:t>
      </w:r>
      <w:proofErr w:type="spellStart"/>
      <w:r w:rsidRPr="0075186B">
        <w:rPr>
          <w:rFonts w:cstheme="minorHAnsi"/>
          <w:sz w:val="24"/>
          <w:szCs w:val="24"/>
          <w:rtl/>
        </w:rPr>
        <w:t>המשכנתה</w:t>
      </w:r>
      <w:proofErr w:type="spellEnd"/>
      <w:r w:rsidRPr="0075186B">
        <w:rPr>
          <w:rFonts w:cstheme="minorHAnsi"/>
          <w:sz w:val="24"/>
          <w:szCs w:val="24"/>
          <w:rtl/>
        </w:rPr>
        <w:t xml:space="preserve"> לבין ריבית העוגן, המחושבת על בסיס עקום תשואות האפס של אג"ח ממשלתיות, בהתאם להצמדה (נומינלית או ריאלית) </w:t>
      </w:r>
      <w:proofErr w:type="spellStart"/>
      <w:r w:rsidRPr="0075186B">
        <w:rPr>
          <w:rFonts w:cstheme="minorHAnsi"/>
          <w:sz w:val="24"/>
          <w:szCs w:val="24"/>
          <w:rtl/>
        </w:rPr>
        <w:t>ולמח"ם</w:t>
      </w:r>
      <w:proofErr w:type="spellEnd"/>
      <w:r w:rsidRPr="0075186B">
        <w:rPr>
          <w:rFonts w:cstheme="minorHAnsi"/>
          <w:sz w:val="24"/>
          <w:szCs w:val="24"/>
          <w:rtl/>
        </w:rPr>
        <w:t xml:space="preserve"> הרלוונטי. מרווח זה מבטא את העלות הנוספת שמשלם הלווה מעבר לריבית האלטרנטיבית שעומדת בפני הבנק בעת מתן ההלוואה</w:t>
      </w:r>
      <w:r w:rsidRPr="0075186B">
        <w:rPr>
          <w:rStyle w:val="af2"/>
          <w:rFonts w:cstheme="minorHAnsi"/>
          <w:sz w:val="24"/>
          <w:szCs w:val="24"/>
          <w:rtl/>
        </w:rPr>
        <w:footnoteReference w:id="1"/>
      </w:r>
      <w:r w:rsidRPr="0075186B">
        <w:rPr>
          <w:rFonts w:cstheme="minorHAnsi"/>
          <w:sz w:val="24"/>
          <w:szCs w:val="24"/>
          <w:rtl/>
        </w:rPr>
        <w:t xml:space="preserve">. גודל המרווח מושפע ממספר גורמים – בהם סיכון הלווה, העלויות התפעוליות הכרוכות בהעמדת ההלוואה (כגון חיתום וניהול סיכונים), וכן, פוטנציאלית, פרמיה נוספת, הקשורה לכוח השוק של הבנק. ככלל, עבור לווים זהים מבחינת פרופיל הסיכון ומאפייני </w:t>
      </w:r>
      <w:proofErr w:type="spellStart"/>
      <w:r w:rsidRPr="0075186B">
        <w:rPr>
          <w:rFonts w:cstheme="minorHAnsi"/>
          <w:sz w:val="24"/>
          <w:szCs w:val="24"/>
          <w:rtl/>
        </w:rPr>
        <w:t>המשכנתה</w:t>
      </w:r>
      <w:proofErr w:type="spellEnd"/>
      <w:r w:rsidRPr="0075186B">
        <w:rPr>
          <w:rFonts w:cstheme="minorHAnsi"/>
          <w:sz w:val="24"/>
          <w:szCs w:val="24"/>
          <w:rtl/>
        </w:rPr>
        <w:t xml:space="preserve">, ככל שהמרווח קטן יותר הרווחיות של הבנק </w:t>
      </w:r>
      <w:proofErr w:type="spellStart"/>
      <w:r w:rsidRPr="0075186B">
        <w:rPr>
          <w:rFonts w:cstheme="minorHAnsi"/>
          <w:sz w:val="24"/>
          <w:szCs w:val="24"/>
          <w:rtl/>
        </w:rPr>
        <w:t>מהמשכנתה</w:t>
      </w:r>
      <w:proofErr w:type="spellEnd"/>
      <w:r w:rsidRPr="0075186B">
        <w:rPr>
          <w:rFonts w:cstheme="minorHAnsi"/>
          <w:sz w:val="24"/>
          <w:szCs w:val="24"/>
          <w:rtl/>
        </w:rPr>
        <w:t xml:space="preserve"> פחותה.</w:t>
      </w:r>
    </w:p>
    <w:p w:rsidR="001F477F" w:rsidRPr="0075186B" w:rsidRDefault="001F477F" w:rsidP="001F477F">
      <w:pPr>
        <w:spacing w:line="360" w:lineRule="auto"/>
        <w:jc w:val="center"/>
        <w:rPr>
          <w:rFonts w:cstheme="minorHAnsi"/>
          <w:sz w:val="24"/>
          <w:szCs w:val="24"/>
          <w:rtl/>
        </w:rPr>
      </w:pPr>
      <w:r w:rsidRPr="0075186B">
        <w:rPr>
          <w:rFonts w:cstheme="minorHAnsi"/>
          <w:noProof/>
          <w:sz w:val="24"/>
          <w:szCs w:val="24"/>
        </w:rPr>
        <w:lastRenderedPageBreak/>
        <w:drawing>
          <wp:inline distT="0" distB="0" distL="0" distR="0" wp14:anchorId="0E72006C" wp14:editId="4686F179">
            <wp:extent cx="4943475" cy="3086167"/>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54714" cy="3093183"/>
                    </a:xfrm>
                    <a:prstGeom prst="rect">
                      <a:avLst/>
                    </a:prstGeom>
                    <a:noFill/>
                  </pic:spPr>
                </pic:pic>
              </a:graphicData>
            </a:graphic>
          </wp:inline>
        </w:drawing>
      </w: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 xml:space="preserve">הירידה של מרווחי </w:t>
      </w:r>
      <w:proofErr w:type="spellStart"/>
      <w:r w:rsidRPr="0075186B">
        <w:rPr>
          <w:rFonts w:cstheme="minorHAnsi"/>
          <w:sz w:val="24"/>
          <w:szCs w:val="24"/>
          <w:rtl/>
        </w:rPr>
        <w:t>המשכנתה</w:t>
      </w:r>
      <w:proofErr w:type="spellEnd"/>
      <w:r w:rsidRPr="0075186B">
        <w:rPr>
          <w:rFonts w:cstheme="minorHAnsi"/>
          <w:sz w:val="24"/>
          <w:szCs w:val="24"/>
          <w:rtl/>
        </w:rPr>
        <w:t xml:space="preserve"> התרחשה על רקע מספר התפתחויות משמעותיות בשוק המשכנתאות בישראל. ראשית, החל מהרבעון השני של שנת 2022 ירדו בחדות ביצועי המשכנתאות על רקע עליית ריבית בנק ישראל. ככלל, עליית הריבית מגדילה את העלות השולית של הבנקים למתן אשראי, מה שמצמצם בפועל את היצע המשכנתאות. במצב כזה הבנקים עשויים לבחור לספוג חלק מהעלייה כדי למנוע ירידה חדה אף יותר בביצועי המשכנתאות, מה שמביא לצמצום המרווחים בשוק. </w:t>
      </w: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שנית,  בספטמבר 2022 הוביל בנק ישראל רפורמה צרכנית, שמטרתה להגביר את שקיפות המידע והתחרות בשוק המשכנתאות</w:t>
      </w:r>
      <w:r w:rsidRPr="0075186B">
        <w:rPr>
          <w:rStyle w:val="af2"/>
          <w:rFonts w:cstheme="minorHAnsi"/>
          <w:sz w:val="24"/>
          <w:szCs w:val="24"/>
          <w:rtl/>
        </w:rPr>
        <w:footnoteReference w:id="2"/>
      </w:r>
      <w:r w:rsidRPr="0075186B">
        <w:rPr>
          <w:rFonts w:cstheme="minorHAnsi"/>
          <w:sz w:val="24"/>
          <w:szCs w:val="24"/>
          <w:rtl/>
        </w:rPr>
        <w:t xml:space="preserve">. זאת באמצעות הגדלת יכולתם של הלווים להשוות בין הצעות הבנקים השונים ושיפור התהליך של קבלת אישור עקרוני </w:t>
      </w:r>
      <w:proofErr w:type="spellStart"/>
      <w:r w:rsidRPr="0075186B">
        <w:rPr>
          <w:rFonts w:cstheme="minorHAnsi"/>
          <w:sz w:val="24"/>
          <w:szCs w:val="24"/>
          <w:rtl/>
        </w:rPr>
        <w:t>למשכנתה</w:t>
      </w:r>
      <w:proofErr w:type="spellEnd"/>
      <w:r w:rsidRPr="0075186B">
        <w:rPr>
          <w:rFonts w:cstheme="minorHAnsi"/>
          <w:sz w:val="24"/>
          <w:szCs w:val="24"/>
          <w:rtl/>
        </w:rPr>
        <w:t xml:space="preserve">. תחילת הרפורמה (ספטמבר 2022) מתוארת באיור 1 בקו מקווקו. ניתן לראות כי לפני תחילתה היה המרווח במגמת ירידה קלה, וכי בספטמבר 2022 הוא החל לרדת באופן עקבי; מגמה זו נמשכה גם לאחר שריבית בנק ישראל התייצבה, ביוני 2023, וגם  עם התאוששות שוק המשכנתאות החל מהרבעון השני של 2024. </w:t>
      </w: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 xml:space="preserve">בהמשך התיבה אנו בודקים אם ירידת המרווחים נבעה מצד היצע האשראי, בהשפעת הרפורמה, שהגבירה את התחרות על הלקוחות, או מירידת ביקושים על רקע עליית ריבית בנק ישראל. </w:t>
      </w:r>
    </w:p>
    <w:p w:rsidR="001F477F" w:rsidRPr="0075186B" w:rsidRDefault="001F477F" w:rsidP="001F477F">
      <w:pPr>
        <w:spacing w:line="360" w:lineRule="auto"/>
        <w:jc w:val="center"/>
        <w:rPr>
          <w:rFonts w:cstheme="minorHAnsi"/>
          <w:sz w:val="24"/>
          <w:szCs w:val="24"/>
          <w:rtl/>
        </w:rPr>
      </w:pPr>
      <w:r w:rsidRPr="0075186B">
        <w:rPr>
          <w:rFonts w:cstheme="minorHAnsi"/>
          <w:noProof/>
          <w:sz w:val="24"/>
          <w:szCs w:val="24"/>
        </w:rPr>
        <w:lastRenderedPageBreak/>
        <w:drawing>
          <wp:inline distT="0" distB="0" distL="0" distR="0" wp14:anchorId="41EA7850" wp14:editId="5B16683B">
            <wp:extent cx="5223149" cy="3133725"/>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57852" cy="3154546"/>
                    </a:xfrm>
                    <a:prstGeom prst="rect">
                      <a:avLst/>
                    </a:prstGeom>
                    <a:noFill/>
                  </pic:spPr>
                </pic:pic>
              </a:graphicData>
            </a:graphic>
          </wp:inline>
        </w:drawing>
      </w:r>
    </w:p>
    <w:p w:rsidR="001F477F" w:rsidRDefault="001F477F" w:rsidP="001F477F">
      <w:pPr>
        <w:spacing w:line="360" w:lineRule="auto"/>
        <w:jc w:val="both"/>
        <w:rPr>
          <w:rFonts w:cstheme="minorHAnsi"/>
          <w:sz w:val="24"/>
          <w:szCs w:val="24"/>
          <w:rtl/>
        </w:rPr>
      </w:pPr>
      <w:r w:rsidRPr="0075186B">
        <w:rPr>
          <w:rFonts w:cstheme="minorHAnsi"/>
          <w:sz w:val="24"/>
          <w:szCs w:val="24"/>
          <w:rtl/>
        </w:rPr>
        <w:t xml:space="preserve">כדי לתת אינדיקציה להשפעה של עליית סביבת הריבית על המרווחים מוצגת, באיור 2, התפתחות הריבית על </w:t>
      </w:r>
      <w:proofErr w:type="spellStart"/>
      <w:r w:rsidRPr="0075186B">
        <w:rPr>
          <w:rFonts w:cstheme="minorHAnsi"/>
          <w:sz w:val="24"/>
          <w:szCs w:val="24"/>
          <w:rtl/>
        </w:rPr>
        <w:t>המשכנתה</w:t>
      </w:r>
      <w:proofErr w:type="spellEnd"/>
      <w:r w:rsidRPr="0075186B">
        <w:rPr>
          <w:rFonts w:cstheme="minorHAnsi"/>
          <w:sz w:val="24"/>
          <w:szCs w:val="24"/>
          <w:rtl/>
        </w:rPr>
        <w:t xml:space="preserve"> וריבית העוגן עבור כל אחד מחמשת מסלולי </w:t>
      </w:r>
      <w:proofErr w:type="spellStart"/>
      <w:r w:rsidRPr="0075186B">
        <w:rPr>
          <w:rFonts w:cstheme="minorHAnsi"/>
          <w:sz w:val="24"/>
          <w:szCs w:val="24"/>
          <w:rtl/>
        </w:rPr>
        <w:t>המשכנתה</w:t>
      </w:r>
      <w:proofErr w:type="spellEnd"/>
      <w:r w:rsidRPr="0075186B">
        <w:rPr>
          <w:rFonts w:cstheme="minorHAnsi"/>
          <w:sz w:val="24"/>
          <w:szCs w:val="24"/>
          <w:rtl/>
        </w:rPr>
        <w:t xml:space="preserve"> הנפוצים בישראל</w:t>
      </w:r>
      <w:r w:rsidRPr="0075186B">
        <w:rPr>
          <w:rStyle w:val="af2"/>
          <w:rFonts w:cstheme="minorHAnsi"/>
          <w:sz w:val="24"/>
          <w:szCs w:val="24"/>
          <w:rtl/>
        </w:rPr>
        <w:footnoteReference w:id="3"/>
      </w:r>
      <w:r w:rsidRPr="0075186B">
        <w:rPr>
          <w:rFonts w:cstheme="minorHAnsi"/>
          <w:sz w:val="24"/>
          <w:szCs w:val="24"/>
          <w:rtl/>
        </w:rPr>
        <w:t>. ניתן לראות באיור כי ברוב המסלולים תחילת עלייתה של ריבית העוגן הייתה מלווה בירידה של המרווחים, ללא קשר למועד תחילתה של הרפורמה. לדוגמה, עבור המסלול ריבית קבועה-לא-צמודה (</w:t>
      </w:r>
      <w:proofErr w:type="spellStart"/>
      <w:r w:rsidRPr="0075186B">
        <w:rPr>
          <w:rFonts w:cstheme="minorHAnsi"/>
          <w:sz w:val="24"/>
          <w:szCs w:val="24"/>
          <w:rtl/>
        </w:rPr>
        <w:t>קל"צ</w:t>
      </w:r>
      <w:proofErr w:type="spellEnd"/>
      <w:r w:rsidRPr="0075186B">
        <w:rPr>
          <w:rFonts w:cstheme="minorHAnsi"/>
          <w:sz w:val="24"/>
          <w:szCs w:val="24"/>
          <w:rtl/>
        </w:rPr>
        <w:t xml:space="preserve">) החלה עלייה של תשואת העוגן כבר בינואר 2022, ובמקביל החלה כמעט </w:t>
      </w:r>
      <w:proofErr w:type="spellStart"/>
      <w:r w:rsidRPr="0075186B">
        <w:rPr>
          <w:rFonts w:cstheme="minorHAnsi"/>
          <w:sz w:val="24"/>
          <w:szCs w:val="24"/>
          <w:rtl/>
        </w:rPr>
        <w:t>מייד</w:t>
      </w:r>
      <w:proofErr w:type="spellEnd"/>
      <w:r w:rsidRPr="0075186B">
        <w:rPr>
          <w:rFonts w:cstheme="minorHAnsi"/>
          <w:sz w:val="24"/>
          <w:szCs w:val="24"/>
          <w:rtl/>
        </w:rPr>
        <w:t xml:space="preserve"> ירידה של המרווח במסלול. נראה אפוא שברוב המסלולים עליית התשואות של עקום האפס לוותה בעלייה חלקית בלבד של ריבית המשכנתאות, מה שגרם לצמצום המרווח. לעומת זאת עבור מסלול הפריים נראה כי עליית הריבית, שהחלה באפריל 2022, לא לוותה בירידה </w:t>
      </w:r>
      <w:proofErr w:type="spellStart"/>
      <w:r w:rsidRPr="0075186B">
        <w:rPr>
          <w:rFonts w:cstheme="minorHAnsi"/>
          <w:sz w:val="24"/>
          <w:szCs w:val="24"/>
          <w:rtl/>
        </w:rPr>
        <w:t>מיידית</w:t>
      </w:r>
      <w:proofErr w:type="spellEnd"/>
      <w:r w:rsidRPr="0075186B">
        <w:rPr>
          <w:rFonts w:cstheme="minorHAnsi"/>
          <w:sz w:val="24"/>
          <w:szCs w:val="24"/>
          <w:rtl/>
        </w:rPr>
        <w:t xml:space="preserve"> של המרווח. המרווח במסלול הפריים החל לרדת רק בספטמבר 2022, אחרי כמעט חצי שנה שבמהלכה הריבית במסלול זה אף עלתה מעט, על רקע עליית ריבית בנק ישראל. נוסף על כך נראה שמגמת הירידה של המרווח במסלול הריבית המשתנה הלא-צמודה (שאינה פריים) התחזקה משמעותית לאחר ספטמבר 2022. מכאן שהתחזקות ירידתו של המרווח החל מספטמבר ביטאה שילוב של: התמשכות ירידת המרווחים בחלק מהמסלולים, על רקע עליית התשואות וסביבת הריבית; שינוי המגמה במסלול הפריים; והתחזקות הירידה של המרווח במסלול הריבית המשתנה הלא-צמודה החל מספטמבר 2022.</w:t>
      </w:r>
    </w:p>
    <w:p w:rsidR="001F477F" w:rsidRPr="0075186B" w:rsidRDefault="001F477F" w:rsidP="001F477F">
      <w:pPr>
        <w:spacing w:line="360" w:lineRule="auto"/>
        <w:jc w:val="both"/>
        <w:rPr>
          <w:rFonts w:cstheme="minorHAnsi"/>
          <w:sz w:val="24"/>
          <w:szCs w:val="24"/>
          <w:rtl/>
        </w:rPr>
      </w:pPr>
    </w:p>
    <w:p w:rsidR="001F477F" w:rsidRDefault="001F477F" w:rsidP="001F477F">
      <w:pPr>
        <w:pStyle w:val="1"/>
        <w:keepNext/>
        <w:keepLines/>
        <w:numPr>
          <w:ilvl w:val="0"/>
          <w:numId w:val="31"/>
        </w:numPr>
        <w:bidi/>
        <w:spacing w:before="240" w:beforeAutospacing="0" w:after="0" w:afterAutospacing="0" w:line="276" w:lineRule="auto"/>
        <w:ind w:left="390"/>
        <w:jc w:val="both"/>
        <w:rPr>
          <w:rFonts w:asciiTheme="minorHAnsi" w:eastAsia="Calibri" w:hAnsiTheme="minorHAnsi" w:cstheme="minorHAnsi"/>
          <w:b w:val="0"/>
          <w:bCs w:val="0"/>
          <w:sz w:val="24"/>
          <w:szCs w:val="24"/>
        </w:rPr>
      </w:pPr>
      <w:r w:rsidRPr="0075186B">
        <w:rPr>
          <w:rFonts w:asciiTheme="minorHAnsi" w:eastAsia="Calibri" w:hAnsiTheme="minorHAnsi" w:cstheme="minorHAnsi"/>
          <w:sz w:val="24"/>
          <w:szCs w:val="24"/>
          <w:rtl/>
        </w:rPr>
        <w:lastRenderedPageBreak/>
        <w:t>זיהוי השפעת הרפורמה</w:t>
      </w:r>
    </w:p>
    <w:p w:rsidR="001F477F" w:rsidRPr="0075186B" w:rsidRDefault="001F477F" w:rsidP="001F477F">
      <w:pPr>
        <w:pStyle w:val="1"/>
        <w:keepNext/>
        <w:keepLines/>
        <w:bidi/>
        <w:spacing w:before="240" w:beforeAutospacing="0" w:after="0" w:afterAutospacing="0" w:line="276" w:lineRule="auto"/>
        <w:ind w:left="390"/>
        <w:jc w:val="both"/>
        <w:rPr>
          <w:rFonts w:asciiTheme="minorHAnsi" w:eastAsia="Calibri" w:hAnsiTheme="minorHAnsi" w:cstheme="minorHAnsi"/>
          <w:b w:val="0"/>
          <w:bCs w:val="0"/>
          <w:sz w:val="24"/>
          <w:szCs w:val="24"/>
          <w:rtl/>
        </w:rPr>
      </w:pP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 xml:space="preserve">בסעיף זה אנו מנסים לבודד את ההשפעה הספציפית של הרפורמה על מרווחי המשכנתאות באמצעות בחינה של התפתחות המרווחים בסוגים שונים של הלוואות – משכנתאות למטרת מגורים ומשכנתאות לכל מטרה בביטחון דירת מגורים. הנחת המוצא היא שאף כי הרפורמה הוחלה על שני סוגי ההלוואות השפעתה על המשכנתאות לכל מטרה תהיה חלשה יותר. הסיבה היא שמשכנתה לכל מטרה נלקחת לרוב על ידי לקוחות שכבר יש להם משכנתה על הדירה (בכ-80 אחוזים מהמקרים). במצב זה ההלוואה הנוספת נלקחת כמעט תמיד מאותו הבנק שבו כבר מתנהלת </w:t>
      </w:r>
      <w:proofErr w:type="spellStart"/>
      <w:r w:rsidRPr="0075186B">
        <w:rPr>
          <w:rFonts w:cstheme="minorHAnsi"/>
          <w:sz w:val="24"/>
          <w:szCs w:val="24"/>
          <w:rtl/>
        </w:rPr>
        <w:t>המשכנתה</w:t>
      </w:r>
      <w:proofErr w:type="spellEnd"/>
      <w:r w:rsidRPr="0075186B">
        <w:rPr>
          <w:rFonts w:cstheme="minorHAnsi"/>
          <w:sz w:val="24"/>
          <w:szCs w:val="24"/>
          <w:rtl/>
        </w:rPr>
        <w:t xml:space="preserve">, כדי להימנע מהליכי שיעבוד וחיתום חדשים. משמע שעבור לקוחות בעלי משכנתה קיימת המעוניינים לקחת הלוואה נוספת לכל מטרה בביטחון דירת מגורים ישנן מגבלות אופרטיביות, המצמצמות את יכולתם לערוך השוואת מחירים אפקטיבית, ולכן ניתן להניח שהשפעתה של הרפורמה על התחרות במקטע זה תהיה מוגבלת יחסית. איור 3 מציג את התפתחות מרווחי </w:t>
      </w:r>
      <w:proofErr w:type="spellStart"/>
      <w:r w:rsidRPr="0075186B">
        <w:rPr>
          <w:rFonts w:cstheme="minorHAnsi"/>
          <w:sz w:val="24"/>
          <w:szCs w:val="24"/>
          <w:rtl/>
        </w:rPr>
        <w:t>המשכנתה</w:t>
      </w:r>
      <w:proofErr w:type="spellEnd"/>
      <w:r w:rsidRPr="0075186B">
        <w:rPr>
          <w:rFonts w:cstheme="minorHAnsi"/>
          <w:sz w:val="24"/>
          <w:szCs w:val="24"/>
          <w:rtl/>
        </w:rPr>
        <w:t xml:space="preserve"> בחלוקה בין מטרת מגורים ולכל מטרה. ניתן לראות כי באופן כללי, המרווח על משכנתאות לכל מטרה גבוה מזה של משכנתאות למגורים – מצב הנובע, כאמור, מהתחרות הפחותה במשכנתאות אלה, וגם מן הסיכון הגבוה יותר הכרוך בהלוואות הנלקחות למטרות צריכה. </w:t>
      </w:r>
    </w:p>
    <w:p w:rsidR="001F477F" w:rsidRPr="0075186B" w:rsidRDefault="001F477F" w:rsidP="001F477F">
      <w:pPr>
        <w:spacing w:line="360" w:lineRule="auto"/>
        <w:jc w:val="center"/>
        <w:rPr>
          <w:rFonts w:cstheme="minorHAnsi"/>
          <w:sz w:val="24"/>
          <w:szCs w:val="24"/>
          <w:rtl/>
        </w:rPr>
      </w:pPr>
      <w:r w:rsidRPr="0075186B">
        <w:rPr>
          <w:rFonts w:cstheme="minorHAnsi"/>
          <w:noProof/>
          <w:sz w:val="24"/>
          <w:szCs w:val="24"/>
        </w:rPr>
        <w:drawing>
          <wp:inline distT="0" distB="0" distL="0" distR="0" wp14:anchorId="05A9911B" wp14:editId="55305AFA">
            <wp:extent cx="4552950" cy="3300857"/>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78896" cy="3319668"/>
                    </a:xfrm>
                    <a:prstGeom prst="rect">
                      <a:avLst/>
                    </a:prstGeom>
                    <a:noFill/>
                  </pic:spPr>
                </pic:pic>
              </a:graphicData>
            </a:graphic>
          </wp:inline>
        </w:drawing>
      </w:r>
    </w:p>
    <w:p w:rsidR="001F477F" w:rsidRDefault="001F477F" w:rsidP="001F477F">
      <w:pPr>
        <w:spacing w:line="360" w:lineRule="auto"/>
        <w:jc w:val="both"/>
        <w:rPr>
          <w:rFonts w:cstheme="minorHAnsi"/>
          <w:sz w:val="24"/>
          <w:szCs w:val="24"/>
          <w:rtl/>
        </w:rPr>
      </w:pPr>
    </w:p>
    <w:p w:rsidR="001F477F" w:rsidRDefault="001F477F" w:rsidP="001F477F">
      <w:pPr>
        <w:spacing w:line="360" w:lineRule="auto"/>
        <w:jc w:val="both"/>
        <w:rPr>
          <w:rFonts w:cstheme="minorHAnsi"/>
          <w:sz w:val="24"/>
          <w:szCs w:val="24"/>
          <w:rtl/>
        </w:rPr>
      </w:pPr>
    </w:p>
    <w:p w:rsidR="001F477F" w:rsidRPr="0075186B" w:rsidRDefault="001F477F" w:rsidP="001F477F">
      <w:pPr>
        <w:spacing w:line="360" w:lineRule="auto"/>
        <w:jc w:val="both"/>
        <w:rPr>
          <w:rFonts w:cstheme="minorHAnsi"/>
          <w:sz w:val="24"/>
          <w:szCs w:val="24"/>
        </w:rPr>
      </w:pPr>
      <w:r w:rsidRPr="0075186B">
        <w:rPr>
          <w:rFonts w:cstheme="minorHAnsi"/>
          <w:sz w:val="24"/>
          <w:szCs w:val="24"/>
          <w:rtl/>
        </w:rPr>
        <w:lastRenderedPageBreak/>
        <w:t xml:space="preserve">האיור מציג גם את ההפרש בין הסדרות ואת העלייה הקלה של פער המרווחים לאחר ספטמבר 2022. ניתן לראות שהירידה של מרווחי המשכנתאות למטרת מגורים הייתה חזקה מזו של מרווחי המשכנתאות לכל מטרה. איור 3 אינו מביא בחשבון את ההבדלים במאפייני המשכנתאות, שיכולים להיות קשורים להשפעות שונות של עליית הריבית. לוח 1 מציג את הממוצע והחציון של מאפייני המשכנתאות השונות. ניתן לראות כי המשכנתאות למטרת מגורים נוטות להיות גדולות הרבה יותר מהמשכנתאות לכל מטרה ולהציע יותר מסלולים, וכי  יחס ההחזר להכנסה ויחס המימון בהן גבוהים יותר. </w:t>
      </w:r>
    </w:p>
    <w:tbl>
      <w:tblPr>
        <w:tblStyle w:val="af3"/>
        <w:bidiVisual/>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1559"/>
        <w:gridCol w:w="1276"/>
        <w:gridCol w:w="1276"/>
        <w:gridCol w:w="1130"/>
      </w:tblGrid>
      <w:tr w:rsidR="001F477F" w:rsidRPr="0075186B" w:rsidTr="00BD5033">
        <w:trPr>
          <w:trHeight w:val="300"/>
        </w:trPr>
        <w:tc>
          <w:tcPr>
            <w:tcW w:w="8641" w:type="dxa"/>
            <w:gridSpan w:val="5"/>
            <w:tcBorders>
              <w:top w:val="single" w:sz="4" w:space="0" w:color="auto"/>
              <w:left w:val="single" w:sz="4" w:space="0" w:color="auto"/>
              <w:bottom w:val="single" w:sz="4" w:space="0" w:color="auto"/>
              <w:right w:val="single" w:sz="4" w:space="0" w:color="auto"/>
            </w:tcBorders>
            <w:shd w:val="clear" w:color="auto" w:fill="auto"/>
            <w:noWrap/>
          </w:tcPr>
          <w:p w:rsidR="001F477F" w:rsidRPr="0075186B" w:rsidRDefault="001F477F" w:rsidP="00BD5033">
            <w:pPr>
              <w:bidi w:val="0"/>
              <w:jc w:val="center"/>
              <w:rPr>
                <w:rFonts w:cstheme="minorHAnsi"/>
                <w:b/>
                <w:bCs/>
              </w:rPr>
            </w:pPr>
            <w:r w:rsidRPr="0075186B">
              <w:rPr>
                <w:rFonts w:cstheme="minorHAnsi"/>
                <w:b/>
                <w:bCs/>
                <w:rtl/>
              </w:rPr>
              <w:t>לוח 1: מאפייני משכנתאות לכל מטרה ולמטרת מגורים</w:t>
            </w:r>
          </w:p>
          <w:p w:rsidR="001F477F" w:rsidRPr="0075186B" w:rsidRDefault="001F477F" w:rsidP="00BD5033">
            <w:pPr>
              <w:bidi w:val="0"/>
              <w:jc w:val="center"/>
              <w:rPr>
                <w:rFonts w:cstheme="minorHAnsi"/>
                <w:sz w:val="20"/>
                <w:szCs w:val="20"/>
                <w:rtl/>
              </w:rPr>
            </w:pPr>
            <w:r w:rsidRPr="0075186B">
              <w:rPr>
                <w:rFonts w:cstheme="minorHAnsi"/>
                <w:sz w:val="20"/>
                <w:szCs w:val="20"/>
                <w:rtl/>
              </w:rPr>
              <w:t xml:space="preserve">משכנתאות חדשות, ספטמבר 2021 עד אוגוסט 2023 </w:t>
            </w:r>
          </w:p>
        </w:tc>
      </w:tr>
      <w:tr w:rsidR="001F477F" w:rsidRPr="0075186B" w:rsidTr="00BD5033">
        <w:trPr>
          <w:trHeight w:val="300"/>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contextualSpacing/>
              <w:jc w:val="center"/>
              <w:rPr>
                <w:rFonts w:cstheme="minorHAnsi"/>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מטרת מגורים</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לכל מטרה</w:t>
            </w:r>
          </w:p>
        </w:tc>
      </w:tr>
      <w:tr w:rsidR="001F477F" w:rsidRPr="0075186B" w:rsidTr="00BD5033">
        <w:trPr>
          <w:trHeight w:val="300"/>
        </w:trPr>
        <w:tc>
          <w:tcPr>
            <w:tcW w:w="34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contextualSpacing/>
              <w:jc w:val="center"/>
              <w:rPr>
                <w:rFonts w:cstheme="minorHAnsi"/>
                <w:sz w:val="20"/>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ממוצע</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חציון</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ממוצע</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tl/>
              </w:rPr>
              <w:t>חציון</w:t>
            </w:r>
          </w:p>
        </w:tc>
      </w:tr>
      <w:tr w:rsidR="001F477F" w:rsidRPr="0075186B" w:rsidTr="00BD5033">
        <w:trPr>
          <w:trHeight w:val="66"/>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rPr>
                <w:rFonts w:cstheme="minorHAnsi"/>
                <w:sz w:val="20"/>
                <w:szCs w:val="20"/>
                <w:rtl/>
              </w:rPr>
            </w:pPr>
            <w:r w:rsidRPr="0075186B">
              <w:rPr>
                <w:rFonts w:cstheme="minorHAnsi"/>
                <w:sz w:val="20"/>
                <w:szCs w:val="20"/>
                <w:rtl/>
              </w:rPr>
              <w:t>מרווח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1.93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bidi w:val="0"/>
              <w:jc w:val="center"/>
              <w:rPr>
                <w:rFonts w:cstheme="minorHAnsi"/>
                <w:sz w:val="20"/>
                <w:szCs w:val="20"/>
              </w:rPr>
            </w:pPr>
            <w:r w:rsidRPr="0075186B">
              <w:rPr>
                <w:rFonts w:cstheme="minorHAnsi"/>
                <w:sz w:val="20"/>
                <w:szCs w:val="20"/>
              </w:rPr>
              <w:t>1.88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4.17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4.25</w:t>
            </w:r>
          </w:p>
        </w:tc>
      </w:tr>
      <w:tr w:rsidR="001F477F" w:rsidRPr="0075186B" w:rsidTr="00BD5033">
        <w:trPr>
          <w:trHeight w:val="66"/>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rPr>
                <w:rFonts w:cstheme="minorHAnsi"/>
                <w:sz w:val="20"/>
                <w:szCs w:val="20"/>
                <w:rtl/>
              </w:rPr>
            </w:pPr>
            <w:r w:rsidRPr="0075186B">
              <w:rPr>
                <w:rFonts w:cstheme="minorHAnsi"/>
                <w:sz w:val="20"/>
                <w:szCs w:val="20"/>
                <w:rtl/>
              </w:rPr>
              <w:t>מספר הלווים החייבים במשכנתא</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1.79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bidi w:val="0"/>
              <w:jc w:val="center"/>
              <w:rPr>
                <w:rFonts w:cstheme="minorHAnsi"/>
                <w:sz w:val="20"/>
                <w:szCs w:val="20"/>
              </w:rPr>
            </w:pPr>
            <w:r w:rsidRPr="0075186B">
              <w:rPr>
                <w:rFonts w:cstheme="minorHAnsi"/>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1.84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2.00</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rPr>
                <w:rFonts w:cstheme="minorHAnsi"/>
                <w:sz w:val="20"/>
                <w:szCs w:val="20"/>
                <w:rtl/>
              </w:rPr>
            </w:pPr>
            <w:r w:rsidRPr="0075186B">
              <w:rPr>
                <w:rFonts w:cstheme="minorHAnsi"/>
                <w:sz w:val="20"/>
                <w:szCs w:val="20"/>
                <w:rtl/>
              </w:rPr>
              <w:t>הכנסה נטו למשק בית (באלפי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19.96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22.97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19.77</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rPr>
                <w:rFonts w:cstheme="minorHAnsi"/>
                <w:sz w:val="20"/>
                <w:szCs w:val="20"/>
              </w:rPr>
            </w:pPr>
            <w:r w:rsidRPr="0075186B">
              <w:rPr>
                <w:rFonts w:cstheme="minorHAnsi"/>
                <w:sz w:val="20"/>
                <w:szCs w:val="20"/>
                <w:rtl/>
              </w:rPr>
              <w:t>סכום הקרן (באלפי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959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290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220</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rPr>
                <w:rFonts w:cstheme="minorHAnsi"/>
                <w:sz w:val="20"/>
                <w:szCs w:val="20"/>
              </w:rPr>
            </w:pPr>
            <w:r w:rsidRPr="0075186B">
              <w:rPr>
                <w:rFonts w:cstheme="minorHAnsi"/>
                <w:sz w:val="20"/>
                <w:szCs w:val="20"/>
                <w:rtl/>
              </w:rPr>
              <w:t>תקופה לפירעון (בחודשים)</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312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250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240</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rPr>
                <w:rFonts w:cstheme="minorHAnsi"/>
                <w:sz w:val="20"/>
                <w:szCs w:val="20"/>
                <w:rtl/>
              </w:rPr>
            </w:pPr>
            <w:r w:rsidRPr="0075186B">
              <w:rPr>
                <w:rFonts w:cstheme="minorHAnsi"/>
                <w:sz w:val="20"/>
                <w:szCs w:val="20"/>
                <w:rtl/>
              </w:rPr>
              <w:t>מספר המסלולים במשכנתא</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4.04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2.88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3.00</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rPr>
                <w:rFonts w:cstheme="minorHAnsi"/>
                <w:sz w:val="20"/>
                <w:szCs w:val="20"/>
              </w:rPr>
            </w:pPr>
            <w:r w:rsidRPr="0075186B">
              <w:rPr>
                <w:rFonts w:cstheme="minorHAnsi"/>
                <w:sz w:val="20"/>
                <w:szCs w:val="20"/>
                <w:rtl/>
              </w:rPr>
              <w:t>יחס החזר להכנסה (ב-%)</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25.34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15.45</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13.00</w:t>
            </w:r>
          </w:p>
        </w:tc>
      </w:tr>
      <w:tr w:rsidR="001F477F" w:rsidRPr="0075186B" w:rsidTr="00BD5033">
        <w:trPr>
          <w:trHeight w:val="28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rPr>
                <w:rFonts w:cstheme="minorHAnsi"/>
                <w:sz w:val="20"/>
                <w:szCs w:val="20"/>
              </w:rPr>
            </w:pPr>
            <w:r w:rsidRPr="0075186B">
              <w:rPr>
                <w:rFonts w:cstheme="minorHAnsi"/>
                <w:sz w:val="20"/>
                <w:szCs w:val="20"/>
                <w:rtl/>
              </w:rPr>
              <w:t>שיעור מימון (ב-%)</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54.23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56.72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36.16</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39.00</w:t>
            </w:r>
          </w:p>
        </w:tc>
      </w:tr>
      <w:tr w:rsidR="001F477F" w:rsidRPr="0075186B" w:rsidTr="00BD5033">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77F" w:rsidRPr="0075186B" w:rsidRDefault="001F477F" w:rsidP="00BD5033">
            <w:pPr>
              <w:spacing w:before="60" w:after="60"/>
              <w:rPr>
                <w:rFonts w:cstheme="minorHAnsi"/>
                <w:sz w:val="20"/>
                <w:szCs w:val="20"/>
              </w:rPr>
            </w:pPr>
            <w:r w:rsidRPr="0075186B">
              <w:rPr>
                <w:rFonts w:cstheme="minorHAnsi"/>
                <w:sz w:val="20"/>
                <w:szCs w:val="20"/>
                <w:rtl/>
              </w:rPr>
              <w:t>שיעור המשכנתא שצמוד למדד (ב-%)</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29.07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27.78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35.97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77F" w:rsidRPr="0075186B" w:rsidRDefault="001F477F" w:rsidP="00BD5033">
            <w:pPr>
              <w:spacing w:before="60" w:after="60"/>
              <w:jc w:val="center"/>
              <w:rPr>
                <w:rFonts w:cstheme="minorHAnsi"/>
                <w:sz w:val="20"/>
                <w:szCs w:val="20"/>
              </w:rPr>
            </w:pPr>
            <w:r w:rsidRPr="0075186B">
              <w:rPr>
                <w:rFonts w:cstheme="minorHAnsi"/>
                <w:sz w:val="20"/>
                <w:szCs w:val="20"/>
              </w:rPr>
              <w:t>33.33</w:t>
            </w:r>
          </w:p>
        </w:tc>
      </w:tr>
      <w:tr w:rsidR="001F477F" w:rsidRPr="0075186B" w:rsidTr="00BD5033">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77F" w:rsidRPr="0075186B" w:rsidRDefault="001F477F" w:rsidP="00BD5033">
            <w:pPr>
              <w:spacing w:before="60" w:after="60"/>
              <w:rPr>
                <w:rFonts w:cstheme="minorHAnsi"/>
                <w:sz w:val="20"/>
                <w:szCs w:val="20"/>
                <w:rtl/>
              </w:rPr>
            </w:pPr>
            <w:r w:rsidRPr="0075186B">
              <w:rPr>
                <w:rFonts w:cstheme="minorHAnsi"/>
                <w:sz w:val="20"/>
                <w:szCs w:val="20"/>
                <w:rtl/>
              </w:rPr>
              <w:t>שיעור המשכנתא שבריבית קבועה (ב-%)</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40.90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Pr>
            </w:pPr>
            <w:r w:rsidRPr="0075186B">
              <w:rPr>
                <w:rFonts w:cstheme="minorHAnsi"/>
                <w:sz w:val="20"/>
                <w:szCs w:val="20"/>
              </w:rPr>
              <w:t>34.79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39.38</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77F" w:rsidRPr="0075186B" w:rsidRDefault="001F477F" w:rsidP="00BD5033">
            <w:pPr>
              <w:spacing w:before="60" w:after="60"/>
              <w:jc w:val="center"/>
              <w:rPr>
                <w:rFonts w:cstheme="minorHAnsi"/>
                <w:sz w:val="20"/>
                <w:szCs w:val="20"/>
                <w:rtl/>
              </w:rPr>
            </w:pPr>
            <w:r w:rsidRPr="0075186B">
              <w:rPr>
                <w:rFonts w:cstheme="minorHAnsi"/>
                <w:sz w:val="20"/>
                <w:szCs w:val="20"/>
              </w:rPr>
              <w:t>34.11</w:t>
            </w:r>
          </w:p>
        </w:tc>
      </w:tr>
      <w:tr w:rsidR="001F477F" w:rsidRPr="0075186B" w:rsidTr="00BD5033">
        <w:trPr>
          <w:trHeight w:val="300"/>
        </w:trPr>
        <w:tc>
          <w:tcPr>
            <w:tcW w:w="8641" w:type="dxa"/>
            <w:gridSpan w:val="5"/>
            <w:tcBorders>
              <w:top w:val="single" w:sz="4" w:space="0" w:color="auto"/>
            </w:tcBorders>
            <w:shd w:val="clear" w:color="auto" w:fill="auto"/>
            <w:noWrap/>
            <w:vAlign w:val="center"/>
          </w:tcPr>
          <w:p w:rsidR="001F477F" w:rsidRPr="0075186B" w:rsidRDefault="001F477F" w:rsidP="00BD5033">
            <w:pPr>
              <w:spacing w:before="60" w:after="60" w:line="360" w:lineRule="auto"/>
              <w:rPr>
                <w:rFonts w:cstheme="minorHAnsi"/>
                <w:sz w:val="20"/>
                <w:szCs w:val="20"/>
                <w:rtl/>
              </w:rPr>
            </w:pPr>
            <w:r w:rsidRPr="0075186B">
              <w:rPr>
                <w:rFonts w:cstheme="minorHAnsi"/>
                <w:b/>
                <w:bCs/>
                <w:sz w:val="20"/>
                <w:szCs w:val="20"/>
                <w:rtl/>
              </w:rPr>
              <w:t>המקור</w:t>
            </w:r>
            <w:r w:rsidRPr="0075186B">
              <w:rPr>
                <w:rFonts w:cstheme="minorHAnsi"/>
                <w:sz w:val="20"/>
                <w:szCs w:val="20"/>
                <w:rtl/>
              </w:rPr>
              <w:t>: מאגר נתוני אשראי ועיבודי בנק ישראל. ללא משכנתאות עם מסלולים צמודים למט"ח ומסלולי בולט\בלון.</w:t>
            </w:r>
          </w:p>
        </w:tc>
      </w:tr>
    </w:tbl>
    <w:p w:rsidR="001F477F" w:rsidRDefault="001F477F" w:rsidP="001F477F">
      <w:pPr>
        <w:spacing w:after="120" w:line="360" w:lineRule="auto"/>
        <w:jc w:val="both"/>
        <w:rPr>
          <w:rFonts w:cstheme="minorHAnsi"/>
          <w:sz w:val="24"/>
          <w:szCs w:val="24"/>
          <w:rtl/>
        </w:rPr>
      </w:pPr>
    </w:p>
    <w:p w:rsidR="001F477F" w:rsidRPr="0075186B" w:rsidRDefault="001F477F" w:rsidP="001F477F">
      <w:pPr>
        <w:spacing w:after="120" w:line="360" w:lineRule="auto"/>
        <w:jc w:val="both"/>
        <w:rPr>
          <w:rFonts w:cstheme="minorHAnsi"/>
          <w:sz w:val="24"/>
          <w:szCs w:val="24"/>
          <w:rtl/>
        </w:rPr>
      </w:pPr>
      <w:r w:rsidRPr="0075186B">
        <w:rPr>
          <w:rFonts w:cstheme="minorHAnsi"/>
          <w:sz w:val="24"/>
          <w:szCs w:val="24"/>
          <w:rtl/>
        </w:rPr>
        <w:t>כדי לכמת את ההשפעה הסיבתית של הרפורמה נשתמש בשיטת  "הפרש-הפרשים" (</w:t>
      </w:r>
      <w:r w:rsidRPr="0075186B">
        <w:rPr>
          <w:rFonts w:cstheme="minorHAnsi"/>
          <w:sz w:val="24"/>
          <w:szCs w:val="24"/>
        </w:rPr>
        <w:t>Difference-in-Difference</w:t>
      </w:r>
      <w:r w:rsidRPr="0075186B">
        <w:rPr>
          <w:rFonts w:cstheme="minorHAnsi"/>
          <w:sz w:val="24"/>
          <w:szCs w:val="24"/>
          <w:rtl/>
        </w:rPr>
        <w:t>) דינמי, הבוחנת את השינוי בתמחור המשכנתאות למטרת מגורים לעומת אלה לכל מטרה. הבדיקה נערכה באמצעות אמידה של הרגרסיה הבאה:</w:t>
      </w:r>
    </w:p>
    <w:p w:rsidR="001F477F" w:rsidRPr="0075186B" w:rsidRDefault="001F477F" w:rsidP="001F477F">
      <w:pPr>
        <w:spacing w:after="120" w:line="360" w:lineRule="auto"/>
        <w:jc w:val="both"/>
        <w:rPr>
          <w:rFonts w:cstheme="minorHAnsi"/>
          <w:rtl/>
        </w:rPr>
      </w:pPr>
      <m:oMathPara>
        <m:oMath>
          <m:sSub>
            <m:sSubPr>
              <m:ctrlPr>
                <w:rPr>
                  <w:rFonts w:ascii="Cambria Math" w:hAnsi="Cambria Math" w:cstheme="minorHAnsi"/>
                  <w:i/>
                </w:rPr>
              </m:ctrlPr>
            </m:sSubPr>
            <m:e>
              <m:r>
                <w:rPr>
                  <w:rFonts w:ascii="Cambria Math" w:hAnsi="Cambria Math" w:cstheme="minorHAnsi"/>
                </w:rPr>
                <m:t>Spread</m:t>
              </m:r>
            </m:e>
            <m:sub>
              <m:r>
                <w:rPr>
                  <w:rFonts w:ascii="Cambria Math" w:hAnsi="Cambria Math" w:cstheme="minorHAnsi"/>
                </w:rPr>
                <m:t>ijt</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α</m:t>
              </m:r>
            </m:e>
            <m:sub>
              <m:r>
                <w:rPr>
                  <w:rFonts w:ascii="Cambria Math" w:hAnsi="Cambria Math" w:cstheme="minorHAnsi"/>
                </w:rPr>
                <m:t>j</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γ</m:t>
              </m:r>
            </m:e>
            <m:sub>
              <m:r>
                <w:rPr>
                  <w:rFonts w:ascii="Cambria Math" w:hAnsi="Cambria Math" w:cstheme="minorHAnsi"/>
                </w:rPr>
                <m:t>t</m:t>
              </m:r>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t= -12</m:t>
              </m:r>
            </m:sub>
            <m:sup>
              <m:r>
                <w:rPr>
                  <w:rFonts w:ascii="Cambria Math" w:hAnsi="Cambria Math" w:cstheme="minorHAnsi"/>
                </w:rPr>
                <m:t>12</m:t>
              </m:r>
            </m:sup>
            <m:e>
              <m:sSup>
                <m:sSupPr>
                  <m:ctrlPr>
                    <w:rPr>
                      <w:rFonts w:ascii="Cambria Math" w:hAnsi="Cambria Math" w:cstheme="minorHAnsi"/>
                      <w:i/>
                    </w:rPr>
                  </m:ctrlPr>
                </m:sSupPr>
                <m:e>
                  <m:r>
                    <w:rPr>
                      <w:rFonts w:ascii="Cambria Math" w:hAnsi="Cambria Math" w:cstheme="minorHAnsi"/>
                    </w:rPr>
                    <m:t>β</m:t>
                  </m:r>
                </m:e>
                <m:sup>
                  <m:r>
                    <w:rPr>
                      <w:rFonts w:ascii="Cambria Math" w:hAnsi="Cambria Math" w:cstheme="minorHAnsi"/>
                    </w:rPr>
                    <m:t>t</m:t>
                  </m:r>
                </m:sup>
              </m:sSup>
            </m:e>
          </m:nary>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treat</m:t>
              </m:r>
            </m:e>
            <m:sub>
              <m:r>
                <w:rPr>
                  <w:rFonts w:ascii="Cambria Math" w:hAnsi="Cambria Math" w:cstheme="minorHAnsi"/>
                </w:rPr>
                <m:t>i</m:t>
              </m:r>
            </m:sub>
          </m:sSub>
          <m:r>
            <w:rPr>
              <w:rFonts w:ascii="Cambria Math" w:hAnsi="Cambria Math" w:cstheme="minorHAnsi"/>
            </w:rPr>
            <m:t>+θ</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it</m:t>
              </m:r>
            </m:sub>
          </m:sSub>
          <m:r>
            <m:rPr>
              <m:sty m:val="p"/>
            </m:rP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ϵ</m:t>
              </m:r>
            </m:e>
            <m:sub>
              <m:r>
                <w:rPr>
                  <w:rFonts w:ascii="Cambria Math" w:hAnsi="Cambria Math" w:cstheme="minorHAnsi"/>
                </w:rPr>
                <m:t>ijt</m:t>
              </m:r>
            </m:sub>
          </m:sSub>
        </m:oMath>
      </m:oMathPara>
    </w:p>
    <w:p w:rsidR="001F477F" w:rsidRPr="0075186B" w:rsidRDefault="001F477F" w:rsidP="001F477F">
      <w:pPr>
        <w:spacing w:after="120" w:line="360" w:lineRule="auto"/>
        <w:jc w:val="both"/>
        <w:rPr>
          <w:rFonts w:cstheme="minorHAnsi"/>
          <w:sz w:val="24"/>
          <w:szCs w:val="24"/>
          <w:rtl/>
        </w:rPr>
      </w:pPr>
      <w:r w:rsidRPr="0075186B">
        <w:rPr>
          <w:rFonts w:cstheme="minorHAnsi"/>
          <w:sz w:val="24"/>
          <w:szCs w:val="24"/>
          <w:rtl/>
        </w:rPr>
        <w:t xml:space="preserve">כאשר </w:t>
      </w:r>
      <m:oMath>
        <m:sSub>
          <m:sSubPr>
            <m:ctrlPr>
              <w:rPr>
                <w:rFonts w:ascii="Cambria Math" w:hAnsi="Cambria Math" w:cstheme="minorHAnsi"/>
                <w:sz w:val="24"/>
                <w:szCs w:val="24"/>
              </w:rPr>
            </m:ctrlPr>
          </m:sSubPr>
          <m:e>
            <m:r>
              <w:rPr>
                <w:rFonts w:ascii="Cambria Math" w:hAnsi="Cambria Math" w:cstheme="minorHAnsi"/>
                <w:sz w:val="24"/>
                <w:szCs w:val="24"/>
              </w:rPr>
              <m:t>Spread</m:t>
            </m:r>
          </m:e>
          <m:sub>
            <m:r>
              <w:rPr>
                <w:rFonts w:ascii="Cambria Math" w:hAnsi="Cambria Math" w:cstheme="minorHAnsi"/>
                <w:sz w:val="24"/>
                <w:szCs w:val="24"/>
              </w:rPr>
              <m:t>ijt</m:t>
            </m:r>
          </m:sub>
        </m:sSub>
      </m:oMath>
      <w:r w:rsidRPr="0075186B">
        <w:rPr>
          <w:rFonts w:cstheme="minorHAnsi"/>
          <w:sz w:val="24"/>
          <w:szCs w:val="24"/>
          <w:rtl/>
        </w:rPr>
        <w:t xml:space="preserve"> הוא מרווח </w:t>
      </w:r>
      <w:proofErr w:type="spellStart"/>
      <w:r w:rsidRPr="0075186B">
        <w:rPr>
          <w:rFonts w:cstheme="minorHAnsi"/>
          <w:sz w:val="24"/>
          <w:szCs w:val="24"/>
          <w:rtl/>
        </w:rPr>
        <w:t>המשכנתה</w:t>
      </w:r>
      <w:proofErr w:type="spellEnd"/>
      <w:r w:rsidRPr="0075186B">
        <w:rPr>
          <w:rFonts w:cstheme="minorHAnsi"/>
          <w:sz w:val="24"/>
          <w:szCs w:val="24"/>
          <w:rtl/>
        </w:rPr>
        <w:t xml:space="preserve"> המשוקלל של משכנתה </w:t>
      </w:r>
      <w:proofErr w:type="spellStart"/>
      <w:r w:rsidRPr="0075186B">
        <w:rPr>
          <w:rFonts w:cstheme="minorHAnsi"/>
          <w:i/>
          <w:iCs/>
          <w:sz w:val="24"/>
          <w:szCs w:val="24"/>
        </w:rPr>
        <w:t>i</w:t>
      </w:r>
      <w:proofErr w:type="spellEnd"/>
      <w:r w:rsidRPr="0075186B">
        <w:rPr>
          <w:rFonts w:cstheme="minorHAnsi"/>
          <w:sz w:val="24"/>
          <w:szCs w:val="24"/>
          <w:rtl/>
        </w:rPr>
        <w:t xml:space="preserve"> שניתנה על ידי בנק  </w:t>
      </w:r>
      <w:r w:rsidRPr="0075186B">
        <w:rPr>
          <w:rFonts w:cstheme="minorHAnsi"/>
          <w:i/>
          <w:iCs/>
          <w:sz w:val="24"/>
          <w:szCs w:val="24"/>
        </w:rPr>
        <w:t>j</w:t>
      </w:r>
      <w:r w:rsidRPr="0075186B">
        <w:rPr>
          <w:rFonts w:cstheme="minorHAnsi"/>
          <w:sz w:val="24"/>
          <w:szCs w:val="24"/>
          <w:rtl/>
        </w:rPr>
        <w:t xml:space="preserve">  בחודש  </w:t>
      </w:r>
      <w:r w:rsidRPr="0075186B">
        <w:rPr>
          <w:rFonts w:cstheme="minorHAnsi"/>
          <w:i/>
          <w:iCs/>
          <w:sz w:val="24"/>
          <w:szCs w:val="24"/>
        </w:rPr>
        <w:t>t</w:t>
      </w:r>
      <w:r w:rsidRPr="0075186B">
        <w:rPr>
          <w:rFonts w:cstheme="minorHAnsi"/>
          <w:sz w:val="24"/>
          <w:szCs w:val="24"/>
          <w:rtl/>
        </w:rPr>
        <w:t xml:space="preserve">. </w:t>
      </w:r>
      <w:proofErr w:type="gramStart"/>
      <w:r w:rsidRPr="0075186B">
        <w:rPr>
          <w:rFonts w:cstheme="minorHAnsi"/>
          <w:i/>
          <w:iCs/>
          <w:sz w:val="24"/>
          <w:szCs w:val="24"/>
        </w:rPr>
        <w:t>treat</w:t>
      </w:r>
      <w:proofErr w:type="gramEnd"/>
      <w:r w:rsidRPr="0075186B">
        <w:rPr>
          <w:rFonts w:cstheme="minorHAnsi"/>
          <w:i/>
          <w:iCs/>
          <w:sz w:val="24"/>
          <w:szCs w:val="24"/>
          <w:rtl/>
        </w:rPr>
        <w:t xml:space="preserve"> </w:t>
      </w:r>
      <w:r w:rsidRPr="0075186B">
        <w:rPr>
          <w:rFonts w:cstheme="minorHAnsi"/>
          <w:sz w:val="24"/>
          <w:szCs w:val="24"/>
          <w:rtl/>
        </w:rPr>
        <w:t xml:space="preserve">הוא משתנה בינארי, שמקבל את הערך 1 עבור משכנתה למטרת מגורים ו-0 עבור הלוואות לכל מטרה בביטחון דירת מגורים. </w:t>
      </w:r>
      <w:r w:rsidRPr="0075186B">
        <w:rPr>
          <w:rFonts w:cstheme="minorHAnsi"/>
          <w:i/>
          <w:iCs/>
          <w:sz w:val="24"/>
          <w:szCs w:val="24"/>
        </w:rPr>
        <w:t>X</w:t>
      </w:r>
      <w:r w:rsidRPr="0075186B">
        <w:rPr>
          <w:rFonts w:cstheme="minorHAnsi"/>
          <w:sz w:val="24"/>
          <w:szCs w:val="24"/>
          <w:rtl/>
        </w:rPr>
        <w:t xml:space="preserve"> הוא וקטור של מאפיינים ספציפיים של כל משכנתה: גודל </w:t>
      </w:r>
      <w:proofErr w:type="spellStart"/>
      <w:r w:rsidRPr="0075186B">
        <w:rPr>
          <w:rFonts w:cstheme="minorHAnsi"/>
          <w:sz w:val="24"/>
          <w:szCs w:val="24"/>
          <w:rtl/>
        </w:rPr>
        <w:t>המשכנתה</w:t>
      </w:r>
      <w:proofErr w:type="spellEnd"/>
      <w:r w:rsidRPr="0075186B">
        <w:rPr>
          <w:rFonts w:cstheme="minorHAnsi"/>
          <w:sz w:val="24"/>
          <w:szCs w:val="24"/>
          <w:rtl/>
        </w:rPr>
        <w:t xml:space="preserve">, ממוצע משוקלל של התקופה-לפירעון של כלל המסלולים </w:t>
      </w:r>
      <w:proofErr w:type="spellStart"/>
      <w:r w:rsidRPr="0075186B">
        <w:rPr>
          <w:rFonts w:cstheme="minorHAnsi"/>
          <w:sz w:val="24"/>
          <w:szCs w:val="24"/>
          <w:rtl/>
        </w:rPr>
        <w:t>במשכנתה</w:t>
      </w:r>
      <w:proofErr w:type="spellEnd"/>
      <w:r w:rsidRPr="0075186B">
        <w:rPr>
          <w:rFonts w:cstheme="minorHAnsi"/>
          <w:sz w:val="24"/>
          <w:szCs w:val="24"/>
          <w:rtl/>
        </w:rPr>
        <w:t>, מספר המסלולים, יחס המימון (</w:t>
      </w:r>
      <w:r w:rsidRPr="0075186B">
        <w:rPr>
          <w:rFonts w:cstheme="minorHAnsi"/>
          <w:sz w:val="24"/>
          <w:szCs w:val="24"/>
        </w:rPr>
        <w:t>LTV</w:t>
      </w:r>
      <w:r w:rsidRPr="0075186B">
        <w:rPr>
          <w:rFonts w:cstheme="minorHAnsi"/>
          <w:sz w:val="24"/>
          <w:szCs w:val="24"/>
          <w:rtl/>
        </w:rPr>
        <w:t>), יחס ההחזר להכנסה (</w:t>
      </w:r>
      <w:r w:rsidRPr="0075186B">
        <w:rPr>
          <w:rFonts w:cstheme="minorHAnsi"/>
          <w:sz w:val="24"/>
          <w:szCs w:val="24"/>
        </w:rPr>
        <w:t>PTI</w:t>
      </w:r>
      <w:r w:rsidRPr="0075186B">
        <w:rPr>
          <w:rFonts w:cstheme="minorHAnsi"/>
          <w:sz w:val="24"/>
          <w:szCs w:val="24"/>
          <w:rtl/>
        </w:rPr>
        <w:t xml:space="preserve">), לוג ההכנסה הפנויה </w:t>
      </w:r>
      <w:r w:rsidRPr="0075186B">
        <w:rPr>
          <w:rFonts w:cstheme="minorHAnsi"/>
          <w:sz w:val="24"/>
          <w:szCs w:val="24"/>
          <w:rtl/>
        </w:rPr>
        <w:lastRenderedPageBreak/>
        <w:t xml:space="preserve">של משק הבית, שיעור </w:t>
      </w:r>
      <w:proofErr w:type="spellStart"/>
      <w:r w:rsidRPr="0075186B">
        <w:rPr>
          <w:rFonts w:cstheme="minorHAnsi"/>
          <w:sz w:val="24"/>
          <w:szCs w:val="24"/>
          <w:rtl/>
        </w:rPr>
        <w:t>המשכנתה</w:t>
      </w:r>
      <w:proofErr w:type="spellEnd"/>
      <w:r w:rsidRPr="0075186B">
        <w:rPr>
          <w:rFonts w:cstheme="minorHAnsi"/>
          <w:sz w:val="24"/>
          <w:szCs w:val="24"/>
          <w:rtl/>
        </w:rPr>
        <w:t xml:space="preserve"> שבריבית קבועה ושיעור </w:t>
      </w:r>
      <w:proofErr w:type="spellStart"/>
      <w:r w:rsidRPr="0075186B">
        <w:rPr>
          <w:rFonts w:cstheme="minorHAnsi"/>
          <w:sz w:val="24"/>
          <w:szCs w:val="24"/>
          <w:rtl/>
        </w:rPr>
        <w:t>המשכנתה</w:t>
      </w:r>
      <w:proofErr w:type="spellEnd"/>
      <w:r w:rsidRPr="0075186B">
        <w:rPr>
          <w:rFonts w:cstheme="minorHAnsi"/>
          <w:sz w:val="24"/>
          <w:szCs w:val="24"/>
          <w:rtl/>
        </w:rPr>
        <w:t xml:space="preserve"> הצמוד למדד. נוסף על אלה כוללת הרגרסיה משתנים קבועים עבור הזמן, הבנק המלווה, היישוב של הנכס הנרכש ומטרת ההלוואה</w:t>
      </w:r>
      <w:r w:rsidRPr="0075186B">
        <w:rPr>
          <w:rStyle w:val="af2"/>
          <w:rFonts w:cstheme="minorHAnsi"/>
          <w:sz w:val="24"/>
          <w:szCs w:val="24"/>
          <w:rtl/>
        </w:rPr>
        <w:footnoteReference w:id="4"/>
      </w:r>
      <w:r w:rsidRPr="0075186B">
        <w:rPr>
          <w:rFonts w:cstheme="minorHAnsi"/>
          <w:sz w:val="24"/>
          <w:szCs w:val="24"/>
          <w:rtl/>
        </w:rPr>
        <w:t xml:space="preserve">. סטיות התקן ברגרסיה מקובצות לפי מטרת </w:t>
      </w:r>
      <w:proofErr w:type="spellStart"/>
      <w:r w:rsidRPr="0075186B">
        <w:rPr>
          <w:rFonts w:cstheme="minorHAnsi"/>
          <w:sz w:val="24"/>
          <w:szCs w:val="24"/>
          <w:rtl/>
        </w:rPr>
        <w:t>המשכנתה</w:t>
      </w:r>
      <w:proofErr w:type="spellEnd"/>
      <w:r w:rsidRPr="0075186B">
        <w:rPr>
          <w:rFonts w:cstheme="minorHAnsi"/>
          <w:sz w:val="24"/>
          <w:szCs w:val="24"/>
          <w:rtl/>
        </w:rPr>
        <w:t xml:space="preserve"> והחודש. </w:t>
      </w:r>
      <w:r w:rsidRPr="0075186B">
        <w:rPr>
          <w:rFonts w:cstheme="minorHAnsi"/>
          <w:i/>
          <w:iCs/>
          <w:sz w:val="24"/>
          <w:szCs w:val="24"/>
        </w:rPr>
        <w:t>D</w:t>
      </w:r>
      <w:r w:rsidRPr="0075186B">
        <w:rPr>
          <w:rFonts w:cstheme="minorHAnsi"/>
          <w:sz w:val="24"/>
          <w:szCs w:val="24"/>
          <w:rtl/>
        </w:rPr>
        <w:t xml:space="preserve"> הוא משתנה בינארי, שמקבל את הערך 1 עבור כל חודש בין ספטמבר 2021 לאוגוסט 2023, והמקדם של אוגוסט 2022 מנורמל לאפס. האמידה מציגה את התפתחות ההפרש בין המרווח על משכנתאות למגורים לזה על משכנתאות לכל מטרה, בניכוי השפעת שאר הדברים, ביחס לחודש הבסיס אוגוסט 2022. איור 4 מציג את מקדמי ה-</w:t>
      </w:r>
      <m:oMath>
        <m:sSup>
          <m:sSupPr>
            <m:ctrlPr>
              <w:rPr>
                <w:rFonts w:ascii="Cambria Math" w:hAnsi="Cambria Math" w:cstheme="minorHAnsi"/>
                <w:sz w:val="24"/>
                <w:szCs w:val="24"/>
              </w:rPr>
            </m:ctrlPr>
          </m:sSupPr>
          <m:e>
            <m:r>
              <w:rPr>
                <w:rFonts w:ascii="Cambria Math" w:hAnsi="Cambria Math" w:cstheme="minorHAnsi"/>
                <w:sz w:val="24"/>
                <w:szCs w:val="24"/>
              </w:rPr>
              <m:t>β</m:t>
            </m:r>
          </m:e>
          <m:sup>
            <m:r>
              <w:rPr>
                <w:rFonts w:ascii="Cambria Math" w:hAnsi="Cambria Math" w:cstheme="minorHAnsi"/>
                <w:sz w:val="24"/>
                <w:szCs w:val="24"/>
              </w:rPr>
              <m:t>t</m:t>
            </m:r>
          </m:sup>
        </m:sSup>
      </m:oMath>
      <w:r w:rsidRPr="0075186B">
        <w:rPr>
          <w:rFonts w:cstheme="minorHAnsi"/>
          <w:sz w:val="24"/>
          <w:szCs w:val="24"/>
          <w:rtl/>
        </w:rPr>
        <w:t xml:space="preserve"> של כל חודש, כולל רווח בר-סמך של 95 אחוזים.</w:t>
      </w:r>
    </w:p>
    <w:p w:rsidR="001F477F" w:rsidRPr="0075186B" w:rsidRDefault="001F477F" w:rsidP="001F477F">
      <w:pPr>
        <w:spacing w:line="360" w:lineRule="auto"/>
        <w:jc w:val="center"/>
        <w:rPr>
          <w:rFonts w:cstheme="minorHAnsi"/>
          <w:sz w:val="24"/>
          <w:szCs w:val="24"/>
          <w:rtl/>
        </w:rPr>
      </w:pPr>
      <w:r w:rsidRPr="0075186B">
        <w:rPr>
          <w:rFonts w:cstheme="minorHAnsi"/>
          <w:noProof/>
          <w:sz w:val="24"/>
          <w:szCs w:val="24"/>
        </w:rPr>
        <w:drawing>
          <wp:inline distT="0" distB="0" distL="0" distR="0" wp14:anchorId="3B1EFC11" wp14:editId="2EB8EA73">
            <wp:extent cx="4695825" cy="3432379"/>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08096" cy="3441349"/>
                    </a:xfrm>
                    <a:prstGeom prst="rect">
                      <a:avLst/>
                    </a:prstGeom>
                    <a:noFill/>
                  </pic:spPr>
                </pic:pic>
              </a:graphicData>
            </a:graphic>
          </wp:inline>
        </w:drawing>
      </w: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האיור מציג את השינוי במרווחי הריבית לאורך זמן. לאחר תחילת הרפורמה (המסומנת בקו מקווקו), ניכרת ירידה של עד כ-40 נקודות בסיס במרווחים על משכנתאות למטרת מגורים ביחס לכאלה לכל מטרה. אי המובהקות לפני הרפורמה מעיד על מגמות מקבילות בשני סוגי ההלוואות עד הרפורמה, והירידה החדה יותר של מרווחי המשכנתאות למטרת מגורים בהשוואה למשכנתאות לכל מטרה לאחר הרפורמה מספקת אינדיקציה להשפעתה – העמקת התחרות והפחתת המרווחים</w:t>
      </w:r>
      <w:r w:rsidRPr="0075186B">
        <w:rPr>
          <w:rStyle w:val="af2"/>
          <w:rFonts w:cstheme="minorHAnsi"/>
          <w:sz w:val="24"/>
          <w:szCs w:val="24"/>
          <w:rtl/>
        </w:rPr>
        <w:footnoteReference w:id="5"/>
      </w:r>
      <w:r w:rsidRPr="0075186B">
        <w:rPr>
          <w:rFonts w:cstheme="minorHAnsi"/>
          <w:sz w:val="24"/>
          <w:szCs w:val="24"/>
          <w:rtl/>
        </w:rPr>
        <w:t xml:space="preserve">. בפרט, מהניתוח עולה שכ-0.4 אחוז מירידת המרווחים במשכנתאות למגורים ניתן </w:t>
      </w:r>
      <w:r w:rsidRPr="0075186B">
        <w:rPr>
          <w:rFonts w:cstheme="minorHAnsi"/>
          <w:sz w:val="24"/>
          <w:szCs w:val="24"/>
          <w:rtl/>
        </w:rPr>
        <w:lastRenderedPageBreak/>
        <w:t>לייחס להשפעת הרפורמה, שיעור שווה ערך לכ-260 שקלים בחודש עבור משכנתה ממוצעת שנלקחה בספטמבר 2024</w:t>
      </w:r>
      <w:r w:rsidRPr="0075186B">
        <w:rPr>
          <w:rStyle w:val="af2"/>
          <w:rFonts w:cstheme="minorHAnsi"/>
          <w:sz w:val="24"/>
          <w:szCs w:val="24"/>
          <w:rtl/>
        </w:rPr>
        <w:footnoteReference w:id="6"/>
      </w:r>
      <w:r w:rsidRPr="0075186B">
        <w:rPr>
          <w:rFonts w:cstheme="minorHAnsi"/>
          <w:sz w:val="24"/>
          <w:szCs w:val="24"/>
          <w:rtl/>
        </w:rPr>
        <w:t>.</w:t>
      </w:r>
    </w:p>
    <w:p w:rsidR="001F477F" w:rsidRDefault="001F477F" w:rsidP="001F477F">
      <w:pPr>
        <w:spacing w:line="360" w:lineRule="auto"/>
        <w:jc w:val="both"/>
        <w:rPr>
          <w:rFonts w:cstheme="minorHAnsi"/>
          <w:sz w:val="24"/>
          <w:szCs w:val="24"/>
          <w:rtl/>
        </w:rPr>
      </w:pPr>
    </w:p>
    <w:p w:rsidR="001F477F" w:rsidRDefault="001F477F" w:rsidP="001F477F">
      <w:pPr>
        <w:spacing w:line="360" w:lineRule="auto"/>
        <w:jc w:val="both"/>
        <w:rPr>
          <w:rFonts w:cstheme="minorHAnsi"/>
          <w:sz w:val="24"/>
          <w:szCs w:val="24"/>
          <w:rtl/>
        </w:rPr>
      </w:pPr>
    </w:p>
    <w:p w:rsidR="001F477F" w:rsidRDefault="001F477F" w:rsidP="001F477F">
      <w:pPr>
        <w:spacing w:line="360" w:lineRule="auto"/>
        <w:jc w:val="both"/>
        <w:rPr>
          <w:rFonts w:cstheme="minorHAnsi"/>
          <w:sz w:val="24"/>
          <w:szCs w:val="24"/>
          <w:rtl/>
        </w:rPr>
      </w:pPr>
    </w:p>
    <w:p w:rsidR="001F477F" w:rsidRPr="0075186B" w:rsidRDefault="001F477F" w:rsidP="001F477F">
      <w:pPr>
        <w:spacing w:line="360" w:lineRule="auto"/>
        <w:jc w:val="both"/>
        <w:rPr>
          <w:rFonts w:cstheme="minorHAnsi"/>
          <w:sz w:val="24"/>
          <w:szCs w:val="24"/>
          <w:rtl/>
        </w:rPr>
      </w:pPr>
      <w:r w:rsidRPr="0075186B">
        <w:rPr>
          <w:rFonts w:cstheme="minorHAnsi"/>
          <w:sz w:val="24"/>
          <w:szCs w:val="24"/>
          <w:rtl/>
        </w:rPr>
        <w:t>מקורות</w:t>
      </w:r>
    </w:p>
    <w:p w:rsidR="001F477F" w:rsidRPr="0075186B" w:rsidRDefault="001F477F" w:rsidP="001F477F">
      <w:pPr>
        <w:spacing w:line="360" w:lineRule="auto"/>
        <w:jc w:val="both"/>
        <w:rPr>
          <w:rFonts w:cstheme="minorHAnsi"/>
          <w:rtl/>
        </w:rPr>
      </w:pPr>
      <w:proofErr w:type="spellStart"/>
      <w:r w:rsidRPr="0075186B">
        <w:rPr>
          <w:rFonts w:cstheme="minorHAnsi"/>
        </w:rPr>
        <w:t>Presman</w:t>
      </w:r>
      <w:proofErr w:type="spellEnd"/>
      <w:r w:rsidRPr="0075186B">
        <w:rPr>
          <w:rFonts w:cstheme="minorHAnsi"/>
        </w:rPr>
        <w:t xml:space="preserve">, N. &amp;. N. </w:t>
      </w:r>
      <w:proofErr w:type="spellStart"/>
      <w:r w:rsidRPr="0075186B">
        <w:rPr>
          <w:rFonts w:cstheme="minorHAnsi"/>
        </w:rPr>
        <w:t>Tzur</w:t>
      </w:r>
      <w:proofErr w:type="spellEnd"/>
      <w:r w:rsidRPr="0075186B">
        <w:rPr>
          <w:rFonts w:cstheme="minorHAnsi"/>
        </w:rPr>
        <w:t>-Ilan. (2019). Does Location Matter</w:t>
      </w:r>
      <w:proofErr w:type="gramStart"/>
      <w:r w:rsidRPr="0075186B">
        <w:rPr>
          <w:rFonts w:cstheme="minorHAnsi"/>
        </w:rPr>
        <w:t>?:</w:t>
      </w:r>
      <w:proofErr w:type="gramEnd"/>
      <w:r w:rsidRPr="0075186B">
        <w:rPr>
          <w:rFonts w:cstheme="minorHAnsi"/>
        </w:rPr>
        <w:t xml:space="preserve"> Evidence on Differential Mortgage </w:t>
      </w:r>
      <w:proofErr w:type="spellStart"/>
      <w:r w:rsidRPr="0075186B">
        <w:rPr>
          <w:rFonts w:cstheme="minorHAnsi"/>
        </w:rPr>
        <w:t>Prising</w:t>
      </w:r>
      <w:proofErr w:type="spellEnd"/>
      <w:r w:rsidRPr="0075186B">
        <w:rPr>
          <w:rFonts w:cstheme="minorHAnsi"/>
        </w:rPr>
        <w:t xml:space="preserve"> in Israel. Research Department, Bank of Israel</w:t>
      </w:r>
    </w:p>
    <w:p w:rsidR="001F477F" w:rsidRDefault="001F477F" w:rsidP="00765FCC">
      <w:pPr>
        <w:tabs>
          <w:tab w:val="left" w:pos="2315"/>
        </w:tabs>
        <w:jc w:val="center"/>
        <w:rPr>
          <w:rFonts w:ascii="Calibri" w:hAnsi="Calibri" w:cs="Calibri"/>
          <w:b/>
          <w:bCs/>
          <w:sz w:val="28"/>
          <w:szCs w:val="28"/>
          <w:rtl/>
        </w:rPr>
      </w:pPr>
    </w:p>
    <w:sectPr w:rsidR="001F477F" w:rsidSect="001D340E">
      <w:footerReference w:type="first" r:id="rId13"/>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1F477F" w:rsidRPr="0075186B" w:rsidRDefault="001F477F" w:rsidP="001F477F">
      <w:pPr>
        <w:pStyle w:val="af0"/>
        <w:jc w:val="both"/>
        <w:rPr>
          <w:rFonts w:cstheme="minorHAnsi"/>
          <w:rtl/>
        </w:rPr>
      </w:pPr>
      <w:r w:rsidRPr="0075186B">
        <w:rPr>
          <w:rStyle w:val="af2"/>
          <w:rFonts w:cstheme="minorHAnsi"/>
        </w:rPr>
        <w:footnoteRef/>
      </w:r>
      <w:r w:rsidRPr="0075186B">
        <w:rPr>
          <w:rFonts w:cstheme="minorHAnsi"/>
          <w:rtl/>
        </w:rPr>
        <w:t xml:space="preserve"> המרווח בין ריבית המשכנתאות לעקום האפס על בסיס </w:t>
      </w:r>
      <w:proofErr w:type="spellStart"/>
      <w:r w:rsidRPr="0075186B">
        <w:rPr>
          <w:rFonts w:cstheme="minorHAnsi"/>
          <w:rtl/>
        </w:rPr>
        <w:t>האג"ח</w:t>
      </w:r>
      <w:proofErr w:type="spellEnd"/>
      <w:r w:rsidRPr="0075186B">
        <w:rPr>
          <w:rFonts w:cstheme="minorHAnsi"/>
          <w:rtl/>
        </w:rPr>
        <w:t xml:space="preserve"> הממשלתיות אינו מייצג בהכרח את המרווח מעלות גיוס המקורות של המערכת הבנקאית, אלא, מהעלות האלטרנטיבית, שהיא התשואה שהבנק היה מקבל, במקום על </w:t>
      </w:r>
      <w:proofErr w:type="spellStart"/>
      <w:r w:rsidRPr="0075186B">
        <w:rPr>
          <w:rFonts w:cstheme="minorHAnsi"/>
          <w:rtl/>
        </w:rPr>
        <w:t>המשכנתה</w:t>
      </w:r>
      <w:proofErr w:type="spellEnd"/>
      <w:r w:rsidRPr="0075186B">
        <w:rPr>
          <w:rFonts w:cstheme="minorHAnsi"/>
          <w:rtl/>
        </w:rPr>
        <w:t xml:space="preserve">, על נכס אחר בעל אותו </w:t>
      </w:r>
      <w:proofErr w:type="spellStart"/>
      <w:r w:rsidRPr="0075186B">
        <w:rPr>
          <w:rFonts w:cstheme="minorHAnsi"/>
          <w:rtl/>
        </w:rPr>
        <w:t>מח"ם</w:t>
      </w:r>
      <w:proofErr w:type="spellEnd"/>
      <w:r w:rsidRPr="0075186B">
        <w:rPr>
          <w:rFonts w:cstheme="minorHAnsi"/>
          <w:rtl/>
        </w:rPr>
        <w:t xml:space="preserve"> ואותו סוג הצמדה למדד. </w:t>
      </w:r>
    </w:p>
  </w:footnote>
  <w:footnote w:id="2">
    <w:p w:rsidR="001F477F" w:rsidRPr="0075186B" w:rsidRDefault="001F477F" w:rsidP="001F477F">
      <w:pPr>
        <w:pStyle w:val="af0"/>
        <w:jc w:val="both"/>
        <w:rPr>
          <w:rFonts w:cstheme="minorHAnsi"/>
          <w:rtl/>
        </w:rPr>
      </w:pPr>
      <w:r w:rsidRPr="0075186B">
        <w:rPr>
          <w:rStyle w:val="af2"/>
          <w:rFonts w:cstheme="minorHAnsi"/>
        </w:rPr>
        <w:footnoteRef/>
      </w:r>
      <w:r w:rsidRPr="0075186B">
        <w:rPr>
          <w:rFonts w:cstheme="minorHAnsi"/>
          <w:rtl/>
        </w:rPr>
        <w:t xml:space="preserve"> </w:t>
      </w:r>
      <w:r w:rsidRPr="0075186B">
        <w:rPr>
          <w:rFonts w:cstheme="minorHAnsi"/>
          <w:rtl/>
        </w:rPr>
        <w:t xml:space="preserve">במסגרת הרפורמה חויבו הבנקים לספק ללקוח אישור עקרוני בפורמט אחיד, שבו יוצגו, נוסף על סל </w:t>
      </w:r>
      <w:proofErr w:type="spellStart"/>
      <w:r w:rsidRPr="0075186B">
        <w:rPr>
          <w:rFonts w:cstheme="minorHAnsi"/>
          <w:rtl/>
        </w:rPr>
        <w:t>המשכנתה</w:t>
      </w:r>
      <w:proofErr w:type="spellEnd"/>
      <w:r w:rsidRPr="0075186B">
        <w:rPr>
          <w:rFonts w:cstheme="minorHAnsi"/>
          <w:rtl/>
        </w:rPr>
        <w:t xml:space="preserve"> שהם מציעים, שלושה סלים אחידים, אשר הרכבם נקבע על ידי בנק ישראל, ועבור כל סל יוצגו הריבית הכוללת החזויה, סך התשלומים החזוי לאורך כל תקופת </w:t>
      </w:r>
      <w:proofErr w:type="spellStart"/>
      <w:r w:rsidRPr="0075186B">
        <w:rPr>
          <w:rFonts w:cstheme="minorHAnsi"/>
          <w:rtl/>
        </w:rPr>
        <w:t>המשכנתה</w:t>
      </w:r>
      <w:proofErr w:type="spellEnd"/>
      <w:r w:rsidRPr="0075186B">
        <w:rPr>
          <w:rFonts w:cstheme="minorHAnsi"/>
          <w:rtl/>
        </w:rPr>
        <w:t xml:space="preserve"> והתשלום החודשי הגבוה ביותר הצפוי על פי התחזיות. נוסף על כך קוצר הזמן עד למתן האישור העקרוני לימים ספורים בלבד, והבנקים חויבו לאפשר את הגשת הבקשה וקבלת האישור באופן מקוון. לפירוט על צעדי הרפורמה ראו </w:t>
      </w:r>
      <w:hyperlink r:id="rId1" w:history="1">
        <w:r w:rsidRPr="0075186B">
          <w:rPr>
            <w:rStyle w:val="Hyperlink"/>
            <w:rFonts w:cstheme="minorHAnsi"/>
          </w:rPr>
          <w:t>https://mash-boi.org.il</w:t>
        </w:r>
        <w:r w:rsidRPr="0075186B">
          <w:rPr>
            <w:rStyle w:val="Hyperlink"/>
            <w:rFonts w:cstheme="minorHAnsi"/>
            <w:rtl/>
          </w:rPr>
          <w:t>/</w:t>
        </w:r>
      </w:hyperlink>
    </w:p>
  </w:footnote>
  <w:footnote w:id="3">
    <w:p w:rsidR="001F477F" w:rsidRPr="0075186B" w:rsidRDefault="001F477F" w:rsidP="001F477F">
      <w:pPr>
        <w:pStyle w:val="af0"/>
        <w:jc w:val="both"/>
        <w:rPr>
          <w:rFonts w:cstheme="minorHAnsi"/>
        </w:rPr>
      </w:pPr>
      <w:r w:rsidRPr="0075186B">
        <w:rPr>
          <w:rStyle w:val="af2"/>
          <w:rFonts w:cstheme="minorHAnsi"/>
        </w:rPr>
        <w:footnoteRef/>
      </w:r>
      <w:r w:rsidRPr="0075186B">
        <w:rPr>
          <w:rFonts w:cstheme="minorHAnsi"/>
          <w:rtl/>
        </w:rPr>
        <w:t xml:space="preserve"> </w:t>
      </w:r>
      <w:r w:rsidRPr="0075186B">
        <w:rPr>
          <w:rFonts w:cstheme="minorHAnsi"/>
          <w:rtl/>
        </w:rPr>
        <w:t xml:space="preserve">שיעור זניח מהמשכנתאות בתקופה הנסקרת הוא מסלולים צמודים למט"ח. משכנתאות אלה אינן נכללות בניתוח הנוכחי. </w:t>
      </w:r>
    </w:p>
  </w:footnote>
  <w:footnote w:id="4">
    <w:p w:rsidR="001F477F" w:rsidRPr="0075186B" w:rsidRDefault="001F477F" w:rsidP="001F477F">
      <w:pPr>
        <w:pStyle w:val="af0"/>
        <w:rPr>
          <w:rFonts w:cstheme="minorHAnsi"/>
          <w:rtl/>
        </w:rPr>
      </w:pPr>
      <w:r w:rsidRPr="0075186B">
        <w:rPr>
          <w:rStyle w:val="af2"/>
          <w:rFonts w:cstheme="minorHAnsi"/>
        </w:rPr>
        <w:footnoteRef/>
      </w:r>
      <w:r w:rsidRPr="0075186B">
        <w:rPr>
          <w:rFonts w:cstheme="minorHAnsi"/>
          <w:rtl/>
        </w:rPr>
        <w:t xml:space="preserve"> </w:t>
      </w:r>
      <w:r w:rsidRPr="0075186B">
        <w:rPr>
          <w:rFonts w:cstheme="minorHAnsi"/>
          <w:rtl/>
        </w:rPr>
        <w:t xml:space="preserve">בחירת המשתנים הקבועים ומשתני הבקרה ברגרסיה מתבססת על הניתוח שנעשה ב: </w:t>
      </w:r>
    </w:p>
    <w:p w:rsidR="001F477F" w:rsidRPr="0075186B" w:rsidRDefault="001F477F" w:rsidP="001F477F">
      <w:pPr>
        <w:pStyle w:val="af0"/>
        <w:bidi w:val="0"/>
        <w:rPr>
          <w:rFonts w:cstheme="minorHAnsi"/>
          <w:rtl/>
        </w:rPr>
      </w:pPr>
      <w:r w:rsidRPr="0075186B">
        <w:rPr>
          <w:rFonts w:cstheme="minorHAnsi"/>
          <w:rtl/>
        </w:rPr>
        <w:t xml:space="preserve"> </w:t>
      </w:r>
      <w:proofErr w:type="spellStart"/>
      <w:proofErr w:type="gramStart"/>
      <w:r w:rsidRPr="0075186B">
        <w:rPr>
          <w:rFonts w:cstheme="minorHAnsi"/>
        </w:rPr>
        <w:t>Presman</w:t>
      </w:r>
      <w:proofErr w:type="spellEnd"/>
      <w:r w:rsidRPr="0075186B">
        <w:rPr>
          <w:rFonts w:cstheme="minorHAnsi"/>
        </w:rPr>
        <w:t>,</w:t>
      </w:r>
      <w:proofErr w:type="gramEnd"/>
      <w:r w:rsidRPr="0075186B">
        <w:rPr>
          <w:rFonts w:cstheme="minorHAnsi"/>
        </w:rPr>
        <w:t xml:space="preserve"> &amp; </w:t>
      </w:r>
      <w:proofErr w:type="spellStart"/>
      <w:r w:rsidRPr="0075186B">
        <w:rPr>
          <w:rFonts w:cstheme="minorHAnsi"/>
        </w:rPr>
        <w:t>Tzur</w:t>
      </w:r>
      <w:proofErr w:type="spellEnd"/>
      <w:r w:rsidRPr="0075186B">
        <w:rPr>
          <w:rFonts w:cstheme="minorHAnsi"/>
        </w:rPr>
        <w:t xml:space="preserve">-Ilan (2019). </w:t>
      </w:r>
    </w:p>
  </w:footnote>
  <w:footnote w:id="5">
    <w:p w:rsidR="001F477F" w:rsidRPr="0075186B" w:rsidRDefault="001F477F" w:rsidP="001F477F">
      <w:pPr>
        <w:pStyle w:val="af0"/>
        <w:jc w:val="both"/>
        <w:rPr>
          <w:rFonts w:cstheme="minorHAnsi"/>
          <w:rtl/>
        </w:rPr>
      </w:pPr>
      <w:r w:rsidRPr="0075186B">
        <w:rPr>
          <w:rStyle w:val="af2"/>
          <w:rFonts w:cstheme="minorHAnsi"/>
        </w:rPr>
        <w:footnoteRef/>
      </w:r>
      <w:r w:rsidRPr="0075186B">
        <w:rPr>
          <w:rFonts w:cstheme="minorHAnsi"/>
          <w:rtl/>
        </w:rPr>
        <w:t xml:space="preserve"> </w:t>
      </w:r>
      <w:r w:rsidRPr="0075186B">
        <w:rPr>
          <w:rFonts w:cstheme="minorHAnsi"/>
          <w:rtl/>
        </w:rPr>
        <w:t xml:space="preserve">כדי להקטין את החשש מבעיית סלקציה ואנדוגניות בהשוואה בין משכנתאות לכל מטרה לבין משכנתאות למטרת מגורים נבדקה עמידות התוצאות באמצעות שימוש בגישת </w:t>
      </w:r>
      <w:r w:rsidRPr="0075186B">
        <w:rPr>
          <w:rFonts w:cstheme="minorHAnsi"/>
        </w:rPr>
        <w:t xml:space="preserve"> Propensity Score Matching</w:t>
      </w:r>
      <w:r w:rsidRPr="0075186B">
        <w:rPr>
          <w:rFonts w:cstheme="minorHAnsi"/>
          <w:rtl/>
        </w:rPr>
        <w:t>(</w:t>
      </w:r>
      <w:r w:rsidRPr="0075186B">
        <w:rPr>
          <w:rFonts w:cstheme="minorHAnsi"/>
        </w:rPr>
        <w:t>PSM</w:t>
      </w:r>
      <w:r w:rsidRPr="0075186B">
        <w:rPr>
          <w:rFonts w:cstheme="minorHAnsi"/>
          <w:rtl/>
        </w:rPr>
        <w:t>), אשר מקטינה את ההטיה הנובעת מהבדלים בין קבוצת הטיפול לקבוצת הביקורת. תוצאות האמידה של מדגם ה-</w:t>
      </w:r>
      <w:r w:rsidRPr="0075186B">
        <w:rPr>
          <w:rFonts w:cstheme="minorHAnsi"/>
        </w:rPr>
        <w:t>PSM</w:t>
      </w:r>
      <w:r w:rsidRPr="0075186B">
        <w:rPr>
          <w:rFonts w:cstheme="minorHAnsi"/>
          <w:rtl/>
        </w:rPr>
        <w:t xml:space="preserve"> תואמות לאומדנים של הרגרסיה הליניארית הפשוטה– מה שמחזק את ההנחה שהמאפיינים השונים  של המשכנתאות אינם מטים את התוצאות </w:t>
      </w:r>
    </w:p>
  </w:footnote>
  <w:footnote w:id="6">
    <w:p w:rsidR="001F477F" w:rsidRPr="0075186B" w:rsidRDefault="001F477F" w:rsidP="001F477F">
      <w:pPr>
        <w:pStyle w:val="af0"/>
        <w:rPr>
          <w:rFonts w:cstheme="minorHAnsi"/>
          <w:rtl/>
        </w:rPr>
      </w:pPr>
      <w:r w:rsidRPr="0075186B">
        <w:rPr>
          <w:rStyle w:val="af2"/>
          <w:rFonts w:cstheme="minorHAnsi"/>
        </w:rPr>
        <w:footnoteRef/>
      </w:r>
      <w:r w:rsidRPr="0075186B">
        <w:rPr>
          <w:rFonts w:cstheme="minorHAnsi"/>
          <w:rtl/>
        </w:rPr>
        <w:t xml:space="preserve"> </w:t>
      </w:r>
      <w:r w:rsidRPr="0075186B">
        <w:rPr>
          <w:rFonts w:cstheme="minorHAnsi"/>
          <w:rtl/>
        </w:rPr>
        <w:t>משכנתה של מיליון שקלים שנלקחת ל-30 שנים לפי התפלגויות הריבית והצמדה הממוצעות באותו חודש.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E3B3A"/>
    <w:multiLevelType w:val="hybridMultilevel"/>
    <w:tmpl w:val="A0CA0784"/>
    <w:lvl w:ilvl="0" w:tplc="882C9F16">
      <w:numFmt w:val="bullet"/>
      <w:lvlText w:val=""/>
      <w:lvlJc w:val="left"/>
      <w:pPr>
        <w:ind w:left="720" w:hanging="360"/>
      </w:pPr>
      <w:rPr>
        <w:rFonts w:ascii="Symbol" w:eastAsia="Calibri" w:hAnsi="Symbol" w:cs="Times New Roman" w:hint="default"/>
      </w:rPr>
    </w:lvl>
    <w:lvl w:ilvl="1" w:tplc="AF9EF06E" w:tentative="1">
      <w:start w:val="1"/>
      <w:numFmt w:val="bullet"/>
      <w:lvlText w:val="o"/>
      <w:lvlJc w:val="left"/>
      <w:pPr>
        <w:ind w:left="1440" w:hanging="360"/>
      </w:pPr>
      <w:rPr>
        <w:rFonts w:ascii="Courier New" w:hAnsi="Courier New" w:cs="Courier New" w:hint="default"/>
      </w:rPr>
    </w:lvl>
    <w:lvl w:ilvl="2" w:tplc="45B254A0" w:tentative="1">
      <w:start w:val="1"/>
      <w:numFmt w:val="bullet"/>
      <w:lvlText w:val=""/>
      <w:lvlJc w:val="left"/>
      <w:pPr>
        <w:ind w:left="2160" w:hanging="360"/>
      </w:pPr>
      <w:rPr>
        <w:rFonts w:ascii="Wingdings" w:hAnsi="Wingdings" w:hint="default"/>
      </w:rPr>
    </w:lvl>
    <w:lvl w:ilvl="3" w:tplc="FC6E9258" w:tentative="1">
      <w:start w:val="1"/>
      <w:numFmt w:val="bullet"/>
      <w:lvlText w:val=""/>
      <w:lvlJc w:val="left"/>
      <w:pPr>
        <w:ind w:left="2880" w:hanging="360"/>
      </w:pPr>
      <w:rPr>
        <w:rFonts w:ascii="Symbol" w:hAnsi="Symbol" w:hint="default"/>
      </w:rPr>
    </w:lvl>
    <w:lvl w:ilvl="4" w:tplc="A53EC846" w:tentative="1">
      <w:start w:val="1"/>
      <w:numFmt w:val="bullet"/>
      <w:lvlText w:val="o"/>
      <w:lvlJc w:val="left"/>
      <w:pPr>
        <w:ind w:left="3600" w:hanging="360"/>
      </w:pPr>
      <w:rPr>
        <w:rFonts w:ascii="Courier New" w:hAnsi="Courier New" w:cs="Courier New" w:hint="default"/>
      </w:rPr>
    </w:lvl>
    <w:lvl w:ilvl="5" w:tplc="98185C14" w:tentative="1">
      <w:start w:val="1"/>
      <w:numFmt w:val="bullet"/>
      <w:lvlText w:val=""/>
      <w:lvlJc w:val="left"/>
      <w:pPr>
        <w:ind w:left="4320" w:hanging="360"/>
      </w:pPr>
      <w:rPr>
        <w:rFonts w:ascii="Wingdings" w:hAnsi="Wingdings" w:hint="default"/>
      </w:rPr>
    </w:lvl>
    <w:lvl w:ilvl="6" w:tplc="DD24390C" w:tentative="1">
      <w:start w:val="1"/>
      <w:numFmt w:val="bullet"/>
      <w:lvlText w:val=""/>
      <w:lvlJc w:val="left"/>
      <w:pPr>
        <w:ind w:left="5040" w:hanging="360"/>
      </w:pPr>
      <w:rPr>
        <w:rFonts w:ascii="Symbol" w:hAnsi="Symbol" w:hint="default"/>
      </w:rPr>
    </w:lvl>
    <w:lvl w:ilvl="7" w:tplc="F9B4F202" w:tentative="1">
      <w:start w:val="1"/>
      <w:numFmt w:val="bullet"/>
      <w:lvlText w:val="o"/>
      <w:lvlJc w:val="left"/>
      <w:pPr>
        <w:ind w:left="5760" w:hanging="360"/>
      </w:pPr>
      <w:rPr>
        <w:rFonts w:ascii="Courier New" w:hAnsi="Courier New" w:cs="Courier New" w:hint="default"/>
      </w:rPr>
    </w:lvl>
    <w:lvl w:ilvl="8" w:tplc="EBC46BC6" w:tentative="1">
      <w:start w:val="1"/>
      <w:numFmt w:val="bullet"/>
      <w:lvlText w:val=""/>
      <w:lvlJc w:val="left"/>
      <w:pPr>
        <w:ind w:left="6480" w:hanging="360"/>
      </w:pPr>
      <w:rPr>
        <w:rFonts w:ascii="Wingdings" w:hAnsi="Wingdings" w:hint="default"/>
      </w:rPr>
    </w:lvl>
  </w:abstractNum>
  <w:abstractNum w:abstractNumId="13"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5"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8"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6150FEA"/>
    <w:multiLevelType w:val="hybridMultilevel"/>
    <w:tmpl w:val="889EABD0"/>
    <w:lvl w:ilvl="0" w:tplc="EF729574">
      <w:start w:val="1"/>
      <w:numFmt w:val="decimal"/>
      <w:lvlText w:val="%1."/>
      <w:lvlJc w:val="left"/>
      <w:pPr>
        <w:ind w:left="720" w:hanging="360"/>
      </w:pPr>
      <w:rPr>
        <w:rFonts w:hint="default"/>
        <w:b/>
        <w:bCs/>
        <w:color w:val="auto"/>
      </w:rPr>
    </w:lvl>
    <w:lvl w:ilvl="1" w:tplc="62CECDDE" w:tentative="1">
      <w:start w:val="1"/>
      <w:numFmt w:val="lowerLetter"/>
      <w:lvlText w:val="%2."/>
      <w:lvlJc w:val="left"/>
      <w:pPr>
        <w:ind w:left="1440" w:hanging="360"/>
      </w:pPr>
    </w:lvl>
    <w:lvl w:ilvl="2" w:tplc="53403768" w:tentative="1">
      <w:start w:val="1"/>
      <w:numFmt w:val="lowerRoman"/>
      <w:lvlText w:val="%3."/>
      <w:lvlJc w:val="right"/>
      <w:pPr>
        <w:ind w:left="2160" w:hanging="180"/>
      </w:pPr>
    </w:lvl>
    <w:lvl w:ilvl="3" w:tplc="DCF2C7B8" w:tentative="1">
      <w:start w:val="1"/>
      <w:numFmt w:val="decimal"/>
      <w:lvlText w:val="%4."/>
      <w:lvlJc w:val="left"/>
      <w:pPr>
        <w:ind w:left="2880" w:hanging="360"/>
      </w:pPr>
    </w:lvl>
    <w:lvl w:ilvl="4" w:tplc="96ACEDAC" w:tentative="1">
      <w:start w:val="1"/>
      <w:numFmt w:val="lowerLetter"/>
      <w:lvlText w:val="%5."/>
      <w:lvlJc w:val="left"/>
      <w:pPr>
        <w:ind w:left="3600" w:hanging="360"/>
      </w:pPr>
    </w:lvl>
    <w:lvl w:ilvl="5" w:tplc="5E068CCA" w:tentative="1">
      <w:start w:val="1"/>
      <w:numFmt w:val="lowerRoman"/>
      <w:lvlText w:val="%6."/>
      <w:lvlJc w:val="right"/>
      <w:pPr>
        <w:ind w:left="4320" w:hanging="180"/>
      </w:pPr>
    </w:lvl>
    <w:lvl w:ilvl="6" w:tplc="B8063750" w:tentative="1">
      <w:start w:val="1"/>
      <w:numFmt w:val="decimal"/>
      <w:lvlText w:val="%7."/>
      <w:lvlJc w:val="left"/>
      <w:pPr>
        <w:ind w:left="5040" w:hanging="360"/>
      </w:pPr>
    </w:lvl>
    <w:lvl w:ilvl="7" w:tplc="6FD008C2" w:tentative="1">
      <w:start w:val="1"/>
      <w:numFmt w:val="lowerLetter"/>
      <w:lvlText w:val="%8."/>
      <w:lvlJc w:val="left"/>
      <w:pPr>
        <w:ind w:left="5760" w:hanging="360"/>
      </w:pPr>
    </w:lvl>
    <w:lvl w:ilvl="8" w:tplc="6E845C12" w:tentative="1">
      <w:start w:val="1"/>
      <w:numFmt w:val="lowerRoman"/>
      <w:lvlText w:val="%9."/>
      <w:lvlJc w:val="right"/>
      <w:pPr>
        <w:ind w:left="6480" w:hanging="180"/>
      </w:pPr>
    </w:lvl>
  </w:abstractNum>
  <w:abstractNum w:abstractNumId="27"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1"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6"/>
  </w:num>
  <w:num w:numId="8">
    <w:abstractNumId w:val="23"/>
  </w:num>
  <w:num w:numId="9">
    <w:abstractNumId w:val="27"/>
  </w:num>
  <w:num w:numId="10">
    <w:abstractNumId w:val="19"/>
  </w:num>
  <w:num w:numId="11">
    <w:abstractNumId w:val="15"/>
  </w:num>
  <w:num w:numId="12">
    <w:abstractNumId w:val="20"/>
  </w:num>
  <w:num w:numId="13">
    <w:abstractNumId w:val="13"/>
  </w:num>
  <w:num w:numId="14">
    <w:abstractNumId w:val="4"/>
  </w:num>
  <w:num w:numId="15">
    <w:abstractNumId w:val="21"/>
  </w:num>
  <w:num w:numId="16">
    <w:abstractNumId w:val="2"/>
  </w:num>
  <w:num w:numId="17">
    <w:abstractNumId w:val="31"/>
  </w:num>
  <w:num w:numId="18">
    <w:abstractNumId w:val="28"/>
  </w:num>
  <w:num w:numId="19">
    <w:abstractNumId w:val="25"/>
  </w:num>
  <w:num w:numId="20">
    <w:abstractNumId w:val="24"/>
  </w:num>
  <w:num w:numId="21">
    <w:abstractNumId w:val="1"/>
  </w:num>
  <w:num w:numId="22">
    <w:abstractNumId w:val="9"/>
  </w:num>
  <w:num w:numId="23">
    <w:abstractNumId w:val="29"/>
  </w:num>
  <w:num w:numId="24">
    <w:abstractNumId w:val="18"/>
  </w:num>
  <w:num w:numId="25">
    <w:abstractNumId w:val="22"/>
  </w:num>
  <w:num w:numId="26">
    <w:abstractNumId w:val="30"/>
  </w:num>
  <w:num w:numId="27">
    <w:abstractNumId w:val="0"/>
  </w:num>
  <w:num w:numId="28">
    <w:abstractNumId w:val="14"/>
  </w:num>
  <w:num w:numId="29">
    <w:abstractNumId w:val="17"/>
  </w:num>
  <w:num w:numId="30">
    <w:abstractNumId w:val="11"/>
  </w:num>
  <w:num w:numId="31">
    <w:abstractNumId w:val="26"/>
  </w:num>
  <w:num w:numId="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1F47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31FD"/>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62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number"/>
    <w:basedOn w:val="a0"/>
    <w:uiPriority w:val="99"/>
    <w:unhideWhenUsed/>
    <w:rsid w:val="006E5D28"/>
    <w:rPr>
      <w:vertAlign w:val="superscript"/>
    </w:rPr>
  </w:style>
  <w:style w:type="table" w:styleId="af3">
    <w:name w:val="Table Grid"/>
    <w:basedOn w:val="a1"/>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sh-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53B5-8B56-4343-A32F-E0EF05B6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1269</Words>
  <Characters>6348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2025-03-17T08:07:00Z</dcterms:created>
  <dcterms:modified xsi:type="dcterms:W3CDTF">2025-03-17T08:07:00Z</dcterms:modified>
</cp:coreProperties>
</file>