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63652" w14:textId="77777777" w:rsidR="00673CFC" w:rsidRPr="002D58F1" w:rsidRDefault="00673CFC" w:rsidP="00673CFC">
      <w:pPr>
        <w:pStyle w:val="Title"/>
        <w:bidi w:val="0"/>
        <w:spacing w:line="360" w:lineRule="auto"/>
        <w:rPr>
          <w:rFonts w:cs="David"/>
          <w:sz w:val="28"/>
          <w:szCs w:val="28"/>
        </w:rPr>
      </w:pPr>
      <w:bookmarkStart w:id="0" w:name="_Hlk112243174"/>
      <w:bookmarkStart w:id="1" w:name="_Hlk157504877"/>
      <w:r w:rsidRPr="002D58F1">
        <w:rPr>
          <w:rFonts w:cs="David" w:hint="cs"/>
          <w:sz w:val="28"/>
          <w:szCs w:val="28"/>
          <w:rtl/>
        </w:rPr>
        <w:t>מ</w:t>
      </w:r>
      <w:r w:rsidRPr="002D58F1">
        <w:rPr>
          <w:rFonts w:cs="David"/>
          <w:sz w:val="28"/>
          <w:szCs w:val="28"/>
          <w:rtl/>
        </w:rPr>
        <w:t>דינת  ישראל</w:t>
      </w:r>
    </w:p>
    <w:p w14:paraId="005ED15E" w14:textId="77777777" w:rsidR="00673CFC" w:rsidRPr="002D58F1" w:rsidRDefault="00673CFC" w:rsidP="00673CFC">
      <w:pPr>
        <w:spacing w:after="0" w:line="360" w:lineRule="auto"/>
        <w:jc w:val="center"/>
        <w:rPr>
          <w:b/>
          <w:bCs/>
          <w:sz w:val="28"/>
          <w:szCs w:val="28"/>
        </w:rPr>
      </w:pPr>
      <w:r w:rsidRPr="002D58F1">
        <w:rPr>
          <w:b/>
          <w:bCs/>
          <w:sz w:val="28"/>
          <w:szCs w:val="28"/>
          <w:rtl/>
        </w:rPr>
        <w:t xml:space="preserve">משרד הפנים- יחידת סמך </w:t>
      </w:r>
    </w:p>
    <w:p w14:paraId="5092B400" w14:textId="77777777" w:rsidR="00673CFC" w:rsidRPr="002D58F1" w:rsidRDefault="00673CFC" w:rsidP="00673CFC">
      <w:pPr>
        <w:pBdr>
          <w:bottom w:val="single" w:sz="12" w:space="1" w:color="auto"/>
        </w:pBdr>
        <w:spacing w:after="0" w:line="360" w:lineRule="auto"/>
        <w:jc w:val="center"/>
        <w:rPr>
          <w:b/>
          <w:bCs/>
          <w:sz w:val="28"/>
          <w:szCs w:val="28"/>
          <w:rtl/>
        </w:rPr>
      </w:pPr>
      <w:r w:rsidRPr="002D58F1">
        <w:rPr>
          <w:rFonts w:hint="cs"/>
          <w:b/>
          <w:bCs/>
          <w:sz w:val="28"/>
          <w:szCs w:val="28"/>
          <w:rtl/>
        </w:rPr>
        <w:t xml:space="preserve">    </w:t>
      </w:r>
      <w:r w:rsidRPr="002D58F1">
        <w:rPr>
          <w:b/>
          <w:bCs/>
          <w:sz w:val="28"/>
          <w:szCs w:val="28"/>
          <w:rtl/>
        </w:rPr>
        <w:t>ועדת ערר מחוזית לתכנון ובניה</w:t>
      </w:r>
      <w:r w:rsidRPr="002D58F1">
        <w:rPr>
          <w:rFonts w:hint="cs"/>
          <w:b/>
          <w:bCs/>
          <w:sz w:val="28"/>
          <w:szCs w:val="28"/>
          <w:rtl/>
        </w:rPr>
        <w:t xml:space="preserve"> </w:t>
      </w:r>
    </w:p>
    <w:p w14:paraId="27104E54" w14:textId="77777777" w:rsidR="00673CFC" w:rsidRPr="002D58F1" w:rsidRDefault="00673CFC" w:rsidP="00673CFC">
      <w:pPr>
        <w:pBdr>
          <w:bottom w:val="single" w:sz="12" w:space="1" w:color="auto"/>
        </w:pBdr>
        <w:spacing w:after="0" w:line="360" w:lineRule="auto"/>
        <w:jc w:val="center"/>
        <w:rPr>
          <w:b/>
          <w:bCs/>
          <w:sz w:val="28"/>
          <w:szCs w:val="28"/>
        </w:rPr>
      </w:pPr>
      <w:r w:rsidRPr="002D58F1">
        <w:rPr>
          <w:rFonts w:hint="cs"/>
          <w:b/>
          <w:bCs/>
          <w:sz w:val="28"/>
          <w:szCs w:val="28"/>
          <w:rtl/>
        </w:rPr>
        <w:t xml:space="preserve">פיצויים והיטלי השבחה </w:t>
      </w:r>
    </w:p>
    <w:p w14:paraId="3799A4B6" w14:textId="77777777" w:rsidR="00673CFC" w:rsidRPr="002D58F1" w:rsidRDefault="00673CFC" w:rsidP="00673CFC">
      <w:pPr>
        <w:pBdr>
          <w:bottom w:val="single" w:sz="12" w:space="1" w:color="auto"/>
        </w:pBdr>
        <w:spacing w:after="0" w:line="360" w:lineRule="auto"/>
        <w:jc w:val="center"/>
        <w:rPr>
          <w:b/>
          <w:bCs/>
          <w:sz w:val="28"/>
          <w:szCs w:val="28"/>
          <w:rtl/>
        </w:rPr>
      </w:pPr>
      <w:r w:rsidRPr="002D58F1">
        <w:rPr>
          <w:rFonts w:hint="cs"/>
          <w:b/>
          <w:bCs/>
          <w:sz w:val="28"/>
          <w:szCs w:val="28"/>
          <w:rtl/>
        </w:rPr>
        <w:t xml:space="preserve">     </w:t>
      </w:r>
      <w:r w:rsidRPr="002D58F1">
        <w:rPr>
          <w:b/>
          <w:bCs/>
          <w:sz w:val="28"/>
          <w:szCs w:val="28"/>
          <w:rtl/>
        </w:rPr>
        <w:t>מחוז תל אביב</w:t>
      </w:r>
      <w:bookmarkEnd w:id="0"/>
    </w:p>
    <w:p w14:paraId="1C50BCCD" w14:textId="209870C0" w:rsidR="00673CFC" w:rsidRPr="002D58F1" w:rsidRDefault="00673CFC" w:rsidP="00673CFC">
      <w:pPr>
        <w:pStyle w:val="BodyText"/>
        <w:tabs>
          <w:tab w:val="left" w:pos="5246"/>
        </w:tabs>
        <w:jc w:val="right"/>
        <w:rPr>
          <w:rFonts w:ascii="David" w:hAnsi="David"/>
          <w:rtl/>
        </w:rPr>
      </w:pPr>
      <w:r w:rsidRPr="002D58F1">
        <w:rPr>
          <w:rFonts w:ascii="David" w:hAnsi="David"/>
          <w:rtl/>
        </w:rPr>
        <w:t xml:space="preserve">                                            </w:t>
      </w:r>
      <w:r w:rsidRPr="002D58F1">
        <w:rPr>
          <w:rFonts w:ascii="David" w:hAnsi="David"/>
        </w:rPr>
        <w:t xml:space="preserve">      </w:t>
      </w:r>
      <w:r w:rsidRPr="002D58F1">
        <w:rPr>
          <w:rFonts w:ascii="David" w:hAnsi="David"/>
          <w:rtl/>
        </w:rPr>
        <w:t xml:space="preserve">         </w:t>
      </w:r>
      <w:r w:rsidRPr="002D58F1">
        <w:rPr>
          <w:rFonts w:ascii="David" w:hAnsi="David"/>
        </w:rPr>
        <w:t xml:space="preserve">        </w:t>
      </w:r>
      <w:r w:rsidRPr="002D58F1">
        <w:rPr>
          <w:rFonts w:ascii="David" w:hAnsi="David" w:hint="cs"/>
          <w:rtl/>
        </w:rPr>
        <w:t xml:space="preserve">          ערר </w:t>
      </w:r>
      <w:r w:rsidRPr="002D58F1">
        <w:rPr>
          <w:rFonts w:ascii="David" w:hAnsi="David"/>
          <w:rtl/>
        </w:rPr>
        <w:t xml:space="preserve">מס': </w:t>
      </w:r>
      <w:r w:rsidRPr="002D58F1">
        <w:rPr>
          <w:rFonts w:ascii="David" w:hAnsi="David" w:hint="cs"/>
          <w:rtl/>
        </w:rPr>
        <w:t>בי</w:t>
      </w:r>
      <w:r w:rsidRPr="002D58F1">
        <w:rPr>
          <w:rFonts w:ascii="David" w:hAnsi="David"/>
          <w:rtl/>
        </w:rPr>
        <w:t xml:space="preserve">/ </w:t>
      </w:r>
      <w:r w:rsidRPr="002D58F1">
        <w:rPr>
          <w:rFonts w:ascii="David" w:hAnsi="David" w:hint="cs"/>
          <w:rtl/>
        </w:rPr>
        <w:t>8076/0522</w:t>
      </w:r>
    </w:p>
    <w:p w14:paraId="074D8857" w14:textId="48A82CA7" w:rsidR="00673CFC" w:rsidRPr="002D58F1" w:rsidRDefault="00673CFC" w:rsidP="00673CFC">
      <w:pPr>
        <w:pStyle w:val="BodyText"/>
        <w:tabs>
          <w:tab w:val="left" w:pos="5246"/>
        </w:tabs>
        <w:jc w:val="right"/>
        <w:rPr>
          <w:rFonts w:ascii="David" w:hAnsi="David"/>
          <w:rtl/>
        </w:rPr>
      </w:pPr>
      <w:r w:rsidRPr="002D58F1">
        <w:rPr>
          <w:rFonts w:ascii="David" w:hAnsi="David" w:hint="cs"/>
          <w:rtl/>
        </w:rPr>
        <w:t xml:space="preserve">חלקה 134 </w:t>
      </w:r>
      <w:r w:rsidRPr="002D58F1">
        <w:rPr>
          <w:rFonts w:ascii="David" w:hAnsi="David"/>
          <w:rtl/>
        </w:rPr>
        <w:t xml:space="preserve">בגוש </w:t>
      </w:r>
      <w:r w:rsidRPr="002D58F1">
        <w:rPr>
          <w:rFonts w:ascii="David" w:hAnsi="David" w:hint="cs"/>
          <w:rtl/>
        </w:rPr>
        <w:t>7129 (חלקות ישנות 60,61 ו-21)</w:t>
      </w:r>
      <w:r w:rsidRPr="002D58F1">
        <w:rPr>
          <w:rFonts w:ascii="David" w:hAnsi="David"/>
          <w:rtl/>
        </w:rPr>
        <w:t xml:space="preserve">; </w:t>
      </w:r>
      <w:r w:rsidRPr="002D58F1">
        <w:rPr>
          <w:rFonts w:ascii="David" w:hAnsi="David" w:hint="cs"/>
          <w:rtl/>
        </w:rPr>
        <w:t>רח' ניסנבוים 37 בת ים</w:t>
      </w:r>
    </w:p>
    <w:p w14:paraId="44741F50" w14:textId="77777777" w:rsidR="00673CFC" w:rsidRPr="002D58F1" w:rsidRDefault="00673CFC" w:rsidP="00673CFC">
      <w:pPr>
        <w:pStyle w:val="BodyText"/>
        <w:tabs>
          <w:tab w:val="left" w:pos="1367"/>
        </w:tabs>
        <w:rPr>
          <w:rFonts w:ascii="David" w:hAnsi="David"/>
          <w:b w:val="0"/>
          <w:bCs w:val="0"/>
          <w:u w:val="single"/>
          <w:rtl/>
        </w:rPr>
      </w:pPr>
    </w:p>
    <w:p w14:paraId="3CE351C8" w14:textId="77777777" w:rsidR="00673CFC" w:rsidRPr="002D58F1" w:rsidRDefault="00673CFC" w:rsidP="00673CFC">
      <w:pPr>
        <w:tabs>
          <w:tab w:val="left" w:pos="1083"/>
        </w:tabs>
        <w:spacing w:after="0" w:line="360" w:lineRule="auto"/>
        <w:rPr>
          <w:rFonts w:eastAsia="Times New Roman"/>
          <w:b/>
          <w:bCs/>
          <w:sz w:val="28"/>
          <w:szCs w:val="28"/>
          <w:u w:val="single"/>
          <w:rtl/>
          <w:lang w:eastAsia="he-IL"/>
        </w:rPr>
      </w:pPr>
    </w:p>
    <w:p w14:paraId="77C53D65" w14:textId="76C5E86B" w:rsidR="00673CFC" w:rsidRPr="002D58F1" w:rsidRDefault="00673CFC" w:rsidP="00673CFC">
      <w:pPr>
        <w:tabs>
          <w:tab w:val="left" w:pos="1083"/>
        </w:tabs>
        <w:spacing w:after="0" w:line="360" w:lineRule="auto"/>
        <w:ind w:left="-51"/>
        <w:rPr>
          <w:rFonts w:eastAsia="Times New Roman"/>
          <w:b/>
          <w:bCs/>
          <w:rtl/>
          <w:lang w:eastAsia="he-IL"/>
        </w:rPr>
      </w:pPr>
      <w:r w:rsidRPr="002D58F1">
        <w:rPr>
          <w:rFonts w:eastAsia="Times New Roman"/>
          <w:b/>
          <w:bCs/>
          <w:u w:val="single"/>
          <w:rtl/>
          <w:lang w:eastAsia="he-IL"/>
        </w:rPr>
        <w:t>הרכב ועד</w:t>
      </w:r>
      <w:r w:rsidRPr="002D58F1">
        <w:rPr>
          <w:rFonts w:eastAsia="Times New Roman" w:hint="cs"/>
          <w:b/>
          <w:bCs/>
          <w:u w:val="single"/>
          <w:rtl/>
          <w:lang w:eastAsia="he-IL"/>
        </w:rPr>
        <w:t>ת הערר</w:t>
      </w:r>
      <w:r w:rsidRPr="002D58F1">
        <w:rPr>
          <w:rFonts w:eastAsia="Times New Roman"/>
          <w:b/>
          <w:bCs/>
          <w:rtl/>
          <w:lang w:eastAsia="he-IL"/>
        </w:rPr>
        <w:t xml:space="preserve">:       </w:t>
      </w:r>
      <w:r w:rsidRPr="002D58F1">
        <w:rPr>
          <w:rFonts w:eastAsia="Times New Roman" w:hint="cs"/>
          <w:b/>
          <w:bCs/>
          <w:rtl/>
          <w:lang w:eastAsia="he-IL"/>
        </w:rPr>
        <w:t xml:space="preserve">    </w:t>
      </w:r>
      <w:r w:rsidRPr="002D58F1">
        <w:rPr>
          <w:rFonts w:eastAsia="Times New Roman"/>
          <w:b/>
          <w:bCs/>
          <w:rtl/>
          <w:lang w:eastAsia="he-IL"/>
        </w:rPr>
        <w:t xml:space="preserve">עו"ד </w:t>
      </w:r>
      <w:r w:rsidRPr="002D58F1">
        <w:rPr>
          <w:rFonts w:eastAsia="Times New Roman" w:hint="cs"/>
          <w:b/>
          <w:bCs/>
          <w:rtl/>
          <w:lang w:eastAsia="he-IL"/>
        </w:rPr>
        <w:t>הלל גלקופ</w:t>
      </w:r>
      <w:r w:rsidRPr="002D58F1">
        <w:rPr>
          <w:rFonts w:eastAsia="Times New Roman"/>
          <w:b/>
          <w:bCs/>
          <w:rtl/>
          <w:lang w:eastAsia="he-IL"/>
        </w:rPr>
        <w:t>, יו"ר</w:t>
      </w:r>
    </w:p>
    <w:p w14:paraId="64D1406E" w14:textId="7DA46FAE" w:rsidR="00673CFC" w:rsidRPr="002D58F1" w:rsidRDefault="00673CFC" w:rsidP="00673CFC">
      <w:pPr>
        <w:spacing w:after="0" w:line="360" w:lineRule="auto"/>
        <w:ind w:left="720" w:hanging="720"/>
        <w:rPr>
          <w:rFonts w:eastAsia="Times New Roman"/>
          <w:b/>
          <w:bCs/>
          <w:rtl/>
          <w:lang w:eastAsia="he-IL"/>
        </w:rPr>
      </w:pPr>
      <w:r w:rsidRPr="002D58F1">
        <w:rPr>
          <w:rFonts w:eastAsia="Times New Roman"/>
          <w:b/>
          <w:bCs/>
          <w:rtl/>
          <w:lang w:eastAsia="he-IL"/>
        </w:rPr>
        <w:tab/>
        <w:t xml:space="preserve">                  </w:t>
      </w:r>
      <w:r w:rsidRPr="002D58F1">
        <w:rPr>
          <w:rFonts w:eastAsia="Times New Roman" w:hint="cs"/>
          <w:b/>
          <w:bCs/>
          <w:rtl/>
          <w:lang w:eastAsia="he-IL"/>
        </w:rPr>
        <w:t>גב' דורית פריאל, שמאית מקרקעין</w:t>
      </w:r>
      <w:r w:rsidRPr="002D58F1">
        <w:rPr>
          <w:rFonts w:eastAsia="Times New Roman"/>
          <w:b/>
          <w:bCs/>
          <w:rtl/>
          <w:lang w:eastAsia="he-IL"/>
        </w:rPr>
        <w:tab/>
      </w:r>
      <w:r w:rsidRPr="002D58F1">
        <w:rPr>
          <w:rFonts w:eastAsia="Times New Roman" w:hint="cs"/>
          <w:b/>
          <w:bCs/>
          <w:rtl/>
          <w:lang w:eastAsia="he-IL"/>
        </w:rPr>
        <w:t xml:space="preserve">                                                          </w:t>
      </w:r>
    </w:p>
    <w:p w14:paraId="4AA195CD" w14:textId="7398468E" w:rsidR="00673CFC" w:rsidRPr="002D58F1" w:rsidRDefault="00673CFC" w:rsidP="00673CFC">
      <w:pPr>
        <w:spacing w:after="0" w:line="360" w:lineRule="auto"/>
        <w:ind w:left="720" w:hanging="720"/>
        <w:rPr>
          <w:rFonts w:eastAsia="Times New Roman"/>
          <w:b/>
          <w:bCs/>
          <w:rtl/>
          <w:lang w:eastAsia="he-IL"/>
        </w:rPr>
      </w:pPr>
      <w:r w:rsidRPr="002D58F1">
        <w:rPr>
          <w:rFonts w:eastAsia="Times New Roman" w:hint="cs"/>
          <w:b/>
          <w:bCs/>
          <w:rtl/>
          <w:lang w:eastAsia="he-IL"/>
        </w:rPr>
        <w:t xml:space="preserve">                            </w:t>
      </w:r>
      <w:r w:rsidRPr="002D58F1">
        <w:rPr>
          <w:rFonts w:eastAsia="Times New Roman"/>
          <w:b/>
          <w:bCs/>
          <w:lang w:eastAsia="he-IL"/>
        </w:rPr>
        <w:t xml:space="preserve"> </w:t>
      </w:r>
      <w:r w:rsidRPr="002D58F1">
        <w:rPr>
          <w:rFonts w:eastAsia="Times New Roman" w:hint="cs"/>
          <w:b/>
          <w:bCs/>
          <w:rtl/>
          <w:lang w:eastAsia="he-IL"/>
        </w:rPr>
        <w:t xml:space="preserve">  גב' ענת אלשיך, נציגת מתכנן המחוז </w:t>
      </w:r>
      <w:r w:rsidRPr="002D58F1">
        <w:rPr>
          <w:rFonts w:eastAsia="Times New Roman"/>
          <w:b/>
          <w:bCs/>
          <w:rtl/>
          <w:lang w:eastAsia="he-IL"/>
        </w:rPr>
        <w:t xml:space="preserve">  </w:t>
      </w:r>
      <w:r w:rsidRPr="002D58F1">
        <w:rPr>
          <w:rFonts w:eastAsia="Times New Roman" w:hint="cs"/>
          <w:b/>
          <w:bCs/>
          <w:rtl/>
          <w:lang w:eastAsia="he-IL"/>
        </w:rPr>
        <w:t xml:space="preserve">   </w:t>
      </w:r>
    </w:p>
    <w:p w14:paraId="7F3E83D4" w14:textId="77777777" w:rsidR="00673CFC" w:rsidRPr="002D58F1" w:rsidRDefault="00673CFC" w:rsidP="00673CFC">
      <w:pPr>
        <w:tabs>
          <w:tab w:val="left" w:pos="1083"/>
        </w:tabs>
        <w:spacing w:after="0" w:line="360" w:lineRule="auto"/>
        <w:ind w:left="-51"/>
        <w:rPr>
          <w:rFonts w:eastAsia="Times New Roman"/>
          <w:b/>
          <w:bCs/>
          <w:u w:val="single"/>
          <w:rtl/>
          <w:lang w:eastAsia="he-IL"/>
        </w:rPr>
      </w:pPr>
      <w:r w:rsidRPr="002D58F1">
        <w:rPr>
          <w:rFonts w:eastAsia="Times New Roman" w:hint="cs"/>
          <w:b/>
          <w:bCs/>
          <w:u w:val="single"/>
          <w:rtl/>
          <w:lang w:eastAsia="he-IL"/>
        </w:rPr>
        <w:t>בעניין שבין:</w:t>
      </w:r>
    </w:p>
    <w:p w14:paraId="69A5160F" w14:textId="2230DAEF" w:rsidR="00673CFC" w:rsidRPr="002D58F1" w:rsidRDefault="00673CFC" w:rsidP="00673CFC">
      <w:pPr>
        <w:spacing w:after="0" w:line="360" w:lineRule="auto"/>
        <w:rPr>
          <w:rFonts w:eastAsia="Times New Roman"/>
          <w:b/>
          <w:bCs/>
          <w:rtl/>
          <w:lang w:eastAsia="he-IL"/>
        </w:rPr>
      </w:pPr>
      <w:r w:rsidRPr="002D58F1">
        <w:rPr>
          <w:rFonts w:eastAsia="Times New Roman" w:hint="cs"/>
          <w:b/>
          <w:bCs/>
          <w:u w:val="single"/>
          <w:rtl/>
          <w:lang w:eastAsia="he-IL"/>
        </w:rPr>
        <w:t>העוררת:</w:t>
      </w:r>
      <w:r w:rsidRPr="002D58F1">
        <w:rPr>
          <w:rFonts w:eastAsia="Times New Roman" w:hint="cs"/>
          <w:b/>
          <w:bCs/>
          <w:rtl/>
          <w:lang w:eastAsia="he-IL"/>
        </w:rPr>
        <w:t xml:space="preserve">                                      קבוצת אהרוני בע"מ</w:t>
      </w:r>
    </w:p>
    <w:p w14:paraId="6ED23943" w14:textId="6E2742FB" w:rsidR="00673CFC" w:rsidRPr="002D58F1" w:rsidRDefault="00673CFC" w:rsidP="00673CFC">
      <w:pPr>
        <w:spacing w:after="0" w:line="360" w:lineRule="auto"/>
        <w:rPr>
          <w:rFonts w:eastAsia="Times New Roman"/>
          <w:rtl/>
          <w:lang w:eastAsia="he-IL"/>
        </w:rPr>
      </w:pPr>
      <w:r w:rsidRPr="002D58F1">
        <w:rPr>
          <w:rFonts w:eastAsia="Times New Roman"/>
          <w:b/>
          <w:bCs/>
          <w:rtl/>
          <w:lang w:eastAsia="he-IL"/>
        </w:rPr>
        <w:tab/>
      </w:r>
      <w:r w:rsidRPr="002D58F1">
        <w:rPr>
          <w:rFonts w:eastAsia="Times New Roman" w:hint="cs"/>
          <w:b/>
          <w:bCs/>
          <w:rtl/>
          <w:lang w:eastAsia="he-IL"/>
        </w:rPr>
        <w:t xml:space="preserve">                                    </w:t>
      </w:r>
      <w:r w:rsidRPr="002D58F1">
        <w:rPr>
          <w:rFonts w:eastAsia="Times New Roman" w:hint="cs"/>
          <w:rtl/>
          <w:lang w:eastAsia="he-IL"/>
        </w:rPr>
        <w:t>ע"י עו"ד נועם קולודני/ עו"ד עמוס אילן</w:t>
      </w:r>
    </w:p>
    <w:p w14:paraId="1B56D24C" w14:textId="6D754DC1" w:rsidR="00673CFC" w:rsidRPr="002D58F1" w:rsidRDefault="00673CFC" w:rsidP="00673CFC">
      <w:pPr>
        <w:spacing w:after="0" w:line="360" w:lineRule="auto"/>
        <w:rPr>
          <w:rFonts w:eastAsia="Times New Roman"/>
          <w:b/>
          <w:bCs/>
          <w:rtl/>
          <w:lang w:eastAsia="he-IL"/>
        </w:rPr>
      </w:pPr>
      <w:r w:rsidRPr="002D58F1">
        <w:rPr>
          <w:rFonts w:eastAsia="Times New Roman" w:hint="cs"/>
          <w:rtl/>
          <w:lang w:eastAsia="he-IL"/>
        </w:rPr>
        <w:t xml:space="preserve">                                                          </w:t>
      </w:r>
      <w:r w:rsidRPr="002D58F1">
        <w:rPr>
          <w:rFonts w:eastAsia="Times New Roman" w:hint="cs"/>
          <w:b/>
          <w:bCs/>
          <w:rtl/>
          <w:lang w:eastAsia="he-IL"/>
        </w:rPr>
        <w:t xml:space="preserve">       </w:t>
      </w:r>
      <w:r w:rsidRPr="002D58F1">
        <w:rPr>
          <w:rFonts w:eastAsia="Times New Roman"/>
          <w:b/>
          <w:bCs/>
          <w:rtl/>
          <w:lang w:eastAsia="he-IL"/>
        </w:rPr>
        <w:t>-נגד-</w:t>
      </w:r>
    </w:p>
    <w:p w14:paraId="48660D03" w14:textId="00728766" w:rsidR="00673CFC" w:rsidRPr="002D58F1" w:rsidRDefault="00673CFC" w:rsidP="00673CFC">
      <w:pPr>
        <w:spacing w:after="0" w:line="360" w:lineRule="auto"/>
        <w:rPr>
          <w:rFonts w:eastAsia="Times New Roman"/>
          <w:b/>
          <w:bCs/>
          <w:rtl/>
          <w:lang w:eastAsia="he-IL"/>
        </w:rPr>
      </w:pPr>
      <w:r w:rsidRPr="002D58F1">
        <w:rPr>
          <w:rFonts w:eastAsia="Times New Roman" w:hint="cs"/>
          <w:b/>
          <w:bCs/>
          <w:u w:val="single"/>
          <w:rtl/>
          <w:lang w:eastAsia="he-IL"/>
        </w:rPr>
        <w:t>המשיבה:</w:t>
      </w:r>
      <w:r w:rsidRPr="002D58F1">
        <w:rPr>
          <w:rFonts w:eastAsia="Times New Roman" w:hint="cs"/>
          <w:b/>
          <w:bCs/>
          <w:rtl/>
          <w:lang w:eastAsia="he-IL"/>
        </w:rPr>
        <w:t xml:space="preserve">                         הוועדה המקומית לתכנון ובניה בת ים</w:t>
      </w:r>
    </w:p>
    <w:p w14:paraId="0E0E08A1" w14:textId="0B92FCDF" w:rsidR="00673CFC" w:rsidRPr="002D58F1" w:rsidRDefault="00673CFC" w:rsidP="00673CFC">
      <w:pPr>
        <w:spacing w:after="0" w:line="360" w:lineRule="auto"/>
        <w:rPr>
          <w:rFonts w:eastAsia="Times New Roman"/>
          <w:rtl/>
          <w:lang w:eastAsia="he-IL"/>
        </w:rPr>
      </w:pPr>
      <w:r w:rsidRPr="002D58F1">
        <w:rPr>
          <w:rFonts w:eastAsia="Times New Roman" w:hint="cs"/>
          <w:rtl/>
          <w:lang w:eastAsia="he-IL"/>
        </w:rPr>
        <w:t xml:space="preserve">                                          ע"י עו"ד תמר איגרא/ עו"ד נתנאל אסרף</w:t>
      </w:r>
    </w:p>
    <w:p w14:paraId="12FA908D" w14:textId="77777777" w:rsidR="00673CFC" w:rsidRPr="002D58F1" w:rsidRDefault="00673CFC" w:rsidP="00673CFC">
      <w:pPr>
        <w:shd w:val="clear" w:color="auto" w:fill="FFFFFF"/>
        <w:spacing w:after="0" w:line="240" w:lineRule="auto"/>
        <w:ind w:left="3164" w:firstLine="436"/>
        <w:rPr>
          <w:rFonts w:ascii="Times New Roman" w:eastAsia="Times New Roman" w:hAnsi="Times New Roman" w:cs="Times New Roman"/>
          <w:color w:val="000000"/>
          <w:sz w:val="27"/>
          <w:szCs w:val="27"/>
          <w:rtl/>
        </w:rPr>
      </w:pPr>
      <w:r w:rsidRPr="002D58F1">
        <w:rPr>
          <w:rFonts w:eastAsia="Times New Roman" w:hint="cs"/>
          <w:b/>
          <w:bCs/>
          <w:color w:val="000000"/>
          <w:sz w:val="32"/>
          <w:szCs w:val="32"/>
          <w:u w:val="single"/>
          <w:rtl/>
        </w:rPr>
        <w:t>החלטה</w:t>
      </w:r>
    </w:p>
    <w:bookmarkEnd w:id="1"/>
    <w:p w14:paraId="5717E157" w14:textId="3D4C9861" w:rsidR="00C033A5" w:rsidRPr="002D58F1" w:rsidRDefault="00C033A5" w:rsidP="00D40BA1">
      <w:pPr>
        <w:rPr>
          <w:b/>
          <w:bCs/>
          <w:sz w:val="32"/>
          <w:szCs w:val="32"/>
          <w:u w:val="single"/>
          <w:rtl/>
        </w:rPr>
      </w:pPr>
      <w:r w:rsidRPr="002D58F1">
        <w:rPr>
          <w:rFonts w:hint="cs"/>
          <w:b/>
          <w:bCs/>
          <w:sz w:val="32"/>
          <w:szCs w:val="32"/>
          <w:u w:val="single"/>
          <w:rtl/>
        </w:rPr>
        <w:t>הרקע הדרוש להכרעה</w:t>
      </w:r>
    </w:p>
    <w:p w14:paraId="399483AF" w14:textId="77777777" w:rsidR="00C033A5" w:rsidRPr="002D58F1" w:rsidRDefault="00C033A5" w:rsidP="00C033A5">
      <w:pPr>
        <w:autoSpaceDE w:val="0"/>
        <w:autoSpaceDN w:val="0"/>
        <w:adjustRightInd w:val="0"/>
        <w:spacing w:before="0" w:after="0" w:line="240" w:lineRule="auto"/>
        <w:ind w:left="0" w:firstLine="0"/>
        <w:jc w:val="left"/>
        <w:rPr>
          <w:sz w:val="24"/>
          <w:szCs w:val="24"/>
          <w:rtl/>
        </w:rPr>
      </w:pPr>
    </w:p>
    <w:p w14:paraId="183E2413" w14:textId="7466076C" w:rsidR="00496763" w:rsidRPr="002D58F1" w:rsidRDefault="008F7440" w:rsidP="0006412C">
      <w:pPr>
        <w:pStyle w:val="ListParagraph"/>
        <w:numPr>
          <w:ilvl w:val="0"/>
          <w:numId w:val="4"/>
        </w:numPr>
        <w:spacing w:before="0" w:after="160" w:line="360" w:lineRule="auto"/>
        <w:ind w:left="226" w:hanging="425"/>
        <w:contextualSpacing w:val="0"/>
        <w:rPr>
          <w:sz w:val="22"/>
        </w:rPr>
      </w:pPr>
      <w:r w:rsidRPr="002D58F1">
        <w:rPr>
          <w:sz w:val="22"/>
          <w:rtl/>
        </w:rPr>
        <w:t xml:space="preserve">עסקינן במקרקעין ברח' ניסנבוים 37 בת ים הידועים גם כחלקה 134 בגוש 7129 </w:t>
      </w:r>
      <w:r w:rsidR="0091785F" w:rsidRPr="002D58F1">
        <w:rPr>
          <w:rFonts w:hint="cs"/>
          <w:sz w:val="22"/>
          <w:rtl/>
        </w:rPr>
        <w:t>(</w:t>
      </w:r>
      <w:r w:rsidRPr="002D58F1">
        <w:rPr>
          <w:sz w:val="22"/>
          <w:rtl/>
        </w:rPr>
        <w:t>להלן: "</w:t>
      </w:r>
      <w:r w:rsidRPr="002D58F1">
        <w:rPr>
          <w:rFonts w:hint="cs"/>
          <w:b/>
          <w:bCs/>
          <w:sz w:val="22"/>
          <w:rtl/>
        </w:rPr>
        <w:t>המקרקעין</w:t>
      </w:r>
      <w:r w:rsidR="00EB4B61" w:rsidRPr="002D58F1">
        <w:rPr>
          <w:rFonts w:hint="cs"/>
          <w:sz w:val="22"/>
          <w:rtl/>
        </w:rPr>
        <w:t>").</w:t>
      </w:r>
      <w:r w:rsidR="00096BB0" w:rsidRPr="002D58F1">
        <w:rPr>
          <w:sz w:val="22"/>
        </w:rPr>
        <w:t xml:space="preserve"> </w:t>
      </w:r>
      <w:r w:rsidRPr="002D58F1">
        <w:rPr>
          <w:sz w:val="22"/>
          <w:rtl/>
        </w:rPr>
        <w:t>על</w:t>
      </w:r>
      <w:r w:rsidR="00096BB0" w:rsidRPr="002D58F1">
        <w:rPr>
          <w:rFonts w:hint="cs"/>
          <w:sz w:val="22"/>
          <w:rtl/>
        </w:rPr>
        <w:t xml:space="preserve"> המקרקעין</w:t>
      </w:r>
      <w:r w:rsidRPr="002D58F1">
        <w:rPr>
          <w:sz w:val="22"/>
          <w:rtl/>
        </w:rPr>
        <w:t xml:space="preserve"> חלה תוכנית בי/490 </w:t>
      </w:r>
      <w:r w:rsidR="00096BB0" w:rsidRPr="002D58F1">
        <w:rPr>
          <w:rFonts w:hint="cs"/>
          <w:sz w:val="22"/>
          <w:rtl/>
        </w:rPr>
        <w:t>(להלן: "</w:t>
      </w:r>
      <w:r w:rsidR="00096BB0" w:rsidRPr="002D58F1">
        <w:rPr>
          <w:rFonts w:hint="cs"/>
          <w:b/>
          <w:bCs/>
          <w:sz w:val="22"/>
          <w:rtl/>
        </w:rPr>
        <w:t>התכנית</w:t>
      </w:r>
      <w:r w:rsidR="00096BB0" w:rsidRPr="002D58F1">
        <w:rPr>
          <w:rFonts w:hint="cs"/>
          <w:sz w:val="22"/>
          <w:rtl/>
        </w:rPr>
        <w:t xml:space="preserve">") </w:t>
      </w:r>
      <w:r w:rsidRPr="002D58F1">
        <w:rPr>
          <w:sz w:val="22"/>
          <w:rtl/>
        </w:rPr>
        <w:t>שמטרתה פיתוח מתחם מעורב שימושים, הכולל "שני מגדלים מעל 2 קומות</w:t>
      </w:r>
      <w:r w:rsidR="00096BB0" w:rsidRPr="002D58F1">
        <w:rPr>
          <w:rFonts w:hint="cs"/>
          <w:sz w:val="22"/>
          <w:rtl/>
        </w:rPr>
        <w:t xml:space="preserve"> </w:t>
      </w:r>
      <w:r w:rsidRPr="002D58F1">
        <w:rPr>
          <w:sz w:val="22"/>
          <w:rtl/>
        </w:rPr>
        <w:t>מסחר</w:t>
      </w:r>
      <w:r w:rsidR="00CA1302" w:rsidRPr="002D58F1">
        <w:rPr>
          <w:rFonts w:hint="cs"/>
          <w:sz w:val="22"/>
          <w:rtl/>
        </w:rPr>
        <w:t>"</w:t>
      </w:r>
      <w:r w:rsidR="00096BB0" w:rsidRPr="002D58F1">
        <w:rPr>
          <w:rFonts w:hint="cs"/>
          <w:sz w:val="22"/>
          <w:rtl/>
        </w:rPr>
        <w:t>.</w:t>
      </w:r>
    </w:p>
    <w:p w14:paraId="7104805D" w14:textId="3A992531" w:rsidR="00175931" w:rsidRPr="002D58F1" w:rsidRDefault="0094351C" w:rsidP="0006412C">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על אף מספרה הסופי של התכנית </w:t>
      </w:r>
      <w:r w:rsidRPr="002D58F1">
        <w:rPr>
          <w:sz w:val="22"/>
          <w:rtl/>
        </w:rPr>
        <w:t>–</w:t>
      </w:r>
      <w:r w:rsidRPr="002D58F1">
        <w:rPr>
          <w:rFonts w:hint="cs"/>
          <w:sz w:val="22"/>
          <w:rtl/>
        </w:rPr>
        <w:t xml:space="preserve"> </w:t>
      </w:r>
      <w:r w:rsidRPr="002D58F1">
        <w:rPr>
          <w:rFonts w:hint="cs"/>
          <w:b/>
          <w:bCs/>
          <w:sz w:val="22"/>
          <w:rtl/>
        </w:rPr>
        <w:t>בי/490</w:t>
      </w:r>
      <w:r w:rsidRPr="002D58F1">
        <w:rPr>
          <w:rFonts w:hint="cs"/>
          <w:sz w:val="22"/>
          <w:rtl/>
        </w:rPr>
        <w:t xml:space="preserve">, </w:t>
      </w:r>
      <w:r w:rsidR="007525E0" w:rsidRPr="002D58F1">
        <w:rPr>
          <w:rFonts w:hint="cs"/>
          <w:sz w:val="22"/>
          <w:rtl/>
        </w:rPr>
        <w:t>ראשיתה של התכנית האמור</w:t>
      </w:r>
      <w:r w:rsidRPr="002D58F1">
        <w:rPr>
          <w:rFonts w:hint="cs"/>
          <w:sz w:val="22"/>
          <w:rtl/>
        </w:rPr>
        <w:t>ה</w:t>
      </w:r>
      <w:r w:rsidR="007525E0" w:rsidRPr="002D58F1">
        <w:rPr>
          <w:rFonts w:hint="cs"/>
          <w:sz w:val="22"/>
          <w:rtl/>
        </w:rPr>
        <w:t xml:space="preserve"> הוא </w:t>
      </w:r>
      <w:r w:rsidR="00175931" w:rsidRPr="002D58F1">
        <w:rPr>
          <w:sz w:val="22"/>
          <w:rtl/>
        </w:rPr>
        <w:t xml:space="preserve">בשנת 2008 </w:t>
      </w:r>
      <w:r w:rsidR="007525E0" w:rsidRPr="002D58F1">
        <w:rPr>
          <w:rFonts w:hint="cs"/>
          <w:sz w:val="22"/>
          <w:rtl/>
        </w:rPr>
        <w:t xml:space="preserve">עת </w:t>
      </w:r>
      <w:r w:rsidR="00175931" w:rsidRPr="002D58F1">
        <w:rPr>
          <w:sz w:val="22"/>
          <w:rtl/>
        </w:rPr>
        <w:t xml:space="preserve">הוגשה תכנית ומספרה </w:t>
      </w:r>
      <w:r w:rsidR="00175931" w:rsidRPr="002D58F1">
        <w:rPr>
          <w:b/>
          <w:bCs/>
          <w:sz w:val="22"/>
          <w:rtl/>
        </w:rPr>
        <w:t xml:space="preserve">בי/ </w:t>
      </w:r>
      <w:r w:rsidRPr="002D58F1">
        <w:rPr>
          <w:rFonts w:hint="cs"/>
          <w:b/>
          <w:bCs/>
          <w:sz w:val="22"/>
          <w:rtl/>
        </w:rPr>
        <w:t>484</w:t>
      </w:r>
      <w:r w:rsidRPr="002D58F1">
        <w:rPr>
          <w:rFonts w:hint="cs"/>
          <w:sz w:val="22"/>
          <w:rtl/>
        </w:rPr>
        <w:t xml:space="preserve"> (בסמכות מחוזית).</w:t>
      </w:r>
    </w:p>
    <w:p w14:paraId="7E55E7F9" w14:textId="77777777" w:rsidR="007525E0" w:rsidRPr="002D58F1" w:rsidRDefault="007525E0" w:rsidP="007525E0">
      <w:pPr>
        <w:pStyle w:val="ListParagraph"/>
        <w:rPr>
          <w:sz w:val="22"/>
          <w:rtl/>
        </w:rPr>
      </w:pPr>
    </w:p>
    <w:p w14:paraId="46A335DB" w14:textId="0156ACF6" w:rsidR="007525E0" w:rsidRPr="002D58F1" w:rsidRDefault="007525E0" w:rsidP="00E8081D">
      <w:pPr>
        <w:pStyle w:val="ListParagraph"/>
        <w:numPr>
          <w:ilvl w:val="0"/>
          <w:numId w:val="4"/>
        </w:numPr>
        <w:spacing w:before="0" w:after="160" w:line="360" w:lineRule="auto"/>
        <w:ind w:left="226" w:hanging="425"/>
        <w:contextualSpacing w:val="0"/>
        <w:rPr>
          <w:sz w:val="22"/>
        </w:rPr>
      </w:pPr>
      <w:r w:rsidRPr="002D58F1">
        <w:rPr>
          <w:rFonts w:hint="cs"/>
          <w:b/>
          <w:bCs/>
          <w:sz w:val="22"/>
          <w:u w:val="single"/>
          <w:rtl/>
        </w:rPr>
        <w:t>עוד טרם שאושרה תכנית בי/</w:t>
      </w:r>
      <w:r w:rsidR="00113E54" w:rsidRPr="002D58F1">
        <w:rPr>
          <w:rFonts w:hint="cs"/>
          <w:b/>
          <w:bCs/>
          <w:sz w:val="22"/>
          <w:u w:val="single"/>
          <w:rtl/>
        </w:rPr>
        <w:t>484</w:t>
      </w:r>
      <w:r w:rsidRPr="002D58F1">
        <w:rPr>
          <w:rFonts w:hint="cs"/>
          <w:sz w:val="22"/>
          <w:rtl/>
        </w:rPr>
        <w:t xml:space="preserve"> </w:t>
      </w:r>
      <w:r w:rsidR="00BB41C1" w:rsidRPr="002D58F1">
        <w:rPr>
          <w:rFonts w:hint="cs"/>
          <w:sz w:val="22"/>
          <w:rtl/>
        </w:rPr>
        <w:t xml:space="preserve">ביום 10.7.08 </w:t>
      </w:r>
      <w:r w:rsidRPr="002D58F1">
        <w:rPr>
          <w:rFonts w:hint="cs"/>
          <w:sz w:val="22"/>
          <w:rtl/>
        </w:rPr>
        <w:t>הפיקה הוועדה המקומית שומת היטל השבחה</w:t>
      </w:r>
      <w:r w:rsidR="00CF280C" w:rsidRPr="002D58F1">
        <w:rPr>
          <w:rFonts w:hint="cs"/>
          <w:sz w:val="22"/>
          <w:rtl/>
        </w:rPr>
        <w:t>, כך:</w:t>
      </w:r>
    </w:p>
    <w:p w14:paraId="748E7CAB" w14:textId="7E03F703" w:rsidR="00CF280C" w:rsidRPr="002D58F1" w:rsidRDefault="00CF280C" w:rsidP="001420E0">
      <w:pPr>
        <w:spacing w:before="0" w:after="160" w:line="360" w:lineRule="auto"/>
        <w:ind w:left="444" w:firstLine="0"/>
        <w:rPr>
          <w:sz w:val="22"/>
        </w:rPr>
      </w:pPr>
      <w:r w:rsidRPr="002D58F1">
        <w:rPr>
          <w:noProof/>
          <w:rtl/>
        </w:rPr>
        <w:drawing>
          <wp:inline distT="0" distB="0" distL="0" distR="0" wp14:anchorId="057F2099" wp14:editId="1A1A13E2">
            <wp:extent cx="4489450" cy="3920296"/>
            <wp:effectExtent l="0" t="0" r="6350" b="444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7227" cy="3927087"/>
                    </a:xfrm>
                    <a:prstGeom prst="rect">
                      <a:avLst/>
                    </a:prstGeom>
                    <a:noFill/>
                    <a:ln>
                      <a:noFill/>
                    </a:ln>
                  </pic:spPr>
                </pic:pic>
              </a:graphicData>
            </a:graphic>
          </wp:inline>
        </w:drawing>
      </w:r>
    </w:p>
    <w:p w14:paraId="79282FDD" w14:textId="627F82A6" w:rsidR="00CF280C" w:rsidRPr="002D58F1" w:rsidRDefault="00CF280C" w:rsidP="00E8081D">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במסגרת שומת הוועדה המקומית נקבע </w:t>
      </w:r>
      <w:r w:rsidR="00614A8E" w:rsidRPr="002D58F1">
        <w:rPr>
          <w:rFonts w:hint="cs"/>
          <w:sz w:val="22"/>
          <w:rtl/>
        </w:rPr>
        <w:t xml:space="preserve">כי היטל ההשבחה יעמוד על 21,153,200 ₪ וכן </w:t>
      </w:r>
      <w:r w:rsidR="00836D6E" w:rsidRPr="002D58F1">
        <w:rPr>
          <w:rFonts w:hint="cs"/>
          <w:sz w:val="22"/>
          <w:rtl/>
        </w:rPr>
        <w:t xml:space="preserve">נקבע </w:t>
      </w:r>
      <w:r w:rsidRPr="002D58F1">
        <w:rPr>
          <w:rFonts w:hint="cs"/>
          <w:sz w:val="22"/>
          <w:rtl/>
        </w:rPr>
        <w:t>מפורשות כי</w:t>
      </w:r>
      <w:r w:rsidR="00B9523D" w:rsidRPr="002D58F1">
        <w:rPr>
          <w:rFonts w:hint="cs"/>
          <w:sz w:val="22"/>
          <w:rtl/>
        </w:rPr>
        <w:t xml:space="preserve"> הסכומים הקבועים בשומה זו כפופים לאישורה של התכנית במתכונת המוצגת בשומה:</w:t>
      </w:r>
    </w:p>
    <w:p w14:paraId="57A1D22C" w14:textId="3F786214" w:rsidR="00B9523D" w:rsidRPr="002D58F1" w:rsidRDefault="00B9523D" w:rsidP="001420E0">
      <w:pPr>
        <w:spacing w:before="0" w:after="160" w:line="360" w:lineRule="auto"/>
        <w:ind w:left="444" w:firstLine="0"/>
        <w:rPr>
          <w:sz w:val="22"/>
        </w:rPr>
      </w:pPr>
      <w:r w:rsidRPr="002D58F1">
        <w:rPr>
          <w:noProof/>
          <w:rtl/>
        </w:rPr>
        <w:drawing>
          <wp:inline distT="0" distB="0" distL="0" distR="0" wp14:anchorId="085767A5" wp14:editId="21C86D5D">
            <wp:extent cx="5274310" cy="2639060"/>
            <wp:effectExtent l="0" t="0" r="2540" b="889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639060"/>
                    </a:xfrm>
                    <a:prstGeom prst="rect">
                      <a:avLst/>
                    </a:prstGeom>
                    <a:noFill/>
                    <a:ln>
                      <a:noFill/>
                    </a:ln>
                  </pic:spPr>
                </pic:pic>
              </a:graphicData>
            </a:graphic>
          </wp:inline>
        </w:drawing>
      </w:r>
    </w:p>
    <w:p w14:paraId="344DCEB7" w14:textId="28738119" w:rsidR="00C033A5" w:rsidRPr="002D58F1" w:rsidRDefault="00C033A5" w:rsidP="001420E0">
      <w:pPr>
        <w:pStyle w:val="ListParagraph"/>
        <w:numPr>
          <w:ilvl w:val="0"/>
          <w:numId w:val="4"/>
        </w:numPr>
        <w:spacing w:before="0" w:after="160" w:line="360" w:lineRule="auto"/>
        <w:ind w:left="226" w:hanging="425"/>
        <w:contextualSpacing w:val="0"/>
        <w:rPr>
          <w:sz w:val="22"/>
          <w:rtl/>
        </w:rPr>
      </w:pPr>
      <w:r w:rsidRPr="002D58F1">
        <w:rPr>
          <w:sz w:val="22"/>
          <w:rtl/>
        </w:rPr>
        <w:lastRenderedPageBreak/>
        <w:t>כנגד זאת הגישו העוררים שומה נגדית בתאריך 24.7.2008</w:t>
      </w:r>
      <w:r w:rsidR="001420E0" w:rsidRPr="002D58F1">
        <w:rPr>
          <w:rFonts w:hint="cs"/>
          <w:sz w:val="22"/>
          <w:rtl/>
        </w:rPr>
        <w:t xml:space="preserve">. במסגרת שומת העוררים נקבעה </w:t>
      </w:r>
      <w:r w:rsidRPr="002D58F1">
        <w:rPr>
          <w:sz w:val="22"/>
          <w:rtl/>
        </w:rPr>
        <w:t>ההשבחה</w:t>
      </w:r>
      <w:r w:rsidR="001420E0" w:rsidRPr="002D58F1">
        <w:rPr>
          <w:sz w:val="22"/>
          <w:rtl/>
        </w:rPr>
        <w:t xml:space="preserve"> והועמדה על</w:t>
      </w:r>
      <w:r w:rsidRPr="002D58F1">
        <w:rPr>
          <w:sz w:val="22"/>
          <w:rtl/>
        </w:rPr>
        <w:t xml:space="preserve"> סך 5,000,000</w:t>
      </w:r>
      <w:r w:rsidR="00154AE4" w:rsidRPr="002D58F1">
        <w:rPr>
          <w:sz w:val="22"/>
          <w:rtl/>
        </w:rPr>
        <w:t xml:space="preserve"> ש"ח</w:t>
      </w:r>
      <w:r w:rsidRPr="002D58F1">
        <w:rPr>
          <w:sz w:val="22"/>
        </w:rPr>
        <w:t xml:space="preserve"> .</w:t>
      </w:r>
    </w:p>
    <w:p w14:paraId="7444C903" w14:textId="1AB9A05D" w:rsidR="00C033A5" w:rsidRPr="002D58F1" w:rsidRDefault="00C033A5" w:rsidP="008978FE">
      <w:pPr>
        <w:pStyle w:val="ListParagraph"/>
        <w:numPr>
          <w:ilvl w:val="0"/>
          <w:numId w:val="4"/>
        </w:numPr>
        <w:spacing w:before="0" w:after="160" w:line="360" w:lineRule="auto"/>
        <w:ind w:left="226" w:hanging="425"/>
        <w:contextualSpacing w:val="0"/>
        <w:rPr>
          <w:sz w:val="22"/>
        </w:rPr>
      </w:pPr>
      <w:r w:rsidRPr="002D58F1">
        <w:rPr>
          <w:sz w:val="22"/>
          <w:rtl/>
        </w:rPr>
        <w:t xml:space="preserve">בעקבות </w:t>
      </w:r>
      <w:r w:rsidR="00DE03AA" w:rsidRPr="002D58F1">
        <w:rPr>
          <w:rFonts w:hint="cs"/>
          <w:sz w:val="22"/>
          <w:rtl/>
        </w:rPr>
        <w:t>ה</w:t>
      </w:r>
      <w:r w:rsidRPr="002D58F1">
        <w:rPr>
          <w:sz w:val="22"/>
          <w:rtl/>
        </w:rPr>
        <w:t xml:space="preserve">פערים שבין שומת </w:t>
      </w:r>
      <w:r w:rsidR="006F2EDF" w:rsidRPr="002D58F1">
        <w:rPr>
          <w:rFonts w:hint="cs"/>
          <w:sz w:val="22"/>
          <w:rtl/>
        </w:rPr>
        <w:t>הוועדה המקומית לשומת העוררת</w:t>
      </w:r>
      <w:r w:rsidR="00496763" w:rsidRPr="002D58F1">
        <w:rPr>
          <w:rFonts w:hint="cs"/>
          <w:sz w:val="22"/>
          <w:rtl/>
        </w:rPr>
        <w:t xml:space="preserve"> הגיעו הצדדי</w:t>
      </w:r>
      <w:r w:rsidR="0025504E" w:rsidRPr="002D58F1">
        <w:rPr>
          <w:rFonts w:hint="cs"/>
          <w:sz w:val="22"/>
          <w:rtl/>
        </w:rPr>
        <w:t>ם</w:t>
      </w:r>
      <w:r w:rsidR="00496763" w:rsidRPr="002D58F1">
        <w:rPr>
          <w:rFonts w:hint="cs"/>
          <w:sz w:val="22"/>
          <w:rtl/>
        </w:rPr>
        <w:t xml:space="preserve"> </w:t>
      </w:r>
      <w:r w:rsidRPr="002D58F1">
        <w:rPr>
          <w:sz w:val="22"/>
          <w:rtl/>
        </w:rPr>
        <w:t>להסכמות הדדיות</w:t>
      </w:r>
      <w:r w:rsidR="0025504E" w:rsidRPr="002D58F1">
        <w:rPr>
          <w:rFonts w:hint="cs"/>
          <w:sz w:val="22"/>
          <w:rtl/>
        </w:rPr>
        <w:t>, כפי שהיו אפשר</w:t>
      </w:r>
      <w:r w:rsidR="00CA1302" w:rsidRPr="002D58F1">
        <w:rPr>
          <w:rFonts w:hint="cs"/>
          <w:sz w:val="22"/>
          <w:rtl/>
        </w:rPr>
        <w:t>י</w:t>
      </w:r>
      <w:r w:rsidR="0025504E" w:rsidRPr="002D58F1">
        <w:rPr>
          <w:rFonts w:hint="cs"/>
          <w:sz w:val="22"/>
          <w:rtl/>
        </w:rPr>
        <w:t>ות באותה עת, ערב אישור תיקון 84 לחוק התכנון והבניה,</w:t>
      </w:r>
      <w:r w:rsidR="00496763" w:rsidRPr="002D58F1">
        <w:rPr>
          <w:rFonts w:hint="cs"/>
          <w:sz w:val="22"/>
          <w:rtl/>
        </w:rPr>
        <w:t xml:space="preserve"> ו</w:t>
      </w:r>
      <w:r w:rsidRPr="002D58F1">
        <w:rPr>
          <w:sz w:val="22"/>
          <w:rtl/>
        </w:rPr>
        <w:t>ביום 5.8.2008 נקבע בהסכמה כי גובה היטל ההשבחה שיו</w:t>
      </w:r>
      <w:r w:rsidR="009C11DF" w:rsidRPr="002D58F1">
        <w:rPr>
          <w:rFonts w:hint="cs"/>
          <w:sz w:val="22"/>
          <w:rtl/>
        </w:rPr>
        <w:t>ט</w:t>
      </w:r>
      <w:r w:rsidRPr="002D58F1">
        <w:rPr>
          <w:sz w:val="22"/>
          <w:rtl/>
        </w:rPr>
        <w:t>ל על המערערת</w:t>
      </w:r>
      <w:r w:rsidRPr="002D58F1">
        <w:rPr>
          <w:sz w:val="22"/>
        </w:rPr>
        <w:t xml:space="preserve"> </w:t>
      </w:r>
      <w:r w:rsidRPr="002D58F1">
        <w:rPr>
          <w:sz w:val="22"/>
          <w:rtl/>
        </w:rPr>
        <w:t xml:space="preserve">יעמוד </w:t>
      </w:r>
      <w:r w:rsidR="00761DEE" w:rsidRPr="002D58F1">
        <w:rPr>
          <w:rFonts w:hint="cs"/>
          <w:sz w:val="22"/>
          <w:rtl/>
        </w:rPr>
        <w:t xml:space="preserve">על </w:t>
      </w:r>
      <w:r w:rsidRPr="002D58F1">
        <w:rPr>
          <w:sz w:val="22"/>
          <w:rtl/>
        </w:rPr>
        <w:t xml:space="preserve">סך 14,807,000 </w:t>
      </w:r>
      <w:r w:rsidRPr="002D58F1">
        <w:rPr>
          <w:rFonts w:hint="cs"/>
          <w:sz w:val="22"/>
          <w:rtl/>
        </w:rPr>
        <w:t>₪</w:t>
      </w:r>
      <w:r w:rsidRPr="002D58F1">
        <w:rPr>
          <w:sz w:val="22"/>
          <w:rtl/>
        </w:rPr>
        <w:t xml:space="preserve"> בגין </w:t>
      </w:r>
      <w:r w:rsidR="00761DEE" w:rsidRPr="002D58F1">
        <w:rPr>
          <w:rFonts w:hint="cs"/>
          <w:sz w:val="22"/>
          <w:rtl/>
        </w:rPr>
        <w:t>התכנית (להלן: "</w:t>
      </w:r>
      <w:r w:rsidR="00761DEE" w:rsidRPr="002D58F1">
        <w:rPr>
          <w:rFonts w:hint="cs"/>
          <w:b/>
          <w:bCs/>
          <w:sz w:val="22"/>
          <w:rtl/>
        </w:rPr>
        <w:t>השומה המוסכמת</w:t>
      </w:r>
      <w:r w:rsidR="00761DEE" w:rsidRPr="002D58F1">
        <w:rPr>
          <w:rFonts w:hint="cs"/>
          <w:sz w:val="22"/>
          <w:rtl/>
        </w:rPr>
        <w:t>").</w:t>
      </w:r>
    </w:p>
    <w:p w14:paraId="24F96407" w14:textId="615FBDDB" w:rsidR="006626F9" w:rsidRPr="002D58F1" w:rsidRDefault="006626F9" w:rsidP="00761DEE">
      <w:pPr>
        <w:pStyle w:val="ListParagraph"/>
        <w:numPr>
          <w:ilvl w:val="0"/>
          <w:numId w:val="4"/>
        </w:numPr>
        <w:spacing w:before="0" w:after="160" w:line="360" w:lineRule="auto"/>
        <w:ind w:left="226" w:hanging="425"/>
        <w:contextualSpacing w:val="0"/>
        <w:rPr>
          <w:sz w:val="22"/>
        </w:rPr>
      </w:pPr>
      <w:r w:rsidRPr="002D58F1">
        <w:rPr>
          <w:rFonts w:hint="cs"/>
          <w:sz w:val="22"/>
          <w:rtl/>
        </w:rPr>
        <w:t>כך נקבע בשומה המוסכמת:</w:t>
      </w:r>
    </w:p>
    <w:p w14:paraId="3103584C" w14:textId="685F1800" w:rsidR="006626F9" w:rsidRPr="002D58F1" w:rsidRDefault="006626F9" w:rsidP="006626F9">
      <w:pPr>
        <w:spacing w:before="0" w:after="160" w:line="360" w:lineRule="auto"/>
        <w:ind w:left="444" w:firstLine="0"/>
        <w:rPr>
          <w:sz w:val="22"/>
          <w:rtl/>
        </w:rPr>
      </w:pPr>
      <w:r w:rsidRPr="002D58F1">
        <w:rPr>
          <w:noProof/>
          <w:rtl/>
        </w:rPr>
        <w:drawing>
          <wp:inline distT="0" distB="0" distL="0" distR="0" wp14:anchorId="2328A147" wp14:editId="4AEE2E3D">
            <wp:extent cx="5274310" cy="3002915"/>
            <wp:effectExtent l="0" t="0" r="2540" b="698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002915"/>
                    </a:xfrm>
                    <a:prstGeom prst="rect">
                      <a:avLst/>
                    </a:prstGeom>
                    <a:noFill/>
                    <a:ln>
                      <a:noFill/>
                    </a:ln>
                  </pic:spPr>
                </pic:pic>
              </a:graphicData>
            </a:graphic>
          </wp:inline>
        </w:drawing>
      </w:r>
    </w:p>
    <w:p w14:paraId="09551989" w14:textId="77777777" w:rsidR="006626F9" w:rsidRPr="002D58F1" w:rsidRDefault="006626F9" w:rsidP="006626F9">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תכנית זו </w:t>
      </w:r>
      <w:r w:rsidRPr="002D58F1">
        <w:rPr>
          <w:sz w:val="22"/>
          <w:rtl/>
        </w:rPr>
        <w:t>–</w:t>
      </w:r>
      <w:r w:rsidRPr="002D58F1">
        <w:rPr>
          <w:rFonts w:hint="cs"/>
          <w:sz w:val="22"/>
          <w:rtl/>
        </w:rPr>
        <w:t xml:space="preserve"> בי /490 פורסמה למתן תוקף ביום 1.12.11 (פורסמה להפקדה ביום 26.6.11 ולא הוגשו התנגדויות).</w:t>
      </w:r>
    </w:p>
    <w:p w14:paraId="3330528F" w14:textId="1AEC1444" w:rsidR="006626F9" w:rsidRPr="002D58F1" w:rsidRDefault="00CF3113" w:rsidP="008978FE">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ביום 6.11.11 </w:t>
      </w:r>
      <w:r w:rsidR="00374036" w:rsidRPr="002D58F1">
        <w:rPr>
          <w:rFonts w:hint="cs"/>
          <w:sz w:val="22"/>
          <w:rtl/>
        </w:rPr>
        <w:t>לאחר ההחלטה לאישור התכנית</w:t>
      </w:r>
      <w:r w:rsidR="00351130" w:rsidRPr="002D58F1">
        <w:rPr>
          <w:rFonts w:hint="cs"/>
          <w:sz w:val="22"/>
          <w:rtl/>
        </w:rPr>
        <w:t xml:space="preserve"> (החלטה לאישור </w:t>
      </w:r>
      <w:r w:rsidR="00351130" w:rsidRPr="002D58F1">
        <w:rPr>
          <w:sz w:val="22"/>
          <w:rtl/>
        </w:rPr>
        <w:t>–</w:t>
      </w:r>
      <w:r w:rsidR="00351130" w:rsidRPr="002D58F1">
        <w:rPr>
          <w:rFonts w:hint="cs"/>
          <w:sz w:val="22"/>
          <w:rtl/>
        </w:rPr>
        <w:t xml:space="preserve"> </w:t>
      </w:r>
      <w:r w:rsidR="009E72BE" w:rsidRPr="002D58F1">
        <w:rPr>
          <w:rFonts w:hint="cs"/>
          <w:sz w:val="22"/>
          <w:rtl/>
        </w:rPr>
        <w:t xml:space="preserve">ישיבת הוועדה המחוזית מיום 5.9.11. אישור שר </w:t>
      </w:r>
      <w:r w:rsidR="00644B69" w:rsidRPr="002D58F1">
        <w:rPr>
          <w:rFonts w:hint="cs"/>
          <w:sz w:val="22"/>
          <w:rtl/>
        </w:rPr>
        <w:t>האוצר -</w:t>
      </w:r>
      <w:r w:rsidR="009E72BE" w:rsidRPr="002D58F1">
        <w:rPr>
          <w:rFonts w:hint="cs"/>
          <w:sz w:val="22"/>
          <w:rtl/>
        </w:rPr>
        <w:t xml:space="preserve"> 3.11.11</w:t>
      </w:r>
      <w:r w:rsidR="00351130" w:rsidRPr="002D58F1">
        <w:rPr>
          <w:rFonts w:hint="cs"/>
          <w:sz w:val="22"/>
          <w:rtl/>
        </w:rPr>
        <w:t xml:space="preserve">) </w:t>
      </w:r>
      <w:r w:rsidRPr="002D58F1">
        <w:rPr>
          <w:rFonts w:hint="cs"/>
          <w:sz w:val="22"/>
          <w:rtl/>
        </w:rPr>
        <w:t xml:space="preserve">הפיקה הוועדה המקומית דרישת תשלום בהתאם לשומה המוסכמת. </w:t>
      </w:r>
      <w:r w:rsidR="002B53A5" w:rsidRPr="002D58F1">
        <w:rPr>
          <w:rFonts w:hint="cs"/>
          <w:b/>
          <w:bCs/>
          <w:sz w:val="22"/>
          <w:u w:val="single"/>
          <w:rtl/>
        </w:rPr>
        <w:t>דרישת תשלום</w:t>
      </w:r>
      <w:r w:rsidRPr="002D58F1">
        <w:rPr>
          <w:rFonts w:hint="cs"/>
          <w:b/>
          <w:bCs/>
          <w:sz w:val="22"/>
          <w:u w:val="single"/>
          <w:rtl/>
        </w:rPr>
        <w:t xml:space="preserve"> זו הומצאה לעוררים ביום</w:t>
      </w:r>
      <w:r w:rsidRPr="002D58F1">
        <w:rPr>
          <w:b/>
          <w:bCs/>
          <w:sz w:val="22"/>
          <w:u w:val="single"/>
          <w:rtl/>
        </w:rPr>
        <w:t xml:space="preserve"> </w:t>
      </w:r>
      <w:r w:rsidR="008978FE" w:rsidRPr="002D58F1">
        <w:rPr>
          <w:rFonts w:hint="cs"/>
          <w:b/>
          <w:bCs/>
          <w:sz w:val="22"/>
          <w:u w:val="single"/>
          <w:rtl/>
        </w:rPr>
        <w:t>1.3.12</w:t>
      </w:r>
      <w:r w:rsidR="00A80600" w:rsidRPr="002D58F1">
        <w:rPr>
          <w:rFonts w:hint="cs"/>
          <w:sz w:val="22"/>
          <w:rtl/>
        </w:rPr>
        <w:t xml:space="preserve"> (להלן: "</w:t>
      </w:r>
      <w:r w:rsidR="00A80600" w:rsidRPr="002D58F1">
        <w:rPr>
          <w:rFonts w:hint="cs"/>
          <w:b/>
          <w:bCs/>
          <w:sz w:val="22"/>
          <w:rtl/>
        </w:rPr>
        <w:t>דרישת התשלום</w:t>
      </w:r>
      <w:r w:rsidR="00A80600" w:rsidRPr="002D58F1">
        <w:rPr>
          <w:rFonts w:hint="cs"/>
          <w:sz w:val="22"/>
          <w:rtl/>
        </w:rPr>
        <w:t>")</w:t>
      </w:r>
      <w:r w:rsidR="00D21214" w:rsidRPr="002D58F1">
        <w:rPr>
          <w:rFonts w:hint="cs"/>
          <w:sz w:val="22"/>
          <w:rtl/>
        </w:rPr>
        <w:t>:</w:t>
      </w:r>
    </w:p>
    <w:p w14:paraId="2FF65EBD" w14:textId="199D5067" w:rsidR="00CF3113" w:rsidRPr="002D58F1" w:rsidRDefault="00CF3113" w:rsidP="00D21214">
      <w:pPr>
        <w:spacing w:before="0" w:after="160" w:line="360" w:lineRule="auto"/>
        <w:ind w:left="444" w:firstLine="0"/>
        <w:rPr>
          <w:sz w:val="22"/>
        </w:rPr>
      </w:pPr>
      <w:r w:rsidRPr="002D58F1">
        <w:rPr>
          <w:noProof/>
          <w:rtl/>
        </w:rPr>
        <w:lastRenderedPageBreak/>
        <w:drawing>
          <wp:inline distT="0" distB="0" distL="0" distR="0" wp14:anchorId="43224DCB" wp14:editId="44680420">
            <wp:extent cx="5274310" cy="3792220"/>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792220"/>
                    </a:xfrm>
                    <a:prstGeom prst="rect">
                      <a:avLst/>
                    </a:prstGeom>
                    <a:noFill/>
                    <a:ln>
                      <a:noFill/>
                    </a:ln>
                  </pic:spPr>
                </pic:pic>
              </a:graphicData>
            </a:graphic>
          </wp:inline>
        </w:drawing>
      </w:r>
    </w:p>
    <w:p w14:paraId="7783A0B7" w14:textId="2DBD5848" w:rsidR="00D21214" w:rsidRPr="002D58F1" w:rsidRDefault="008133E4" w:rsidP="006F2EDF">
      <w:pPr>
        <w:pStyle w:val="ListParagraph"/>
        <w:numPr>
          <w:ilvl w:val="0"/>
          <w:numId w:val="4"/>
        </w:numPr>
        <w:spacing w:before="0" w:after="160" w:line="360" w:lineRule="auto"/>
        <w:ind w:left="226" w:hanging="425"/>
        <w:contextualSpacing w:val="0"/>
        <w:rPr>
          <w:sz w:val="22"/>
        </w:rPr>
      </w:pPr>
      <w:r w:rsidRPr="002D58F1">
        <w:rPr>
          <w:rFonts w:hint="cs"/>
          <w:sz w:val="22"/>
          <w:rtl/>
        </w:rPr>
        <w:t>ביום 21.10.2013 חתמו העוררים על כתב התחייבות שנוסח על ידי הוועדה המקומית ולפי</w:t>
      </w:r>
      <w:r w:rsidR="00A579A8" w:rsidRPr="002D58F1">
        <w:rPr>
          <w:rFonts w:hint="cs"/>
          <w:sz w:val="22"/>
          <w:rtl/>
        </w:rPr>
        <w:t>ו</w:t>
      </w:r>
      <w:r w:rsidRPr="002D58F1">
        <w:rPr>
          <w:rFonts w:hint="cs"/>
          <w:sz w:val="22"/>
          <w:rtl/>
        </w:rPr>
        <w:t xml:space="preserve"> היא תישא בהיטל ההשבחה</w:t>
      </w:r>
      <w:r w:rsidR="00A579A8" w:rsidRPr="002D58F1">
        <w:rPr>
          <w:rFonts w:hint="cs"/>
          <w:sz w:val="22"/>
          <w:rtl/>
        </w:rPr>
        <w:t>,</w:t>
      </w:r>
      <w:r w:rsidRPr="002D58F1">
        <w:rPr>
          <w:rFonts w:hint="cs"/>
          <w:sz w:val="22"/>
          <w:rtl/>
        </w:rPr>
        <w:t xml:space="preserve"> בהתאם לאמור בשומה המוסכמת ובדרישת התשלום מיום 6.11.11</w:t>
      </w:r>
      <w:r w:rsidR="00E47100" w:rsidRPr="002D58F1">
        <w:rPr>
          <w:rFonts w:hint="cs"/>
          <w:sz w:val="22"/>
          <w:rtl/>
        </w:rPr>
        <w:t xml:space="preserve"> (להלן: "</w:t>
      </w:r>
      <w:r w:rsidR="00E47100" w:rsidRPr="002D58F1">
        <w:rPr>
          <w:rFonts w:hint="cs"/>
          <w:b/>
          <w:bCs/>
          <w:sz w:val="22"/>
          <w:rtl/>
        </w:rPr>
        <w:t>כתב ההתחייבות</w:t>
      </w:r>
      <w:r w:rsidR="00E47100" w:rsidRPr="002D58F1">
        <w:rPr>
          <w:rFonts w:hint="cs"/>
          <w:sz w:val="22"/>
          <w:rtl/>
        </w:rPr>
        <w:t>").</w:t>
      </w:r>
    </w:p>
    <w:p w14:paraId="4B004CD0" w14:textId="73AE8667" w:rsidR="008133E4" w:rsidRPr="002D58F1" w:rsidRDefault="008133E4" w:rsidP="006F2EDF">
      <w:pPr>
        <w:pStyle w:val="ListParagraph"/>
        <w:numPr>
          <w:ilvl w:val="0"/>
          <w:numId w:val="4"/>
        </w:numPr>
        <w:spacing w:before="0" w:after="160" w:line="360" w:lineRule="auto"/>
        <w:ind w:left="226" w:hanging="425"/>
        <w:contextualSpacing w:val="0"/>
        <w:rPr>
          <w:sz w:val="22"/>
        </w:rPr>
      </w:pPr>
      <w:r w:rsidRPr="002D58F1">
        <w:rPr>
          <w:rFonts w:hint="cs"/>
          <w:sz w:val="22"/>
          <w:rtl/>
        </w:rPr>
        <w:t>בין לבין הוצאו היתרי בניה שונים. בחלקם נתבקש מימוש זכויות הבניה בהתאם לתכנית דנן.</w:t>
      </w:r>
    </w:p>
    <w:p w14:paraId="096712FC" w14:textId="054339EA" w:rsidR="00ED0ABC" w:rsidRPr="002D58F1" w:rsidRDefault="00ED0ABC" w:rsidP="006F2EDF">
      <w:pPr>
        <w:pStyle w:val="ListParagraph"/>
        <w:numPr>
          <w:ilvl w:val="0"/>
          <w:numId w:val="4"/>
        </w:numPr>
        <w:spacing w:before="0" w:after="160" w:line="360" w:lineRule="auto"/>
        <w:ind w:left="226" w:hanging="425"/>
        <w:contextualSpacing w:val="0"/>
        <w:rPr>
          <w:sz w:val="22"/>
        </w:rPr>
      </w:pPr>
      <w:r w:rsidRPr="002D58F1">
        <w:rPr>
          <w:rFonts w:hint="cs"/>
          <w:sz w:val="22"/>
          <w:rtl/>
        </w:rPr>
        <w:t>ביום 21.10.16 שילמה העוררת את מלוא ההיטל כפי שנקבע בשומה המוסכמת משנת 2008</w:t>
      </w:r>
      <w:r w:rsidR="00A579A8" w:rsidRPr="002D58F1">
        <w:rPr>
          <w:rFonts w:hint="cs"/>
          <w:sz w:val="22"/>
          <w:rtl/>
        </w:rPr>
        <w:t>,</w:t>
      </w:r>
      <w:r w:rsidRPr="002D58F1">
        <w:rPr>
          <w:rFonts w:hint="cs"/>
          <w:sz w:val="22"/>
          <w:rtl/>
        </w:rPr>
        <w:t xml:space="preserve"> בדרישת התשלום משנת 2011 ובכתב ההתחייבות משנת 2013. בין הצדדים נתגלעה מחלוקת ביחס לרכיב </w:t>
      </w:r>
      <w:r w:rsidR="00A579A8" w:rsidRPr="002D58F1">
        <w:rPr>
          <w:rFonts w:hint="cs"/>
          <w:sz w:val="22"/>
          <w:rtl/>
        </w:rPr>
        <w:t>ה</w:t>
      </w:r>
      <w:r w:rsidRPr="002D58F1">
        <w:rPr>
          <w:rFonts w:hint="cs"/>
          <w:sz w:val="22"/>
          <w:rtl/>
        </w:rPr>
        <w:t>ריבית</w:t>
      </w:r>
      <w:r w:rsidR="00FF7984" w:rsidRPr="002D58F1">
        <w:rPr>
          <w:rFonts w:hint="cs"/>
          <w:sz w:val="22"/>
          <w:rtl/>
        </w:rPr>
        <w:t>. בהתאם למפורט על ידי הוועדה המקומית ביחס למחלוקת זו ניתן פסק בוררות ביום 24.5.17.</w:t>
      </w:r>
    </w:p>
    <w:p w14:paraId="5F378B2C" w14:textId="7F1188EA" w:rsidR="008133E4" w:rsidRPr="002D58F1" w:rsidRDefault="008133E4" w:rsidP="006F2EDF">
      <w:pPr>
        <w:pStyle w:val="ListParagraph"/>
        <w:numPr>
          <w:ilvl w:val="0"/>
          <w:numId w:val="4"/>
        </w:numPr>
        <w:spacing w:before="0" w:after="160" w:line="360" w:lineRule="auto"/>
        <w:ind w:left="226" w:hanging="425"/>
        <w:contextualSpacing w:val="0"/>
        <w:rPr>
          <w:sz w:val="22"/>
        </w:rPr>
      </w:pPr>
      <w:r w:rsidRPr="002D58F1">
        <w:rPr>
          <w:rFonts w:hint="cs"/>
          <w:sz w:val="22"/>
          <w:rtl/>
        </w:rPr>
        <w:t>לפי האמור על ידי הוועדה המקומית</w:t>
      </w:r>
      <w:r w:rsidR="00A579A8" w:rsidRPr="002D58F1">
        <w:rPr>
          <w:rFonts w:hint="cs"/>
          <w:sz w:val="22"/>
          <w:rtl/>
        </w:rPr>
        <w:t>,</w:t>
      </w:r>
      <w:r w:rsidRPr="002D58F1">
        <w:rPr>
          <w:rFonts w:hint="cs"/>
          <w:sz w:val="22"/>
          <w:rtl/>
        </w:rPr>
        <w:t xml:space="preserve"> במהלך שנת 2017 נתבקש שמאי מטעמה לבחון את היטל ההשבחה בגין התכנית.</w:t>
      </w:r>
    </w:p>
    <w:p w14:paraId="42C232AD" w14:textId="01A03D8E" w:rsidR="00313734" w:rsidRPr="002D58F1" w:rsidRDefault="008133E4" w:rsidP="0006412C">
      <w:pPr>
        <w:pStyle w:val="ListParagraph"/>
        <w:numPr>
          <w:ilvl w:val="0"/>
          <w:numId w:val="4"/>
        </w:numPr>
        <w:spacing w:before="0" w:after="160" w:line="360" w:lineRule="auto"/>
        <w:ind w:left="226" w:hanging="425"/>
        <w:contextualSpacing w:val="0"/>
        <w:rPr>
          <w:sz w:val="22"/>
          <w:rtl/>
        </w:rPr>
      </w:pPr>
      <w:r w:rsidRPr="002D58F1">
        <w:rPr>
          <w:rFonts w:hint="cs"/>
          <w:sz w:val="22"/>
          <w:rtl/>
        </w:rPr>
        <w:t>כ</w:t>
      </w:r>
      <w:r w:rsidRPr="002D58F1">
        <w:rPr>
          <w:sz w:val="22"/>
          <w:rtl/>
        </w:rPr>
        <w:t>–</w:t>
      </w:r>
      <w:r w:rsidRPr="002D58F1">
        <w:rPr>
          <w:rFonts w:hint="cs"/>
          <w:sz w:val="22"/>
          <w:rtl/>
        </w:rPr>
        <w:t xml:space="preserve"> 3 שנים לאחר מכן (וכ</w:t>
      </w:r>
      <w:r w:rsidRPr="002D58F1">
        <w:rPr>
          <w:sz w:val="22"/>
          <w:rtl/>
        </w:rPr>
        <w:t>–</w:t>
      </w:r>
      <w:r w:rsidRPr="002D58F1">
        <w:rPr>
          <w:rFonts w:hint="cs"/>
          <w:sz w:val="22"/>
          <w:rtl/>
        </w:rPr>
        <w:t xml:space="preserve"> 12 שנים לאחר הוצאת השומה המוסכמת)</w:t>
      </w:r>
      <w:r w:rsidR="0006412C" w:rsidRPr="002D58F1">
        <w:rPr>
          <w:rFonts w:hint="cs"/>
          <w:sz w:val="22"/>
          <w:rtl/>
        </w:rPr>
        <w:t>,</w:t>
      </w:r>
      <w:r w:rsidRPr="002D58F1">
        <w:rPr>
          <w:rFonts w:hint="cs"/>
          <w:sz w:val="22"/>
          <w:rtl/>
        </w:rPr>
        <w:t xml:space="preserve"> </w:t>
      </w:r>
      <w:r w:rsidR="00D51C56" w:rsidRPr="002D58F1">
        <w:rPr>
          <w:sz w:val="22"/>
          <w:rtl/>
        </w:rPr>
        <w:t>ביום 20.10.2020</w:t>
      </w:r>
      <w:r w:rsidR="0006412C" w:rsidRPr="002D58F1">
        <w:rPr>
          <w:rFonts w:hint="cs"/>
          <w:sz w:val="22"/>
          <w:rtl/>
        </w:rPr>
        <w:t>,</w:t>
      </w:r>
      <w:r w:rsidR="00D51C56" w:rsidRPr="002D58F1">
        <w:rPr>
          <w:sz w:val="22"/>
          <w:rtl/>
        </w:rPr>
        <w:t xml:space="preserve"> </w:t>
      </w:r>
      <w:r w:rsidR="00A55C33" w:rsidRPr="002D58F1">
        <w:rPr>
          <w:rFonts w:hint="cs"/>
          <w:sz w:val="22"/>
          <w:rtl/>
        </w:rPr>
        <w:t>הומצאה</w:t>
      </w:r>
      <w:r w:rsidRPr="002D58F1">
        <w:rPr>
          <w:rFonts w:hint="cs"/>
          <w:sz w:val="22"/>
          <w:rtl/>
        </w:rPr>
        <w:t xml:space="preserve"> לעוררת שומה מת</w:t>
      </w:r>
      <w:r w:rsidR="0006412C" w:rsidRPr="002D58F1">
        <w:rPr>
          <w:rFonts w:hint="cs"/>
          <w:sz w:val="22"/>
          <w:rtl/>
        </w:rPr>
        <w:t>ו</w:t>
      </w:r>
      <w:r w:rsidRPr="002D58F1">
        <w:rPr>
          <w:rFonts w:hint="cs"/>
          <w:sz w:val="22"/>
          <w:rtl/>
        </w:rPr>
        <w:t>קנת מטעם הוועדה המקומית</w:t>
      </w:r>
      <w:r w:rsidR="00937689" w:rsidRPr="002D58F1">
        <w:rPr>
          <w:rFonts w:hint="cs"/>
          <w:sz w:val="22"/>
          <w:rtl/>
        </w:rPr>
        <w:t xml:space="preserve"> (להלן: "</w:t>
      </w:r>
      <w:r w:rsidR="00937689" w:rsidRPr="002D58F1">
        <w:rPr>
          <w:rFonts w:hint="cs"/>
          <w:b/>
          <w:bCs/>
          <w:sz w:val="22"/>
          <w:rtl/>
        </w:rPr>
        <w:t>השומה המת</w:t>
      </w:r>
      <w:r w:rsidR="0006412C" w:rsidRPr="002D58F1">
        <w:rPr>
          <w:rFonts w:hint="cs"/>
          <w:b/>
          <w:bCs/>
          <w:sz w:val="22"/>
          <w:rtl/>
        </w:rPr>
        <w:t>ו</w:t>
      </w:r>
      <w:r w:rsidR="00937689" w:rsidRPr="002D58F1">
        <w:rPr>
          <w:rFonts w:hint="cs"/>
          <w:b/>
          <w:bCs/>
          <w:sz w:val="22"/>
          <w:rtl/>
        </w:rPr>
        <w:t>קנת</w:t>
      </w:r>
      <w:r w:rsidR="00937689" w:rsidRPr="002D58F1">
        <w:rPr>
          <w:rFonts w:hint="cs"/>
          <w:sz w:val="22"/>
          <w:rtl/>
        </w:rPr>
        <w:t>")</w:t>
      </w:r>
      <w:r w:rsidRPr="002D58F1">
        <w:rPr>
          <w:rFonts w:hint="cs"/>
          <w:sz w:val="22"/>
          <w:rtl/>
        </w:rPr>
        <w:t xml:space="preserve"> </w:t>
      </w:r>
      <w:r w:rsidR="00937689" w:rsidRPr="002D58F1">
        <w:rPr>
          <w:rFonts w:hint="cs"/>
          <w:sz w:val="22"/>
          <w:rtl/>
        </w:rPr>
        <w:t>במסגרתה נקבעה תוספת היטל השבחה באופן הבא:</w:t>
      </w:r>
    </w:p>
    <w:p w14:paraId="2B1D1192" w14:textId="7A043369" w:rsidR="00937689" w:rsidRPr="002D58F1" w:rsidRDefault="00937689" w:rsidP="00C440EC">
      <w:pPr>
        <w:rPr>
          <w:sz w:val="24"/>
          <w:szCs w:val="24"/>
          <w:rtl/>
        </w:rPr>
      </w:pPr>
      <w:r w:rsidRPr="002D58F1">
        <w:rPr>
          <w:noProof/>
          <w:sz w:val="24"/>
          <w:szCs w:val="24"/>
          <w:rtl/>
        </w:rPr>
        <w:lastRenderedPageBreak/>
        <w:drawing>
          <wp:inline distT="0" distB="0" distL="0" distR="0" wp14:anchorId="6A90F624" wp14:editId="4EA1D8BA">
            <wp:extent cx="5274310" cy="1187593"/>
            <wp:effectExtent l="0" t="0" r="254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187593"/>
                    </a:xfrm>
                    <a:prstGeom prst="rect">
                      <a:avLst/>
                    </a:prstGeom>
                    <a:noFill/>
                    <a:ln>
                      <a:noFill/>
                    </a:ln>
                  </pic:spPr>
                </pic:pic>
              </a:graphicData>
            </a:graphic>
          </wp:inline>
        </w:drawing>
      </w:r>
    </w:p>
    <w:p w14:paraId="538B8E8F" w14:textId="40302966" w:rsidR="00313734" w:rsidRPr="002D58F1" w:rsidRDefault="002C4ACB" w:rsidP="002C4ACB">
      <w:pPr>
        <w:pStyle w:val="ListParagraph"/>
        <w:numPr>
          <w:ilvl w:val="0"/>
          <w:numId w:val="4"/>
        </w:numPr>
        <w:spacing w:before="0" w:after="160" w:line="360" w:lineRule="auto"/>
        <w:ind w:left="226" w:hanging="425"/>
        <w:contextualSpacing w:val="0"/>
        <w:rPr>
          <w:sz w:val="22"/>
          <w:rtl/>
        </w:rPr>
      </w:pPr>
      <w:bookmarkStart w:id="2" w:name="_Hlk194937019"/>
      <w:r w:rsidRPr="002D58F1">
        <w:rPr>
          <w:rFonts w:hint="cs"/>
          <w:sz w:val="22"/>
          <w:rtl/>
        </w:rPr>
        <w:t>כנגד השומה המתוקנת הוגש ערר זה במסגרתו טענו העוררים כי הוועדה המקומית אינה מוסמכת להוציא את השומה.</w:t>
      </w:r>
    </w:p>
    <w:p w14:paraId="12B112FC" w14:textId="48A21197" w:rsidR="002C4ACB" w:rsidRPr="002D58F1" w:rsidRDefault="002C4ACB" w:rsidP="002C4ACB">
      <w:pPr>
        <w:pStyle w:val="ListParagraph"/>
        <w:numPr>
          <w:ilvl w:val="0"/>
          <w:numId w:val="4"/>
        </w:numPr>
        <w:spacing w:before="0" w:after="160" w:line="360" w:lineRule="auto"/>
        <w:ind w:left="226" w:hanging="425"/>
        <w:contextualSpacing w:val="0"/>
        <w:rPr>
          <w:sz w:val="22"/>
          <w:rtl/>
        </w:rPr>
      </w:pPr>
      <w:r w:rsidRPr="002D58F1">
        <w:rPr>
          <w:rFonts w:hint="cs"/>
          <w:sz w:val="22"/>
          <w:rtl/>
        </w:rPr>
        <w:t>מנגד טענה הוועדה המקומית כי במסגרת השומה המוסכמת לא נלקחו בחשבון כלל זכויות הבניה ועניינים נוספים ובסמכותה לתקן את השומה גם בשלב זה.</w:t>
      </w:r>
    </w:p>
    <w:bookmarkEnd w:id="2"/>
    <w:p w14:paraId="15584911" w14:textId="566FC99D" w:rsidR="00C10FD8" w:rsidRPr="002D58F1" w:rsidRDefault="00C10FD8" w:rsidP="00C440EC">
      <w:pPr>
        <w:rPr>
          <w:b/>
          <w:bCs/>
          <w:sz w:val="32"/>
          <w:szCs w:val="32"/>
          <w:u w:val="single"/>
          <w:rtl/>
        </w:rPr>
      </w:pPr>
      <w:r w:rsidRPr="002D58F1">
        <w:rPr>
          <w:rFonts w:hint="cs"/>
          <w:b/>
          <w:bCs/>
          <w:sz w:val="32"/>
          <w:szCs w:val="32"/>
          <w:u w:val="single"/>
          <w:rtl/>
        </w:rPr>
        <w:t>דיון והכרעה</w:t>
      </w:r>
    </w:p>
    <w:p w14:paraId="65D957D4" w14:textId="4FF26F03" w:rsidR="00211422" w:rsidRPr="002D58F1" w:rsidRDefault="00211422" w:rsidP="00C440EC">
      <w:pPr>
        <w:rPr>
          <w:b/>
          <w:bCs/>
          <w:sz w:val="28"/>
          <w:szCs w:val="28"/>
          <w:u w:val="single"/>
          <w:rtl/>
        </w:rPr>
      </w:pPr>
      <w:r w:rsidRPr="002D58F1">
        <w:rPr>
          <w:rFonts w:hint="cs"/>
          <w:b/>
          <w:bCs/>
          <w:sz w:val="28"/>
          <w:szCs w:val="28"/>
          <w:u w:val="single"/>
          <w:rtl/>
        </w:rPr>
        <w:t>מעמדה של השומה המוסכמת משנת 2008</w:t>
      </w:r>
    </w:p>
    <w:p w14:paraId="229999DD" w14:textId="19DC4C71" w:rsidR="00211422" w:rsidRPr="002D58F1" w:rsidRDefault="00225AF3"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השומה המוסכמת מושא הערר נערכה והוסכמה בין הצדדים בשנת 2008, טרם אישורו של תיקון 8</w:t>
      </w:r>
      <w:r w:rsidR="008B4C50" w:rsidRPr="002D58F1">
        <w:rPr>
          <w:rFonts w:hint="cs"/>
          <w:sz w:val="22"/>
          <w:rtl/>
        </w:rPr>
        <w:t>4 ל</w:t>
      </w:r>
      <w:r w:rsidR="004F58F8" w:rsidRPr="002D58F1">
        <w:rPr>
          <w:rFonts w:hint="cs"/>
          <w:sz w:val="22"/>
          <w:rtl/>
        </w:rPr>
        <w:t>ח</w:t>
      </w:r>
      <w:r w:rsidR="008B4C50" w:rsidRPr="002D58F1">
        <w:rPr>
          <w:rFonts w:hint="cs"/>
          <w:sz w:val="22"/>
          <w:rtl/>
        </w:rPr>
        <w:t>וק התכנון והבניה. נכון למועד זה הוראת החוק קבעה כי ניתן להגיע לשומה מוסכמת, כך</w:t>
      </w:r>
      <w:r w:rsidR="004563F0" w:rsidRPr="002D58F1">
        <w:rPr>
          <w:rFonts w:hint="cs"/>
          <w:sz w:val="22"/>
          <w:rtl/>
        </w:rPr>
        <w:t>:</w:t>
      </w:r>
    </w:p>
    <w:p w14:paraId="40471D86" w14:textId="77777777" w:rsidR="004164CD" w:rsidRPr="002D58F1" w:rsidRDefault="004164CD" w:rsidP="00C85DD2">
      <w:pPr>
        <w:spacing w:line="240" w:lineRule="auto"/>
        <w:ind w:right="284" w:firstLine="0"/>
        <w:rPr>
          <w:rFonts w:asciiTheme="minorBidi" w:hAnsiTheme="minorBidi" w:cstheme="minorBidi"/>
          <w:color w:val="000000"/>
          <w:sz w:val="22"/>
          <w:szCs w:val="22"/>
        </w:rPr>
      </w:pPr>
      <w:r w:rsidRPr="002D58F1">
        <w:rPr>
          <w:rFonts w:asciiTheme="minorBidi" w:hAnsiTheme="minorBidi" w:cstheme="minorBidi"/>
          <w:color w:val="000000"/>
          <w:sz w:val="22"/>
          <w:szCs w:val="22"/>
          <w:rtl/>
        </w:rPr>
        <w:t>14. (א)  הוצג לוח שומה, כאמור בסעיף 6, רשאי כל מי שמקרקעיו כלולים בלוח, להגיש שומה אחרת שהכין שמאי מקרקעין מטעמו תוך שנה מיום הצגת לוח השומה; הוכנה שומה עקב מימוש זכויות במקרקעין, רשאי החייב בהיטל להגיש שומה אחרת שהכין שמאי מקרקעין מטעמו, תוך 30 ימים מיום שהודעה לו השומה.</w:t>
      </w:r>
    </w:p>
    <w:p w14:paraId="034472A7" w14:textId="77777777" w:rsidR="004164CD" w:rsidRPr="002D58F1" w:rsidRDefault="004164CD"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(ב) הסכימו הועדה המקומית ובעל המקרקעין לשומה, יותאם החיוב בהיטל לשומה שהוסכם עליה; לא הסכימו כאמור – יבחרו הועדה המקומית ובעל המקרקעין שמאי מקרקעין אחר (להלן – שמאי מכריע) ושומתו תהא מכרעת; השמאי המכריע יפסוק גם בדבר השתתפות בהוצאות שומתו.</w:t>
      </w:r>
    </w:p>
    <w:p w14:paraId="606D65D2" w14:textId="0FE9D607" w:rsidR="008B4C50" w:rsidRPr="002D58F1" w:rsidRDefault="004164CD"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משתוקן תיקון 84 לחוק התכנון והבניה וה</w:t>
      </w:r>
      <w:r w:rsidR="002F68CF" w:rsidRPr="002D58F1">
        <w:rPr>
          <w:rFonts w:hint="cs"/>
          <w:sz w:val="22"/>
          <w:rtl/>
        </w:rPr>
        <w:t>ו</w:t>
      </w:r>
      <w:r w:rsidRPr="002D58F1">
        <w:rPr>
          <w:rFonts w:hint="cs"/>
          <w:sz w:val="22"/>
          <w:rtl/>
        </w:rPr>
        <w:t xml:space="preserve">ראות המעבר עימו, מיהרו </w:t>
      </w:r>
      <w:r w:rsidR="00BA327E" w:rsidRPr="002D58F1">
        <w:rPr>
          <w:rFonts w:hint="cs"/>
          <w:sz w:val="22"/>
          <w:rtl/>
        </w:rPr>
        <w:t xml:space="preserve">רבים ליישם את האפשרות שניתנה באותה העת </w:t>
      </w:r>
      <w:r w:rsidR="00B4024F" w:rsidRPr="002D58F1">
        <w:rPr>
          <w:rFonts w:hint="cs"/>
          <w:sz w:val="22"/>
          <w:rtl/>
        </w:rPr>
        <w:t>ולערוך שומות מוסכמות, טרם יחול תיקון 84 לחוק שאסר פרקטיקה זו.</w:t>
      </w:r>
    </w:p>
    <w:p w14:paraId="07DF3881" w14:textId="68055FF9" w:rsidR="00B4024F" w:rsidRPr="002D58F1" w:rsidRDefault="001B5028"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ניתן לשער כי המקרה שבפנינו נפל "בין כיסאותיה" של אותה תקופה והצדדים מיהרו להגיע לשומה מוסכמת, כל אחד מטעמו הוא, </w:t>
      </w:r>
      <w:r w:rsidRPr="002D58F1">
        <w:rPr>
          <w:rFonts w:hint="cs"/>
          <w:b/>
          <w:bCs/>
          <w:sz w:val="22"/>
          <w:u w:val="single"/>
          <w:rtl/>
        </w:rPr>
        <w:t>זאת חרף העובדה שהתכנית המשביחה טרם אושרה.</w:t>
      </w:r>
    </w:p>
    <w:p w14:paraId="313FCB91" w14:textId="31E91287" w:rsidR="001B5028" w:rsidRPr="002D58F1" w:rsidRDefault="00E15960"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נוכח הפרקטיקה האמורה התגלגלה המסכת העובדתית שהביאה לדיון בפנינו בשאלה מה דינה של שומה מוסכמת זו</w:t>
      </w:r>
      <w:r w:rsidR="00E37C61" w:rsidRPr="002D58F1">
        <w:rPr>
          <w:rFonts w:hint="cs"/>
          <w:sz w:val="22"/>
          <w:rtl/>
        </w:rPr>
        <w:t>, והאם היא בת תיקון לאחר שכבר תוקן החוק והשומה המוסכמת הפכה סופית</w:t>
      </w:r>
      <w:r w:rsidRPr="002D58F1">
        <w:rPr>
          <w:rFonts w:hint="cs"/>
          <w:sz w:val="22"/>
          <w:rtl/>
        </w:rPr>
        <w:t>.</w:t>
      </w:r>
    </w:p>
    <w:p w14:paraId="75918D78" w14:textId="3E2163E6" w:rsidR="00E15960" w:rsidRPr="002D58F1" w:rsidRDefault="00F40A49"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הצדדים לא כפרו </w:t>
      </w:r>
      <w:r w:rsidR="00E37C61" w:rsidRPr="002D58F1">
        <w:rPr>
          <w:rFonts w:hint="cs"/>
          <w:sz w:val="22"/>
          <w:rtl/>
        </w:rPr>
        <w:t>בסמכותנו</w:t>
      </w:r>
      <w:r w:rsidRPr="002D58F1">
        <w:rPr>
          <w:rFonts w:hint="cs"/>
          <w:sz w:val="22"/>
          <w:rtl/>
        </w:rPr>
        <w:t xml:space="preserve"> לדון בשאלה זו, ועל כן לא מצאנו מקום לדון בשאל</w:t>
      </w:r>
      <w:r w:rsidR="00055281" w:rsidRPr="002D58F1">
        <w:rPr>
          <w:rFonts w:hint="cs"/>
          <w:sz w:val="22"/>
          <w:rtl/>
        </w:rPr>
        <w:t>ת הסמכות</w:t>
      </w:r>
      <w:r w:rsidRPr="002D58F1">
        <w:rPr>
          <w:rFonts w:hint="cs"/>
          <w:sz w:val="22"/>
          <w:rtl/>
        </w:rPr>
        <w:t xml:space="preserve"> מטעמנו.</w:t>
      </w:r>
    </w:p>
    <w:p w14:paraId="7FB9DF6F" w14:textId="18C483B7" w:rsidR="00014D91" w:rsidRPr="002D58F1" w:rsidRDefault="00014D91" w:rsidP="001652CA">
      <w:pPr>
        <w:pStyle w:val="ListParagraph"/>
        <w:numPr>
          <w:ilvl w:val="0"/>
          <w:numId w:val="4"/>
        </w:numPr>
        <w:spacing w:before="0" w:after="160" w:line="360" w:lineRule="auto"/>
        <w:ind w:left="226" w:hanging="425"/>
        <w:contextualSpacing w:val="0"/>
        <w:rPr>
          <w:sz w:val="22"/>
        </w:rPr>
      </w:pPr>
      <w:bookmarkStart w:id="3" w:name="_Hlk194996675"/>
      <w:r w:rsidRPr="002D58F1">
        <w:rPr>
          <w:rFonts w:hint="cs"/>
          <w:sz w:val="22"/>
          <w:rtl/>
        </w:rPr>
        <w:lastRenderedPageBreak/>
        <w:t xml:space="preserve">השאלה שבמוקד המחלוקת היא האם נוכח השינויים </w:t>
      </w:r>
      <w:r w:rsidR="00B50EB0" w:rsidRPr="002D58F1">
        <w:rPr>
          <w:rFonts w:hint="cs"/>
          <w:sz w:val="22"/>
          <w:rtl/>
        </w:rPr>
        <w:t>ש</w:t>
      </w:r>
      <w:r w:rsidR="00CD09C6" w:rsidRPr="002D58F1">
        <w:rPr>
          <w:rFonts w:hint="cs"/>
          <w:sz w:val="22"/>
          <w:rtl/>
        </w:rPr>
        <w:t>עברה התכנית מאז חתימת השומה המוסכמת</w:t>
      </w:r>
      <w:r w:rsidR="00E144E2" w:rsidRPr="002D58F1">
        <w:rPr>
          <w:rFonts w:hint="cs"/>
          <w:sz w:val="22"/>
          <w:rtl/>
        </w:rPr>
        <w:t xml:space="preserve"> בשנת 2008</w:t>
      </w:r>
      <w:r w:rsidR="00CD09C6" w:rsidRPr="002D58F1">
        <w:rPr>
          <w:rFonts w:hint="cs"/>
          <w:sz w:val="22"/>
          <w:rtl/>
        </w:rPr>
        <w:t xml:space="preserve"> ועד הוצאת השומה המ</w:t>
      </w:r>
      <w:r w:rsidR="00E144E2" w:rsidRPr="002D58F1">
        <w:rPr>
          <w:rFonts w:hint="cs"/>
          <w:sz w:val="22"/>
          <w:rtl/>
        </w:rPr>
        <w:t>תוקנת בשנת 2020 היה בסמכותה של הוועדה המקומית לתקן את השומה; ובנוסף, האם חלפה התקופה בה התאפשר תיקון זה.</w:t>
      </w:r>
    </w:p>
    <w:bookmarkEnd w:id="3"/>
    <w:p w14:paraId="45FDCDA9" w14:textId="142FA7CE" w:rsidR="002F68CF" w:rsidRPr="002D58F1" w:rsidRDefault="002F68CF"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נציין</w:t>
      </w:r>
      <w:r w:rsidR="00773C58" w:rsidRPr="002D58F1">
        <w:rPr>
          <w:rFonts w:hint="cs"/>
          <w:sz w:val="22"/>
          <w:rtl/>
        </w:rPr>
        <w:t xml:space="preserve"> עוד</w:t>
      </w:r>
      <w:r w:rsidRPr="002D58F1">
        <w:rPr>
          <w:rFonts w:hint="cs"/>
          <w:sz w:val="22"/>
          <w:rtl/>
        </w:rPr>
        <w:t xml:space="preserve"> כי במהלך הדיון</w:t>
      </w:r>
      <w:r w:rsidR="00773C58" w:rsidRPr="002D58F1">
        <w:rPr>
          <w:rFonts w:hint="cs"/>
          <w:sz w:val="22"/>
          <w:rtl/>
        </w:rPr>
        <w:t xml:space="preserve"> (עמודים 7 ו </w:t>
      </w:r>
      <w:r w:rsidR="00773C58" w:rsidRPr="002D58F1">
        <w:rPr>
          <w:sz w:val="22"/>
          <w:rtl/>
        </w:rPr>
        <w:t>–</w:t>
      </w:r>
      <w:r w:rsidR="00773C58" w:rsidRPr="002D58F1">
        <w:rPr>
          <w:rFonts w:hint="cs"/>
          <w:sz w:val="22"/>
          <w:rtl/>
        </w:rPr>
        <w:t xml:space="preserve"> 11 לפרוטוקול הדיון)</w:t>
      </w:r>
      <w:r w:rsidRPr="002D58F1">
        <w:rPr>
          <w:rFonts w:hint="cs"/>
          <w:sz w:val="22"/>
          <w:rtl/>
        </w:rPr>
        <w:t xml:space="preserve"> </w:t>
      </w:r>
      <w:r w:rsidR="00484FA9" w:rsidRPr="002D58F1">
        <w:rPr>
          <w:rFonts w:hint="cs"/>
          <w:sz w:val="22"/>
          <w:rtl/>
        </w:rPr>
        <w:t xml:space="preserve">הצענו לצדדים כי השומה </w:t>
      </w:r>
      <w:r w:rsidR="000C74ED" w:rsidRPr="002D58F1">
        <w:rPr>
          <w:rFonts w:hint="cs"/>
          <w:sz w:val="22"/>
          <w:rtl/>
        </w:rPr>
        <w:t>המוסכמת תבוטל, ההיטל יושב בתוספת ריבית ותוכן שומה חדשה התואמת את התכנית כפי שאושרה לבסוף. הצדדים סרבו להצעה זו ועל כן אנו נדרשים לדון בסוגיה לגופה.</w:t>
      </w:r>
    </w:p>
    <w:p w14:paraId="4013119B" w14:textId="51487746" w:rsidR="00B950D8" w:rsidRPr="002D58F1" w:rsidRDefault="00B950D8" w:rsidP="00C440EC">
      <w:pPr>
        <w:rPr>
          <w:b/>
          <w:bCs/>
          <w:sz w:val="28"/>
          <w:szCs w:val="28"/>
          <w:u w:val="single"/>
          <w:rtl/>
        </w:rPr>
      </w:pPr>
      <w:r w:rsidRPr="002D58F1">
        <w:rPr>
          <w:rFonts w:hint="cs"/>
          <w:b/>
          <w:bCs/>
          <w:sz w:val="28"/>
          <w:szCs w:val="28"/>
          <w:u w:val="single"/>
          <w:rtl/>
        </w:rPr>
        <w:t>מכח מה נערכה השומה המוסכמת</w:t>
      </w:r>
    </w:p>
    <w:p w14:paraId="1EF9E5F4" w14:textId="77777777" w:rsidR="00644183" w:rsidRPr="002D58F1" w:rsidRDefault="00644183"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כאמור לעיל, השומה המוסכמת נערכה טרם אישורה של התכנית.</w:t>
      </w:r>
    </w:p>
    <w:p w14:paraId="6D00A4D2" w14:textId="0DECFBDA" w:rsidR="004E2B97" w:rsidRPr="002D58F1" w:rsidRDefault="00687588" w:rsidP="0006412C">
      <w:pPr>
        <w:pStyle w:val="ListParagraph"/>
        <w:numPr>
          <w:ilvl w:val="0"/>
          <w:numId w:val="4"/>
        </w:numPr>
        <w:spacing w:before="0" w:after="160" w:line="360" w:lineRule="auto"/>
        <w:ind w:left="226" w:hanging="425"/>
        <w:contextualSpacing w:val="0"/>
        <w:rPr>
          <w:sz w:val="22"/>
        </w:rPr>
      </w:pPr>
      <w:r w:rsidRPr="002D58F1">
        <w:rPr>
          <w:rFonts w:hint="cs"/>
          <w:sz w:val="22"/>
          <w:rtl/>
        </w:rPr>
        <w:t>נזכיר כי התוספת השלישית מעמידה בפני הוועדה המקומית שתי אפשרויות לעריכת השומה, הראשונה דחיית ער</w:t>
      </w:r>
      <w:r w:rsidR="0006412C" w:rsidRPr="002D58F1">
        <w:rPr>
          <w:rFonts w:hint="cs"/>
          <w:sz w:val="22"/>
          <w:rtl/>
        </w:rPr>
        <w:t>יכת</w:t>
      </w:r>
      <w:r w:rsidRPr="002D58F1">
        <w:rPr>
          <w:rFonts w:hint="cs"/>
          <w:sz w:val="22"/>
          <w:rtl/>
        </w:rPr>
        <w:t xml:space="preserve"> השומה עד למימוש זכויות או אז יחול סעיף 4 הקובע כי</w:t>
      </w:r>
      <w:r w:rsidR="004E2B97" w:rsidRPr="002D58F1">
        <w:rPr>
          <w:rFonts w:hint="cs"/>
          <w:sz w:val="22"/>
          <w:rtl/>
        </w:rPr>
        <w:t>:</w:t>
      </w:r>
    </w:p>
    <w:p w14:paraId="7C525C0C" w14:textId="77777777" w:rsidR="004E2B97" w:rsidRPr="002D58F1" w:rsidRDefault="004E2B97" w:rsidP="004E2B97">
      <w:pPr>
        <w:spacing w:line="240" w:lineRule="auto"/>
        <w:ind w:right="284" w:firstLine="0"/>
        <w:rPr>
          <w:rFonts w:asciiTheme="minorBidi" w:hAnsiTheme="minorBidi" w:cstheme="minorBidi"/>
          <w:color w:val="000000"/>
          <w:sz w:val="22"/>
          <w:szCs w:val="22"/>
        </w:rPr>
      </w:pPr>
      <w:r w:rsidRPr="002D58F1">
        <w:rPr>
          <w:rFonts w:asciiTheme="minorBidi" w:hAnsiTheme="minorBidi" w:cstheme="minorBidi"/>
          <w:color w:val="000000"/>
          <w:sz w:val="22"/>
          <w:szCs w:val="22"/>
        </w:rPr>
        <w:t xml:space="preserve">(1)  </w:t>
      </w:r>
      <w:r w:rsidRPr="002D58F1">
        <w:rPr>
          <w:rFonts w:asciiTheme="minorBidi" w:hAnsiTheme="minorBidi" w:cstheme="minorBidi"/>
          <w:color w:val="000000"/>
          <w:sz w:val="22"/>
          <w:szCs w:val="22"/>
          <w:rtl/>
        </w:rPr>
        <w:t>ההשבחה תיקבע בידי שמאי מקרקעין בסמוך לאחר אישור התכנית, התרת השימוש החורג או מתן ההקלה; אולם רשאית הועדה המקומית לדחות את עריכת שומת ההשבחה עקב אישור תכנית עד למימוש הזכויות במקרקעין שבהם חלה ההשבחה (להלן - דחיית השומה עד למימוש הזכויות)</w:t>
      </w:r>
      <w:r w:rsidRPr="002D58F1">
        <w:rPr>
          <w:rFonts w:asciiTheme="minorBidi" w:hAnsiTheme="minorBidi" w:cstheme="minorBidi"/>
          <w:color w:val="000000"/>
          <w:sz w:val="22"/>
          <w:szCs w:val="22"/>
        </w:rPr>
        <w:t>;</w:t>
      </w:r>
    </w:p>
    <w:p w14:paraId="329B6048" w14:textId="0A096840" w:rsidR="004C6992" w:rsidRPr="002D58F1" w:rsidRDefault="00A13366" w:rsidP="001652CA">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או בהתאם לסעיף 5 ו </w:t>
      </w:r>
      <w:r w:rsidRPr="002D58F1">
        <w:rPr>
          <w:sz w:val="22"/>
          <w:rtl/>
        </w:rPr>
        <w:t>–</w:t>
      </w:r>
      <w:r w:rsidRPr="002D58F1">
        <w:rPr>
          <w:rFonts w:hint="cs"/>
          <w:sz w:val="22"/>
          <w:rtl/>
        </w:rPr>
        <w:t xml:space="preserve"> 6</w:t>
      </w:r>
      <w:r w:rsidR="0035050D" w:rsidRPr="002D58F1">
        <w:rPr>
          <w:rFonts w:hint="cs"/>
          <w:sz w:val="22"/>
          <w:rtl/>
        </w:rPr>
        <w:t xml:space="preserve"> </w:t>
      </w:r>
      <w:r w:rsidR="00094866" w:rsidRPr="002D58F1">
        <w:rPr>
          <w:rFonts w:hint="cs"/>
          <w:sz w:val="22"/>
          <w:rtl/>
        </w:rPr>
        <w:t xml:space="preserve"> </w:t>
      </w:r>
      <w:r w:rsidR="004E2B97" w:rsidRPr="002D58F1">
        <w:rPr>
          <w:rFonts w:hint="cs"/>
          <w:sz w:val="22"/>
          <w:rtl/>
        </w:rPr>
        <w:t>הקובעים כי:</w:t>
      </w:r>
    </w:p>
    <w:p w14:paraId="6B47743F" w14:textId="77777777" w:rsidR="004E2B97" w:rsidRPr="002D58F1" w:rsidRDefault="004E2B97" w:rsidP="004E2B97">
      <w:pPr>
        <w:spacing w:line="240" w:lineRule="auto"/>
        <w:ind w:right="284" w:firstLine="0"/>
        <w:rPr>
          <w:rFonts w:asciiTheme="minorBidi" w:hAnsiTheme="minorBidi" w:cstheme="minorBidi"/>
          <w:color w:val="000000"/>
          <w:sz w:val="22"/>
          <w:szCs w:val="22"/>
        </w:rPr>
      </w:pPr>
      <w:r w:rsidRPr="002D58F1">
        <w:rPr>
          <w:rFonts w:asciiTheme="minorBidi" w:hAnsiTheme="minorBidi" w:cstheme="minorBidi"/>
          <w:color w:val="000000"/>
          <w:sz w:val="22"/>
          <w:szCs w:val="22"/>
          <w:rtl/>
        </w:rPr>
        <w:t>5.       אושרה תכנית ולא החליטה הועדה המקומית על דחיית השומה עד למימוש הזכויות, תערוך הועדה המקומית, על פי חוות דעת של שמאי מקרקעין, לוח שומה לכל התכנית שאושרה, ובו יפורטו המקרקעין שהושבחו עקב אישור התכנית ושיעור השבחתם.</w:t>
      </w:r>
    </w:p>
    <w:p w14:paraId="4EEF22C6" w14:textId="77777777" w:rsidR="004E2B97" w:rsidRPr="002D58F1" w:rsidRDefault="004E2B97" w:rsidP="004E2B97">
      <w:pPr>
        <w:spacing w:line="240" w:lineRule="auto"/>
        <w:ind w:right="284" w:firstLine="0"/>
        <w:rPr>
          <w:rFonts w:asciiTheme="minorBidi" w:hAnsiTheme="minorBidi" w:cstheme="minorBidi"/>
          <w:color w:val="000000"/>
          <w:sz w:val="22"/>
          <w:szCs w:val="22"/>
          <w:rtl/>
        </w:rPr>
      </w:pPr>
      <w:bookmarkStart w:id="4" w:name="Rov540"/>
      <w:bookmarkStart w:id="5" w:name="Seif203"/>
      <w:bookmarkEnd w:id="4"/>
      <w:bookmarkEnd w:id="5"/>
      <w:r w:rsidRPr="002D58F1">
        <w:rPr>
          <w:rFonts w:asciiTheme="minorBidi" w:hAnsiTheme="minorBidi" w:cstheme="minorBidi"/>
          <w:color w:val="000000"/>
          <w:sz w:val="22"/>
          <w:szCs w:val="22"/>
          <w:rtl/>
        </w:rPr>
        <w:t>6.       (א)  לוח שומה שנערך לפי סעיף 5 יוצג במשרדי הועדה המקומית ובמשרדי הועדה המחוזית תוך חצי שנה מיום אישור התכנית.</w:t>
      </w:r>
    </w:p>
    <w:p w14:paraId="25F10A56" w14:textId="3D007277" w:rsidR="004E2B97" w:rsidRPr="002D58F1" w:rsidRDefault="00911037"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בתי המשפט קבעו בהתאם לאמור, כי שעה שנתבקשה וועדה המקומית לערוך שומה בסמוך לאישורה של התכנית, הרי שחובה עליה לעשות כן ולהשלים את מלאכת עריכת השומה וזאת אף שחובת התשלום לא קמה עד מימוש הזכויות בפועל. </w:t>
      </w:r>
    </w:p>
    <w:p w14:paraId="50B980E2" w14:textId="30FEC70F" w:rsidR="00820A13" w:rsidRPr="002D58F1" w:rsidRDefault="00A13366" w:rsidP="001652CA">
      <w:pPr>
        <w:pStyle w:val="ListParagraph"/>
        <w:numPr>
          <w:ilvl w:val="0"/>
          <w:numId w:val="4"/>
        </w:numPr>
        <w:spacing w:before="0" w:after="160" w:line="360" w:lineRule="auto"/>
        <w:ind w:left="226" w:hanging="425"/>
        <w:contextualSpacing w:val="0"/>
        <w:rPr>
          <w:sz w:val="22"/>
        </w:rPr>
      </w:pPr>
      <w:r w:rsidRPr="002D58F1">
        <w:rPr>
          <w:rFonts w:hint="cs"/>
          <w:sz w:val="22"/>
          <w:rtl/>
        </w:rPr>
        <w:t>כך פורט העניין בפסק דינה של כבוד השופטת (בדימוס)</w:t>
      </w:r>
      <w:r w:rsidRPr="002D58F1">
        <w:rPr>
          <w:rFonts w:hint="cs"/>
          <w:sz w:val="22"/>
        </w:rPr>
        <w:t xml:space="preserve"> </w:t>
      </w:r>
      <w:r w:rsidRPr="002D58F1">
        <w:rPr>
          <w:rFonts w:hint="cs"/>
          <w:sz w:val="22"/>
          <w:rtl/>
        </w:rPr>
        <w:t>זהבה בוסתן</w:t>
      </w:r>
      <w:r w:rsidR="00820A13" w:rsidRPr="002D58F1">
        <w:rPr>
          <w:rFonts w:hint="cs"/>
          <w:sz w:val="22"/>
          <w:rtl/>
        </w:rPr>
        <w:t xml:space="preserve"> -  </w:t>
      </w:r>
      <w:r w:rsidR="00820A13" w:rsidRPr="002D58F1">
        <w:rPr>
          <w:sz w:val="22"/>
          <w:rtl/>
        </w:rPr>
        <w:t>עתמ (מרכז) 32231-07-14‏ ‏</w:t>
      </w:r>
      <w:r w:rsidR="00820A13" w:rsidRPr="002D58F1">
        <w:rPr>
          <w:b/>
          <w:bCs/>
          <w:sz w:val="20"/>
          <w:szCs w:val="24"/>
        </w:rPr>
        <w:t>ETABLISSEMENT SEMOND</w:t>
      </w:r>
      <w:r w:rsidR="00820A13" w:rsidRPr="002D58F1">
        <w:rPr>
          <w:b/>
          <w:bCs/>
          <w:sz w:val="22"/>
          <w:rtl/>
        </w:rPr>
        <w:t>‏ נ' ועדה מקומית לתכנון ובנייה שרונים</w:t>
      </w:r>
      <w:r w:rsidR="00533714" w:rsidRPr="002D58F1">
        <w:rPr>
          <w:rFonts w:hint="cs"/>
          <w:sz w:val="22"/>
          <w:rtl/>
        </w:rPr>
        <w:t xml:space="preserve"> (להלן: "</w:t>
      </w:r>
      <w:r w:rsidR="00533714" w:rsidRPr="002D58F1">
        <w:rPr>
          <w:sz w:val="22"/>
        </w:rPr>
        <w:t xml:space="preserve"> </w:t>
      </w:r>
      <w:r w:rsidR="00533714" w:rsidRPr="002D58F1">
        <w:rPr>
          <w:b/>
          <w:bCs/>
          <w:sz w:val="20"/>
          <w:szCs w:val="24"/>
        </w:rPr>
        <w:t>ETABLISSEMENT</w:t>
      </w:r>
      <w:r w:rsidR="00533714" w:rsidRPr="002D58F1">
        <w:rPr>
          <w:rFonts w:hint="cs"/>
          <w:sz w:val="22"/>
          <w:rtl/>
        </w:rPr>
        <w:t>").</w:t>
      </w:r>
    </w:p>
    <w:p w14:paraId="24B8046F" w14:textId="2F28E430" w:rsidR="00A13366" w:rsidRPr="002D58F1" w:rsidRDefault="00A02577" w:rsidP="00532625">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ערעור שהוגש כנגד פסק הדין נדחה על ידי בית המשפט העליון </w:t>
      </w:r>
      <w:r w:rsidRPr="002D58F1">
        <w:rPr>
          <w:sz w:val="22"/>
          <w:rtl/>
        </w:rPr>
        <w:t xml:space="preserve">עעמ 4560/15 </w:t>
      </w:r>
      <w:r w:rsidRPr="002D58F1">
        <w:rPr>
          <w:b/>
          <w:bCs/>
          <w:sz w:val="22"/>
          <w:rtl/>
        </w:rPr>
        <w:t>הועדה המרחבית לתכנון ובניה שרונים נ' ‏</w:t>
      </w:r>
      <w:r w:rsidRPr="002D58F1">
        <w:rPr>
          <w:b/>
          <w:bCs/>
          <w:sz w:val="20"/>
          <w:szCs w:val="24"/>
        </w:rPr>
        <w:t>ETABLISSEMENT SEMOND</w:t>
      </w:r>
      <w:r w:rsidR="00533714" w:rsidRPr="002D58F1">
        <w:rPr>
          <w:rFonts w:hint="cs"/>
          <w:sz w:val="22"/>
          <w:rtl/>
        </w:rPr>
        <w:t xml:space="preserve"> (נבו)</w:t>
      </w:r>
      <w:r w:rsidR="00BE11F5" w:rsidRPr="002D58F1">
        <w:rPr>
          <w:rFonts w:hint="cs"/>
          <w:sz w:val="22"/>
          <w:rtl/>
        </w:rPr>
        <w:t xml:space="preserve"> </w:t>
      </w:r>
      <w:r w:rsidR="004A6378" w:rsidRPr="002D58F1">
        <w:rPr>
          <w:rFonts w:hint="cs"/>
          <w:sz w:val="22"/>
          <w:rtl/>
        </w:rPr>
        <w:t>ונקבע</w:t>
      </w:r>
      <w:r w:rsidRPr="002D58F1">
        <w:rPr>
          <w:rFonts w:hint="cs"/>
          <w:sz w:val="22"/>
          <w:rtl/>
        </w:rPr>
        <w:t xml:space="preserve">: </w:t>
      </w:r>
      <w:r w:rsidR="004A6378" w:rsidRPr="002D58F1">
        <w:rPr>
          <w:rFonts w:hint="cs"/>
          <w:sz w:val="22"/>
          <w:rtl/>
        </w:rPr>
        <w:t>"</w:t>
      </w:r>
      <w:r w:rsidRPr="002D58F1">
        <w:rPr>
          <w:b/>
          <w:bCs/>
          <w:sz w:val="22"/>
          <w:rtl/>
        </w:rPr>
        <w:t>אנו מקבלים את ממצאיו וקביעותיו של בית המשפט המחוזי במלואם וסבורים כי ההנמקות שעליהן ביסס בית המשפט קמא את פסק דינו נכונות וראויות</w:t>
      </w:r>
      <w:r w:rsidR="004A6378" w:rsidRPr="002D58F1">
        <w:rPr>
          <w:rFonts w:hint="cs"/>
          <w:sz w:val="22"/>
          <w:rtl/>
        </w:rPr>
        <w:t>"</w:t>
      </w:r>
      <w:r w:rsidRPr="002D58F1">
        <w:rPr>
          <w:sz w:val="22"/>
        </w:rPr>
        <w:t>.</w:t>
      </w:r>
    </w:p>
    <w:p w14:paraId="42CE958A" w14:textId="0057B345" w:rsidR="00A02577" w:rsidRPr="002D58F1" w:rsidRDefault="00DB3488"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כך נקבע:</w:t>
      </w:r>
    </w:p>
    <w:p w14:paraId="0F82FF7B" w14:textId="1F88F529" w:rsidR="00A13366" w:rsidRPr="002D58F1" w:rsidRDefault="00183277" w:rsidP="00A13D59">
      <w:pPr>
        <w:spacing w:line="240" w:lineRule="auto"/>
        <w:ind w:left="793" w:right="993" w:firstLine="0"/>
        <w:rPr>
          <w:rFonts w:asciiTheme="minorBidi" w:hAnsiTheme="minorBidi" w:cstheme="minorBidi"/>
          <w:color w:val="000000"/>
          <w:sz w:val="22"/>
          <w:szCs w:val="22"/>
          <w:rtl/>
        </w:rPr>
      </w:pPr>
      <w:r w:rsidRPr="002D58F1">
        <w:rPr>
          <w:rFonts w:asciiTheme="minorBidi" w:hAnsiTheme="minorBidi" w:cstheme="minorBidi" w:hint="cs"/>
          <w:color w:val="000000"/>
          <w:sz w:val="22"/>
          <w:szCs w:val="22"/>
          <w:rtl/>
        </w:rPr>
        <w:lastRenderedPageBreak/>
        <w:t>"</w:t>
      </w:r>
      <w:r w:rsidR="00A13366" w:rsidRPr="002D58F1">
        <w:rPr>
          <w:rFonts w:asciiTheme="minorBidi" w:hAnsiTheme="minorBidi" w:cstheme="minorBidi"/>
          <w:color w:val="000000"/>
          <w:sz w:val="22"/>
          <w:szCs w:val="22"/>
          <w:rtl/>
        </w:rPr>
        <w:t>בהתאם להוראות </w:t>
      </w:r>
      <w:hyperlink r:id="rId11" w:history="1">
        <w:r w:rsidR="00A13366" w:rsidRPr="002D58F1">
          <w:rPr>
            <w:rFonts w:asciiTheme="minorBidi" w:hAnsiTheme="minorBidi" w:cstheme="minorBidi"/>
            <w:color w:val="000000"/>
            <w:sz w:val="22"/>
            <w:szCs w:val="22"/>
            <w:rtl/>
          </w:rPr>
          <w:t>התוספת השלישית</w:t>
        </w:r>
      </w:hyperlink>
      <w:r w:rsidR="00A13366" w:rsidRPr="002D58F1">
        <w:rPr>
          <w:rFonts w:asciiTheme="minorBidi" w:hAnsiTheme="minorBidi" w:cstheme="minorBidi"/>
          <w:color w:val="000000"/>
          <w:sz w:val="22"/>
          <w:szCs w:val="22"/>
          <w:rtl/>
        </w:rPr>
        <w:t>, עם אישורה של תכנית משביחה חלה על הועדה</w:t>
      </w:r>
      <w:r w:rsidR="00345099" w:rsidRPr="002D58F1">
        <w:rPr>
          <w:rFonts w:asciiTheme="minorBidi" w:hAnsiTheme="minorBidi" w:cstheme="minorBidi" w:hint="cs"/>
          <w:color w:val="000000"/>
          <w:sz w:val="22"/>
          <w:szCs w:val="22"/>
          <w:rtl/>
        </w:rPr>
        <w:t xml:space="preserve"> </w:t>
      </w:r>
      <w:r w:rsidR="00A13366" w:rsidRPr="002D58F1">
        <w:rPr>
          <w:rFonts w:asciiTheme="minorBidi" w:hAnsiTheme="minorBidi" w:cstheme="minorBidi"/>
          <w:color w:val="000000"/>
          <w:sz w:val="22"/>
          <w:szCs w:val="22"/>
          <w:rtl/>
        </w:rPr>
        <w:t>המקומית החובה לערוך לוח שומה, בו יפרט שמאי המקרקעין אילו מקרקעין הושבחו עקב התכנית ובאיזה שיעור. </w:t>
      </w:r>
      <w:hyperlink r:id="rId12" w:history="1">
        <w:r w:rsidR="00A13366" w:rsidRPr="002D58F1">
          <w:rPr>
            <w:rFonts w:asciiTheme="minorBidi" w:hAnsiTheme="minorBidi" w:cstheme="minorBidi"/>
            <w:color w:val="000000"/>
            <w:sz w:val="22"/>
            <w:szCs w:val="22"/>
            <w:rtl/>
          </w:rPr>
          <w:t>סעיף 4(1)</w:t>
        </w:r>
      </w:hyperlink>
      <w:r w:rsidR="00A13366" w:rsidRPr="002D58F1">
        <w:rPr>
          <w:rFonts w:asciiTheme="minorBidi" w:hAnsiTheme="minorBidi" w:cstheme="minorBidi"/>
          <w:color w:val="000000"/>
          <w:sz w:val="22"/>
          <w:szCs w:val="22"/>
          <w:rtl/>
        </w:rPr>
        <w:t> לתוספת השלישית מסמיך את הועדה לקבל החלטה לדחות את עריכת השומה עד למימוש הזכויות במקרקעין בהם חלה ההשבחה. החלטה כזו מאפשרת לוועדה המקומית להימנע מתשלום הוצאות רבות על חשבון הקופה הציבורית במימון שכר טרחת השמאים העורכים את לוח השומה, בייחוד לאור הוראת </w:t>
      </w:r>
      <w:hyperlink r:id="rId13" w:history="1">
        <w:r w:rsidR="00A13366" w:rsidRPr="002D58F1">
          <w:rPr>
            <w:rFonts w:asciiTheme="minorBidi" w:hAnsiTheme="minorBidi" w:cstheme="minorBidi"/>
            <w:color w:val="000000"/>
            <w:sz w:val="22"/>
            <w:szCs w:val="22"/>
            <w:rtl/>
          </w:rPr>
          <w:t>סעיף 7(א)</w:t>
        </w:r>
      </w:hyperlink>
      <w:r w:rsidR="00A13366" w:rsidRPr="002D58F1">
        <w:rPr>
          <w:rFonts w:asciiTheme="minorBidi" w:hAnsiTheme="minorBidi" w:cstheme="minorBidi"/>
          <w:color w:val="000000"/>
          <w:sz w:val="22"/>
          <w:szCs w:val="22"/>
          <w:rtl/>
        </w:rPr>
        <w:t> לתוספת השלישית המאפשר לבעל הזכות לדחות את התשלום עד למימוש הזכויות לגביהן חל ההיטל. סעיף זה, נותן ביטוי ל"עקרון המימוש" בדיני מיסים, לפיו למרות שאירוע המס מתרחש ביום אישורה של התכנית המשביחה, ניתנת אפשרות לנישום לשלם את ההיטל במועד מאוחר יותר, הוא מועד מימוש הזכות על ידי מכירת המקרקעין או קבלת היתר בניה, בו "נפגש" הנישום לראשונה עם הכסף ויש בידו לשלם את היטל ההשבחה (ראה: אהרן </w:t>
      </w:r>
      <w:hyperlink r:id="rId14" w:history="1">
        <w:r w:rsidR="00A13366" w:rsidRPr="002D58F1">
          <w:rPr>
            <w:rFonts w:asciiTheme="minorBidi" w:hAnsiTheme="minorBidi" w:cstheme="minorBidi"/>
            <w:color w:val="000000"/>
            <w:sz w:val="22"/>
            <w:szCs w:val="22"/>
            <w:rtl/>
          </w:rPr>
          <w:t>נמדר, היטל השבחה</w:t>
        </w:r>
      </w:hyperlink>
      <w:r w:rsidR="00A13366" w:rsidRPr="002D58F1">
        <w:rPr>
          <w:rFonts w:asciiTheme="minorBidi" w:hAnsiTheme="minorBidi" w:cstheme="minorBidi"/>
          <w:color w:val="000000"/>
          <w:sz w:val="22"/>
          <w:szCs w:val="22"/>
          <w:rtl/>
        </w:rPr>
        <w:t> [תשע"ב-2011] בעמ' 384 [להלן:"פרופ' נמדר"]).</w:t>
      </w:r>
    </w:p>
    <w:p w14:paraId="1FBF55B2" w14:textId="4E0BCA7A" w:rsidR="00A13366" w:rsidRPr="002D58F1" w:rsidRDefault="00A13366" w:rsidP="00A13D59">
      <w:pPr>
        <w:spacing w:line="240" w:lineRule="auto"/>
        <w:ind w:left="793" w:right="993"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23.  אולם, גם מקום בו החליטה הועדה לדחות את עריכת השומה למועד מימוש הזכויות, סעיף</w:t>
      </w:r>
      <w:r w:rsidR="009C6D43" w:rsidRPr="002D58F1">
        <w:rPr>
          <w:rFonts w:hint="cs"/>
          <w:rtl/>
        </w:rPr>
        <w:t xml:space="preserve"> 4(4)</w:t>
      </w:r>
      <w:r w:rsidRPr="002D58F1">
        <w:rPr>
          <w:rFonts w:asciiTheme="minorBidi" w:hAnsiTheme="minorBidi" w:cstheme="minorBidi"/>
          <w:color w:val="000000"/>
          <w:sz w:val="22"/>
          <w:szCs w:val="22"/>
          <w:rtl/>
        </w:rPr>
        <w:t> לתוספת השלישית מאפשר לבעל מקרקעין לדרוש את עריכת השומה טרם מימוש הזכויות ולשלמה מיד. במקרה כזה, על הוועדה מוטלת חובה לערוך את השומה ולהעבירה לידי המבקש בתוך 90 ימים. מקורה של זכות זו נובע מהבנת המחוקק כי דחייתה של עריכת שומת ההשבחה למועד מימוש הזכויות, ובייחוד אם מימוש הזכויות נעשה תקופה ארוכה לאחר אישור התכנית, עלולה להביא להפרשי הצמדה גבוהים ולהכביד עוד יותר את נטל המס המוטל על הנישום.</w:t>
      </w:r>
    </w:p>
    <w:p w14:paraId="4106B133" w14:textId="3563965E" w:rsidR="00A13366" w:rsidRPr="002D58F1" w:rsidRDefault="00A13366" w:rsidP="00A13D59">
      <w:pPr>
        <w:spacing w:line="240" w:lineRule="auto"/>
        <w:ind w:left="793" w:right="993"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24. עיקר המחלוקת בעניין זה נוגע לשאלה האם דרישתו של בעל המקרקעין לעריכת השומות</w:t>
      </w:r>
      <w:r w:rsidR="00DB6C66" w:rsidRPr="002D58F1">
        <w:rPr>
          <w:rFonts w:asciiTheme="minorBidi" w:hAnsiTheme="minorBidi" w:cstheme="minorBidi"/>
          <w:color w:val="000000"/>
          <w:sz w:val="22"/>
          <w:szCs w:val="22"/>
        </w:rPr>
        <w:t xml:space="preserve"> </w:t>
      </w:r>
      <w:r w:rsidRPr="002D58F1">
        <w:rPr>
          <w:rFonts w:asciiTheme="minorBidi" w:hAnsiTheme="minorBidi" w:cstheme="minorBidi"/>
          <w:color w:val="000000"/>
          <w:sz w:val="22"/>
          <w:szCs w:val="22"/>
          <w:rtl/>
        </w:rPr>
        <w:t>לצורך  תשלומן, מטילה עליו את החובה לתשלום מידי של ההיטל, ובידי הוועדה את הזכות לעכב מסירת השומות עד לקבלת התחייבות מצידו כי ישלם את ההיטל מיד עם קבלתן. אליבא דוועדה, אין המחוקק משחית מילותיו לריק, ומשבחר לכתוב את המילה "מיד" ולא בחר בנוסח אחר, זוהי כוונתו היחידה ואין לתת לסעיף פירוש מעבר ללשונו.</w:t>
      </w:r>
    </w:p>
    <w:p w14:paraId="0C9E6AC3" w14:textId="2E94512C" w:rsidR="00A13366" w:rsidRPr="002D58F1" w:rsidRDefault="00A13366" w:rsidP="00A13D59">
      <w:pPr>
        <w:spacing w:line="240" w:lineRule="auto"/>
        <w:ind w:left="793" w:right="993"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 אין בידי לקבל טענה זו. בחינת תכליתו של הסדר תשלום היטל ההשבחה בכללותו וההסדר </w:t>
      </w:r>
      <w:hyperlink r:id="rId15" w:history="1">
        <w:r w:rsidRPr="002D58F1">
          <w:rPr>
            <w:rFonts w:asciiTheme="minorBidi" w:hAnsiTheme="minorBidi" w:cstheme="minorBidi"/>
            <w:color w:val="000000"/>
            <w:sz w:val="22"/>
            <w:szCs w:val="22"/>
            <w:rtl/>
          </w:rPr>
          <w:t>בסעיף 4(4)</w:t>
        </w:r>
      </w:hyperlink>
      <w:r w:rsidRPr="002D58F1">
        <w:rPr>
          <w:rFonts w:asciiTheme="minorBidi" w:hAnsiTheme="minorBidi" w:cstheme="minorBidi"/>
          <w:color w:val="000000"/>
          <w:sz w:val="22"/>
          <w:szCs w:val="22"/>
          <w:rtl/>
        </w:rPr>
        <w:t> לתוספת השלישית בפרט, מביאה למסקנה כי בבסיס הסדרים אלו נמצאת זכותו החוקית של הנישום לדחיית תשלום היטל ההשבחה למועד מימוש הזכויות. זכות זו נלמדת גם מהאפשרות העומדת לנישום לשלם מקדמה על חשבון היטל ההשבחה עוד לפני קביעת השומה לפי </w:t>
      </w:r>
      <w:hyperlink r:id="rId16" w:history="1">
        <w:r w:rsidRPr="002D58F1">
          <w:rPr>
            <w:rFonts w:asciiTheme="minorBidi" w:hAnsiTheme="minorBidi" w:cstheme="minorBidi"/>
            <w:color w:val="000000"/>
            <w:sz w:val="22"/>
            <w:szCs w:val="22"/>
            <w:rtl/>
          </w:rPr>
          <w:t>סעיף 7(א)</w:t>
        </w:r>
      </w:hyperlink>
      <w:r w:rsidRPr="002D58F1">
        <w:rPr>
          <w:rFonts w:asciiTheme="minorBidi" w:hAnsiTheme="minorBidi" w:cstheme="minorBidi"/>
          <w:color w:val="000000"/>
          <w:sz w:val="22"/>
          <w:szCs w:val="22"/>
          <w:rtl/>
        </w:rPr>
        <w:t> לתוספת השלישית, ובכך להפחית את היטל ההשבחה אשר ישלם בעת מימוש הזכויות, במידה ויבחר בכך, ולהימנע מתשלום הפרשי הצמדה על היטל ההשבחה. למעשה, לבעל מקרקעין האפשרות להחליט על מועד תשלום היטל ההשבחה בו הוא חייב ועל הרשות לספק לו את המידע הרלוונטי לקבלת החלטה זו. השופט חשין עמד על מהותה של הזכות ב</w:t>
      </w:r>
      <w:hyperlink r:id="rId17" w:history="1">
        <w:r w:rsidRPr="002D58F1">
          <w:rPr>
            <w:rFonts w:asciiTheme="minorBidi" w:hAnsiTheme="minorBidi" w:cstheme="minorBidi"/>
            <w:color w:val="000000"/>
            <w:sz w:val="22"/>
            <w:szCs w:val="22"/>
            <w:rtl/>
          </w:rPr>
          <w:t>דנ"א 3768/98 קריית בית הכרם בע"מ נ' הועדה המקומית לתכנון ובניה, ירושלים, פ"ד נו</w:t>
        </w:r>
      </w:hyperlink>
      <w:r w:rsidRPr="002D58F1">
        <w:rPr>
          <w:rFonts w:asciiTheme="minorBidi" w:hAnsiTheme="minorBidi" w:cstheme="minorBidi"/>
          <w:color w:val="000000"/>
          <w:sz w:val="22"/>
          <w:szCs w:val="22"/>
          <w:rtl/>
        </w:rPr>
        <w:t>(5) 49, 78 :</w:t>
      </w:r>
    </w:p>
    <w:p w14:paraId="2324A070" w14:textId="0AFACB45" w:rsidR="00A13366" w:rsidRPr="002D58F1" w:rsidRDefault="00A13366" w:rsidP="00A13D59">
      <w:pPr>
        <w:spacing w:line="240" w:lineRule="auto"/>
        <w:ind w:left="793" w:right="993" w:firstLine="0"/>
        <w:rPr>
          <w:rFonts w:asciiTheme="minorBidi" w:hAnsiTheme="minorBidi" w:cstheme="minorBidi"/>
          <w:color w:val="000000"/>
          <w:sz w:val="22"/>
          <w:szCs w:val="22"/>
        </w:rPr>
      </w:pPr>
      <w:r w:rsidRPr="002D58F1">
        <w:rPr>
          <w:rFonts w:asciiTheme="minorBidi" w:hAnsiTheme="minorBidi" w:cstheme="minorBidi"/>
          <w:color w:val="000000"/>
          <w:sz w:val="22"/>
          <w:szCs w:val="22"/>
          <w:rtl/>
        </w:rPr>
        <w:t> "היטל השבחה מוטל על השבחת-תכנון, ואך-ורק על השבחת-תכנון. שוויים של מקרקעין יכול שיעלה מטעמים שאינם טעמי-תכנון, אך על השבחה זו אין מוטל היטל השבחה. אכן, "השבחה" כהגדרתה בסעיף 1 לתוספת השלישית היא עליית שוויים של מקרקעין "עקב" אישור תכנית, מתן הקלה או התרת שימוש חורג. כל תכנית תכנון משביחה והשבחתה-שלה, ובעל הזכויות זכאי לשלם היטל השבחה בעקבותיה של תכנית משביחה פלונית – מבין תכניות אחדות – בכל עת שיחפץ, אף שלא בא למימוש הזכויות (ראו סעיף 4(4) לתוספת)" (ההדגשה שלי- ז.ב.).</w:t>
      </w:r>
    </w:p>
    <w:p w14:paraId="6C5F60B9" w14:textId="50A09C6C" w:rsidR="00A13366" w:rsidRPr="002D58F1" w:rsidRDefault="00A13366" w:rsidP="00A13D59">
      <w:pPr>
        <w:spacing w:line="240" w:lineRule="auto"/>
        <w:ind w:left="793" w:right="993" w:firstLine="0"/>
        <w:rPr>
          <w:rFonts w:asciiTheme="minorBidi" w:hAnsiTheme="minorBidi" w:cstheme="minorBidi"/>
          <w:b/>
          <w:bCs/>
          <w:color w:val="000000"/>
          <w:sz w:val="22"/>
          <w:szCs w:val="22"/>
          <w:u w:val="single"/>
          <w:rtl/>
        </w:rPr>
      </w:pPr>
      <w:r w:rsidRPr="002D58F1">
        <w:rPr>
          <w:rFonts w:asciiTheme="minorBidi" w:hAnsiTheme="minorBidi" w:cstheme="minorBidi"/>
          <w:b/>
          <w:bCs/>
          <w:color w:val="000000"/>
          <w:sz w:val="22"/>
          <w:szCs w:val="22"/>
          <w:u w:val="single"/>
        </w:rPr>
        <w:t> </w:t>
      </w:r>
      <w:r w:rsidRPr="002D58F1">
        <w:rPr>
          <w:rFonts w:asciiTheme="minorBidi" w:hAnsiTheme="minorBidi" w:cstheme="minorBidi"/>
          <w:b/>
          <w:bCs/>
          <w:color w:val="000000"/>
          <w:sz w:val="22"/>
          <w:szCs w:val="22"/>
          <w:u w:val="single"/>
          <w:rtl/>
        </w:rPr>
        <w:t>25.  מנגד, על הרשות המקומית קיימת החובה לייצר את המידע אודות חבות בהיטל השבחה של</w:t>
      </w:r>
      <w:r w:rsidR="00C70574" w:rsidRPr="002D58F1">
        <w:rPr>
          <w:rFonts w:asciiTheme="minorBidi" w:hAnsiTheme="minorBidi" w:cstheme="minorBidi" w:hint="cs"/>
          <w:b/>
          <w:bCs/>
          <w:color w:val="000000"/>
          <w:sz w:val="22"/>
          <w:szCs w:val="22"/>
          <w:u w:val="single"/>
          <w:rtl/>
        </w:rPr>
        <w:t xml:space="preserve"> </w:t>
      </w:r>
      <w:r w:rsidRPr="002D58F1">
        <w:rPr>
          <w:rFonts w:asciiTheme="minorBidi" w:hAnsiTheme="minorBidi" w:cstheme="minorBidi"/>
          <w:b/>
          <w:bCs/>
          <w:color w:val="000000"/>
          <w:sz w:val="22"/>
          <w:szCs w:val="22"/>
          <w:u w:val="single"/>
          <w:rtl/>
        </w:rPr>
        <w:t xml:space="preserve">מקרקעין הנמצאים ברשותה בעקבות תכנית מאושרת, זאת באמצעות לוח שומה שנערך על ידי שמאי מקרקעין מטעמה. אמנם, יש בידה לדחות את עריכת לוח השומה עד למועד מימוש הזכויות, אך </w:t>
      </w:r>
      <w:r w:rsidRPr="002D58F1">
        <w:rPr>
          <w:rFonts w:asciiTheme="minorBidi" w:hAnsiTheme="minorBidi" w:cstheme="minorBidi"/>
          <w:b/>
          <w:bCs/>
          <w:color w:val="000000"/>
          <w:sz w:val="22"/>
          <w:szCs w:val="22"/>
          <w:u w:val="single"/>
          <w:rtl/>
        </w:rPr>
        <w:lastRenderedPageBreak/>
        <w:t>אפשרות זו מסויגת מקום בו בעל המקרקעין דורש ממנה לערוך את השומה לפי </w:t>
      </w:r>
      <w:hyperlink r:id="rId18" w:history="1">
        <w:r w:rsidRPr="002D58F1">
          <w:rPr>
            <w:rFonts w:asciiTheme="minorBidi" w:hAnsiTheme="minorBidi" w:cstheme="minorBidi"/>
            <w:b/>
            <w:bCs/>
            <w:color w:val="000000"/>
            <w:sz w:val="22"/>
            <w:szCs w:val="22"/>
            <w:u w:val="single"/>
            <w:rtl/>
          </w:rPr>
          <w:t>סעיף 4(4)</w:t>
        </w:r>
      </w:hyperlink>
      <w:r w:rsidRPr="002D58F1">
        <w:rPr>
          <w:rFonts w:asciiTheme="minorBidi" w:hAnsiTheme="minorBidi" w:cstheme="minorBidi"/>
          <w:b/>
          <w:bCs/>
          <w:color w:val="000000"/>
          <w:sz w:val="22"/>
          <w:szCs w:val="22"/>
          <w:u w:val="single"/>
          <w:rtl/>
        </w:rPr>
        <w:t> לתוספת השלישית. לאור זכותו החוקית של הנישום לדחות את התשלום מחד גיסא וחובתה של הרשות לערוך את השומה מאידך גיסא, המסקנה המתחייבת היא כי בידי הנישום האפשרות לבקש את עריכת השומה לפי הסעיף, ולהחליט בסופו של יום לשלם שומות אלו רק במועד מימוש הזכויות. יפים לעניין זה דבריו של פרופ' נמדר בספרו לעיל</w:t>
      </w:r>
      <w:r w:rsidR="00183277" w:rsidRPr="002D58F1">
        <w:rPr>
          <w:rFonts w:asciiTheme="minorBidi" w:hAnsiTheme="minorBidi" w:cstheme="minorBidi" w:hint="cs"/>
          <w:b/>
          <w:bCs/>
          <w:color w:val="000000"/>
          <w:sz w:val="22"/>
          <w:szCs w:val="22"/>
          <w:u w:val="single"/>
          <w:rtl/>
        </w:rPr>
        <w:t>:</w:t>
      </w:r>
    </w:p>
    <w:p w14:paraId="220E7FC9" w14:textId="77777777" w:rsidR="00A13366" w:rsidRPr="002D58F1" w:rsidRDefault="00A13366" w:rsidP="00A13D59">
      <w:pPr>
        <w:spacing w:line="240" w:lineRule="auto"/>
        <w:ind w:left="793" w:right="993" w:firstLine="0"/>
        <w:rPr>
          <w:rFonts w:asciiTheme="minorBidi" w:hAnsiTheme="minorBidi" w:cstheme="minorBidi"/>
          <w:color w:val="000000"/>
          <w:sz w:val="22"/>
          <w:szCs w:val="22"/>
        </w:rPr>
      </w:pPr>
      <w:r w:rsidRPr="002D58F1">
        <w:rPr>
          <w:rFonts w:asciiTheme="minorBidi" w:hAnsiTheme="minorBidi" w:cstheme="minorBidi"/>
          <w:color w:val="000000"/>
          <w:sz w:val="22"/>
          <w:szCs w:val="22"/>
          <w:rtl/>
        </w:rPr>
        <w:t>" </w:t>
      </w:r>
      <w:r w:rsidRPr="002D58F1">
        <w:rPr>
          <w:rFonts w:asciiTheme="minorBidi" w:hAnsiTheme="minorBidi" w:cstheme="minorBidi"/>
          <w:b/>
          <w:bCs/>
          <w:color w:val="000000"/>
          <w:sz w:val="22"/>
          <w:szCs w:val="22"/>
          <w:u w:val="single"/>
          <w:rtl/>
        </w:rPr>
        <w:t>משנתקבלה דרישה כזו מאת החייב, מוטלת חובה על הועדה לערוך את שומת ההשבחה לגבי מקרקעיו תוך תשעים ימים כדי שהוא יכול לשלמו. נראה כי אם הוועדה אכן ערכה את השומה והגישה אותה לבעל המקרקעין, ובינתיים הוא מתחרט ורוצה בכל זאת לדחות את תשלום ההיטל למועד מימוש הזכויות כי הדבר יהיה בידו לעשותו. אין לשכוח כי הזכות החוקית של הנישום הינה לדחות את תשלום ההיטל למועד מימוש הזכויות, וזכות זו לא תיפגע גם אם הוא בינתיים הצליח להפעיל את מנגנון עריכת השומה לגביו. הדבר דומה למקרה בו פורסמה לוח שומה והנישום רוצה לדחות את תשלום ההיטל למועד מימוש הזכויות- דבר שיש בידו לעשות"</w:t>
      </w:r>
      <w:r w:rsidRPr="002D58F1">
        <w:rPr>
          <w:rFonts w:asciiTheme="minorBidi" w:hAnsiTheme="minorBidi" w:cstheme="minorBidi"/>
          <w:color w:val="000000"/>
          <w:sz w:val="22"/>
          <w:szCs w:val="22"/>
          <w:rtl/>
        </w:rPr>
        <w:t> (שם, בעמ' 333) (ההדגשה שלי- ז.ב.).</w:t>
      </w:r>
    </w:p>
    <w:p w14:paraId="32525027" w14:textId="58CC44C9" w:rsidR="00A13366" w:rsidRPr="002D58F1" w:rsidRDefault="00A13366" w:rsidP="00A13D59">
      <w:pPr>
        <w:spacing w:line="240" w:lineRule="auto"/>
        <w:ind w:left="793" w:right="993"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Pr>
        <w:t> </w:t>
      </w:r>
      <w:r w:rsidR="002D5B59" w:rsidRPr="002D58F1">
        <w:rPr>
          <w:rFonts w:asciiTheme="minorBidi" w:hAnsiTheme="minorBidi" w:cstheme="minorBidi" w:hint="cs"/>
          <w:color w:val="000000"/>
          <w:sz w:val="22"/>
          <w:szCs w:val="22"/>
          <w:rtl/>
        </w:rPr>
        <w:t>..............</w:t>
      </w:r>
    </w:p>
    <w:p w14:paraId="2F9B50E6" w14:textId="553B7771" w:rsidR="00A13366" w:rsidRPr="002D58F1" w:rsidRDefault="00A13366" w:rsidP="00A13D59">
      <w:pPr>
        <w:spacing w:line="240" w:lineRule="auto"/>
        <w:ind w:left="793" w:right="993"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27.    במקרה דנן, אין חולק כי העותר ביקש מן הוועדה לערוך שומות השבחה עבור מקרקעיו טרם</w:t>
      </w:r>
      <w:r w:rsidR="002D5B59" w:rsidRPr="002D58F1">
        <w:rPr>
          <w:rFonts w:asciiTheme="minorBidi" w:hAnsiTheme="minorBidi" w:cstheme="minorBidi" w:hint="cs"/>
          <w:color w:val="000000"/>
          <w:sz w:val="22"/>
          <w:szCs w:val="22"/>
          <w:rtl/>
        </w:rPr>
        <w:t xml:space="preserve"> </w:t>
      </w:r>
      <w:r w:rsidRPr="002D58F1">
        <w:rPr>
          <w:rFonts w:asciiTheme="minorBidi" w:hAnsiTheme="minorBidi" w:cstheme="minorBidi"/>
          <w:color w:val="000000"/>
          <w:sz w:val="22"/>
          <w:szCs w:val="22"/>
          <w:rtl/>
        </w:rPr>
        <w:t>מימוש זכויותיו במקרקעין, זאת לצורך חישוב כדאיות עסקאות אפשריות בהן (נספחים 4 ו-9 לעתירה). הוועדה הייתה מודעת לכוונותיו של העותר מן הרגע הראשון, ובשל כך התבקש על ידה לשלם מקדמה על חשבון היטל ההשבחה שייקבע  כדי לכסות את שכר טרחת השמאי והוצאות נוספות הכרוכות בעריכת השומות, כנהוג לדבריה במקרים בהם הנישום מבקש לברר את גובה ההיטל שלא על דרך של מימוש (נספחים 5 ו-6 לעתירה).</w:t>
      </w:r>
    </w:p>
    <w:p w14:paraId="1BD18385" w14:textId="2F77A5F7" w:rsidR="00A13366" w:rsidRPr="002D58F1" w:rsidRDefault="00A13366" w:rsidP="00A13D59">
      <w:pPr>
        <w:spacing w:line="240" w:lineRule="auto"/>
        <w:ind w:left="793" w:right="993"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Pr>
        <w:t> </w:t>
      </w:r>
      <w:r w:rsidR="00B8028B" w:rsidRPr="002D58F1">
        <w:rPr>
          <w:rFonts w:asciiTheme="minorBidi" w:hAnsiTheme="minorBidi" w:cstheme="minorBidi" w:hint="cs"/>
          <w:color w:val="000000"/>
          <w:sz w:val="22"/>
          <w:szCs w:val="22"/>
          <w:rtl/>
        </w:rPr>
        <w:t>.......</w:t>
      </w:r>
    </w:p>
    <w:p w14:paraId="4FAF36B2" w14:textId="4178B216" w:rsidR="00A13366" w:rsidRPr="002D58F1" w:rsidRDefault="00A13366" w:rsidP="00A13D59">
      <w:pPr>
        <w:spacing w:line="240" w:lineRule="auto"/>
        <w:ind w:left="793" w:right="993"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לאור כל האמור לעיל, ובפרט בשל זכותו הבסיסית של הנישום לבחור את מועד תשלום ההיטל וחובת הרשות להעמיד לעיונו את שומת ההיטל החל בעניינו, מחויבת הוועדה להעביר את השומות לידי העותר והיא אינה רשאית לעכבן בידה עד לתשלום ההיטלים במלואם.</w:t>
      </w:r>
      <w:r w:rsidR="00183277" w:rsidRPr="002D58F1">
        <w:rPr>
          <w:rFonts w:asciiTheme="minorBidi" w:hAnsiTheme="minorBidi" w:cstheme="minorBidi" w:hint="cs"/>
          <w:color w:val="000000"/>
          <w:sz w:val="22"/>
          <w:szCs w:val="22"/>
          <w:rtl/>
        </w:rPr>
        <w:t>"</w:t>
      </w:r>
    </w:p>
    <w:p w14:paraId="4E54BE13" w14:textId="3D076201" w:rsidR="007B464A" w:rsidRPr="002D58F1" w:rsidRDefault="007B464A" w:rsidP="00A13D59">
      <w:pPr>
        <w:spacing w:line="240" w:lineRule="auto"/>
        <w:ind w:left="793" w:right="993" w:firstLine="0"/>
        <w:rPr>
          <w:rFonts w:asciiTheme="minorBidi" w:hAnsiTheme="minorBidi" w:cstheme="minorBidi"/>
          <w:color w:val="000000"/>
          <w:sz w:val="22"/>
          <w:szCs w:val="22"/>
          <w:rtl/>
        </w:rPr>
      </w:pPr>
      <w:r w:rsidRPr="002D58F1">
        <w:rPr>
          <w:rFonts w:asciiTheme="minorBidi" w:hAnsiTheme="minorBidi" w:cstheme="minorBidi" w:hint="cs"/>
          <w:color w:val="000000"/>
          <w:sz w:val="22"/>
          <w:szCs w:val="22"/>
          <w:rtl/>
        </w:rPr>
        <w:t>(ההדגשות אינן במקור)</w:t>
      </w:r>
    </w:p>
    <w:p w14:paraId="36288EAD" w14:textId="299A43CF" w:rsidR="00A13366" w:rsidRPr="002D58F1" w:rsidRDefault="00A13366" w:rsidP="00A13D59">
      <w:pPr>
        <w:pStyle w:val="ListParagraph"/>
        <w:numPr>
          <w:ilvl w:val="0"/>
          <w:numId w:val="4"/>
        </w:numPr>
        <w:spacing w:before="0" w:after="160" w:line="360" w:lineRule="auto"/>
        <w:ind w:left="226" w:hanging="425"/>
        <w:contextualSpacing w:val="0"/>
        <w:rPr>
          <w:sz w:val="22"/>
          <w:rtl/>
        </w:rPr>
      </w:pPr>
      <w:r w:rsidRPr="002D58F1">
        <w:rPr>
          <w:sz w:val="22"/>
        </w:rPr>
        <w:t> </w:t>
      </w:r>
      <w:r w:rsidR="00C70574" w:rsidRPr="002D58F1">
        <w:rPr>
          <w:rFonts w:hint="cs"/>
          <w:sz w:val="22"/>
          <w:rtl/>
        </w:rPr>
        <w:t xml:space="preserve">מהאמור בפסק הדין עולה, כי שעה שביקש בעל מקרקעין את עריכת השומה עם אישורה של התכנית, </w:t>
      </w:r>
      <w:r w:rsidR="00094866" w:rsidRPr="002D58F1">
        <w:rPr>
          <w:rFonts w:hint="cs"/>
          <w:b/>
          <w:bCs/>
          <w:sz w:val="22"/>
          <w:u w:val="single"/>
          <w:rtl/>
        </w:rPr>
        <w:t>מחויבת</w:t>
      </w:r>
      <w:r w:rsidR="00C70574" w:rsidRPr="002D58F1">
        <w:rPr>
          <w:rFonts w:hint="cs"/>
          <w:b/>
          <w:bCs/>
          <w:sz w:val="22"/>
          <w:u w:val="single"/>
          <w:rtl/>
        </w:rPr>
        <w:t xml:space="preserve"> הוועדה המקומית להפיק שומה כאמור </w:t>
      </w:r>
      <w:r w:rsidR="00C70574" w:rsidRPr="002D58F1">
        <w:rPr>
          <w:b/>
          <w:bCs/>
          <w:sz w:val="22"/>
          <w:rtl/>
        </w:rPr>
        <w:t>–</w:t>
      </w:r>
      <w:r w:rsidR="00C70574" w:rsidRPr="002D58F1">
        <w:rPr>
          <w:rFonts w:hint="cs"/>
          <w:b/>
          <w:bCs/>
          <w:sz w:val="22"/>
          <w:rtl/>
        </w:rPr>
        <w:t xml:space="preserve"> "והיא אינה רש</w:t>
      </w:r>
      <w:r w:rsidR="00A13D59" w:rsidRPr="002D58F1">
        <w:rPr>
          <w:rFonts w:hint="cs"/>
          <w:b/>
          <w:bCs/>
          <w:sz w:val="22"/>
          <w:rtl/>
        </w:rPr>
        <w:t>א</w:t>
      </w:r>
      <w:r w:rsidR="00C70574" w:rsidRPr="002D58F1">
        <w:rPr>
          <w:rFonts w:hint="cs"/>
          <w:b/>
          <w:bCs/>
          <w:sz w:val="22"/>
          <w:rtl/>
        </w:rPr>
        <w:t>ית לעכבן בידה עד לתשלום ההיטלים במלואם".</w:t>
      </w:r>
    </w:p>
    <w:p w14:paraId="691C0E9D" w14:textId="3649F8DA" w:rsidR="00C70574" w:rsidRPr="002D58F1" w:rsidRDefault="00DA4F72" w:rsidP="00C440EC">
      <w:pPr>
        <w:rPr>
          <w:b/>
          <w:bCs/>
          <w:sz w:val="24"/>
          <w:szCs w:val="24"/>
          <w:u w:val="single"/>
          <w:rtl/>
        </w:rPr>
      </w:pPr>
      <w:r w:rsidRPr="002D58F1">
        <w:rPr>
          <w:rFonts w:hint="cs"/>
          <w:b/>
          <w:bCs/>
          <w:sz w:val="24"/>
          <w:szCs w:val="24"/>
          <w:u w:val="single"/>
          <w:rtl/>
        </w:rPr>
        <w:t>מן הכלל אל הפרט</w:t>
      </w:r>
    </w:p>
    <w:p w14:paraId="4EDC8116" w14:textId="08F274DE" w:rsidR="00DA4F72" w:rsidRPr="002D58F1" w:rsidRDefault="00DA4F72"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בענייננו עסקינן בשומה מוסכמת, ש</w:t>
      </w:r>
      <w:r w:rsidR="00F85C42" w:rsidRPr="002D58F1">
        <w:rPr>
          <w:rFonts w:hint="cs"/>
          <w:sz w:val="22"/>
          <w:rtl/>
        </w:rPr>
        <w:t>נ</w:t>
      </w:r>
      <w:r w:rsidRPr="002D58F1">
        <w:rPr>
          <w:rFonts w:hint="cs"/>
          <w:sz w:val="22"/>
          <w:rtl/>
        </w:rPr>
        <w:t xml:space="preserve">ערכה על ידי הצדדים במועד שנדמה היה להם כסמוך לאישור התכנית. </w:t>
      </w:r>
    </w:p>
    <w:p w14:paraId="75B080AE" w14:textId="1BC25FEC" w:rsidR="00E22C21" w:rsidRPr="002D58F1" w:rsidRDefault="008D7A57" w:rsidP="003E4808">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הווי אומר, </w:t>
      </w:r>
      <w:bookmarkStart w:id="6" w:name="_Hlk194996801"/>
      <w:r w:rsidRPr="002D58F1">
        <w:rPr>
          <w:rFonts w:hint="cs"/>
          <w:sz w:val="22"/>
          <w:rtl/>
        </w:rPr>
        <w:t xml:space="preserve">אין חולק כי הצדדים, הן הוועדה המקומית והן </w:t>
      </w:r>
      <w:r w:rsidR="00F85C42" w:rsidRPr="002D58F1">
        <w:rPr>
          <w:rFonts w:hint="cs"/>
          <w:sz w:val="22"/>
          <w:rtl/>
        </w:rPr>
        <w:t>העוררת</w:t>
      </w:r>
      <w:r w:rsidRPr="002D58F1">
        <w:rPr>
          <w:rFonts w:hint="cs"/>
          <w:sz w:val="22"/>
          <w:rtl/>
        </w:rPr>
        <w:t xml:space="preserve">, הסכימו כי עריכת השומה </w:t>
      </w:r>
      <w:r w:rsidRPr="002D58F1">
        <w:rPr>
          <w:rFonts w:hint="cs"/>
          <w:b/>
          <w:bCs/>
          <w:sz w:val="22"/>
          <w:u w:val="single"/>
          <w:rtl/>
        </w:rPr>
        <w:t>לא תדחה לעת מימוש הזכ</w:t>
      </w:r>
      <w:r w:rsidR="00D62D43" w:rsidRPr="002D58F1">
        <w:rPr>
          <w:rFonts w:hint="cs"/>
          <w:b/>
          <w:bCs/>
          <w:sz w:val="22"/>
          <w:u w:val="single"/>
          <w:rtl/>
        </w:rPr>
        <w:t>ו</w:t>
      </w:r>
      <w:r w:rsidRPr="002D58F1">
        <w:rPr>
          <w:rFonts w:hint="cs"/>
          <w:b/>
          <w:bCs/>
          <w:sz w:val="22"/>
          <w:u w:val="single"/>
          <w:rtl/>
        </w:rPr>
        <w:t>יות, אלא תבחן לעת אישור התכנית.</w:t>
      </w:r>
      <w:r w:rsidRPr="002D58F1">
        <w:rPr>
          <w:rFonts w:hint="cs"/>
          <w:sz w:val="22"/>
          <w:rtl/>
        </w:rPr>
        <w:t xml:space="preserve"> </w:t>
      </w:r>
      <w:r w:rsidR="00A377FB" w:rsidRPr="002D58F1">
        <w:rPr>
          <w:rFonts w:hint="cs"/>
          <w:sz w:val="22"/>
          <w:rtl/>
        </w:rPr>
        <w:t>מועד זה הוא הרלבנטי לבחינת השומה ויש לדחות את הטענה לפיה מימוש הזכויות מאפשר את בחינת השומה המוסכמת מחדש.</w:t>
      </w:r>
      <w:bookmarkEnd w:id="6"/>
      <w:r w:rsidR="00D253AA" w:rsidRPr="002D58F1">
        <w:rPr>
          <w:rFonts w:hint="cs"/>
          <w:sz w:val="22"/>
          <w:rtl/>
        </w:rPr>
        <w:t xml:space="preserve"> כאמור בפסק דין </w:t>
      </w:r>
      <w:r w:rsidR="00533714" w:rsidRPr="002D58F1">
        <w:rPr>
          <w:sz w:val="20"/>
          <w:szCs w:val="24"/>
        </w:rPr>
        <w:t>ETABLISSEMENT</w:t>
      </w:r>
      <w:r w:rsidR="00094866" w:rsidRPr="002D58F1">
        <w:rPr>
          <w:rFonts w:hint="cs"/>
          <w:sz w:val="22"/>
          <w:rtl/>
        </w:rPr>
        <w:t xml:space="preserve">, </w:t>
      </w:r>
      <w:r w:rsidR="00D253AA" w:rsidRPr="002D58F1">
        <w:rPr>
          <w:rFonts w:hint="cs"/>
          <w:sz w:val="22"/>
          <w:rtl/>
        </w:rPr>
        <w:t xml:space="preserve">משעה שנתבקשה הוועדה </w:t>
      </w:r>
      <w:r w:rsidR="00D253AA" w:rsidRPr="002D58F1">
        <w:rPr>
          <w:rFonts w:hint="cs"/>
          <w:sz w:val="22"/>
          <w:rtl/>
        </w:rPr>
        <w:lastRenderedPageBreak/>
        <w:t>המקומית לערוך את השומה בגין התכנית עוד טרם מימוש זכויות, הרי שהיא חייבת לעשות כן, וזאת בלא שעצם עריכת השומה יחייב את הנישום בתשלום מיידי.</w:t>
      </w:r>
      <w:r w:rsidR="00F06A4F" w:rsidRPr="002D58F1">
        <w:rPr>
          <w:rFonts w:hint="cs"/>
          <w:sz w:val="22"/>
          <w:rtl/>
        </w:rPr>
        <w:t xml:space="preserve"> </w:t>
      </w:r>
    </w:p>
    <w:p w14:paraId="67C6950B" w14:textId="01AAEDB1" w:rsidR="008D7A57" w:rsidRPr="002D58F1" w:rsidRDefault="00F06A4F" w:rsidP="001652CA">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נקדים </w:t>
      </w:r>
      <w:r w:rsidR="00E22C21" w:rsidRPr="002D58F1">
        <w:rPr>
          <w:rFonts w:hint="cs"/>
          <w:sz w:val="22"/>
          <w:rtl/>
        </w:rPr>
        <w:t xml:space="preserve">את המאוחר </w:t>
      </w:r>
      <w:r w:rsidRPr="002D58F1">
        <w:rPr>
          <w:rFonts w:hint="cs"/>
          <w:sz w:val="22"/>
          <w:rtl/>
        </w:rPr>
        <w:t>ונאמר כבר מעתה, כי</w:t>
      </w:r>
      <w:r w:rsidR="000D0604" w:rsidRPr="002D58F1">
        <w:rPr>
          <w:rFonts w:hint="cs"/>
          <w:sz w:val="22"/>
          <w:rtl/>
        </w:rPr>
        <w:t xml:space="preserve"> בנסיבות מעין אלו -</w:t>
      </w:r>
      <w:r w:rsidRPr="002D58F1">
        <w:rPr>
          <w:rFonts w:hint="cs"/>
          <w:sz w:val="22"/>
          <w:rtl/>
        </w:rPr>
        <w:t xml:space="preserve"> גם תקופת ההתיישנות והשיהוי </w:t>
      </w:r>
      <w:r w:rsidR="00674C1C" w:rsidRPr="002D58F1">
        <w:rPr>
          <w:rFonts w:hint="cs"/>
          <w:sz w:val="22"/>
          <w:rtl/>
        </w:rPr>
        <w:t>תימנה מיום עריכת השומה.</w:t>
      </w:r>
    </w:p>
    <w:p w14:paraId="35D57165" w14:textId="3DF21CBA" w:rsidR="005A7097" w:rsidRPr="002D58F1" w:rsidRDefault="000F18BD" w:rsidP="001652CA">
      <w:pPr>
        <w:pStyle w:val="ListParagraph"/>
        <w:numPr>
          <w:ilvl w:val="0"/>
          <w:numId w:val="4"/>
        </w:numPr>
        <w:spacing w:before="0" w:after="160" w:line="360" w:lineRule="auto"/>
        <w:ind w:left="226" w:hanging="425"/>
        <w:contextualSpacing w:val="0"/>
        <w:rPr>
          <w:sz w:val="22"/>
          <w:rtl/>
        </w:rPr>
      </w:pPr>
      <w:bookmarkStart w:id="7" w:name="_Hlk194996844"/>
      <w:r w:rsidRPr="002D58F1">
        <w:rPr>
          <w:rFonts w:hint="cs"/>
          <w:sz w:val="22"/>
          <w:rtl/>
        </w:rPr>
        <w:t xml:space="preserve">זאת ועוד, </w:t>
      </w:r>
      <w:r w:rsidR="00C5130A" w:rsidRPr="002D58F1">
        <w:rPr>
          <w:rFonts w:hint="cs"/>
          <w:sz w:val="22"/>
          <w:rtl/>
        </w:rPr>
        <w:t xml:space="preserve">דומה כי </w:t>
      </w:r>
      <w:r w:rsidR="003B079A" w:rsidRPr="002D58F1">
        <w:rPr>
          <w:rFonts w:hint="cs"/>
          <w:sz w:val="22"/>
          <w:rtl/>
        </w:rPr>
        <w:t>בשומה המוסכמת, אין כל קביעה או הסכמה לפיה ניתן יהיה "לפתוח" את השומה מחדש, ככל והתכנית תעודכן ותעניק זכויות רבות יותר.</w:t>
      </w:r>
    </w:p>
    <w:bookmarkEnd w:id="7"/>
    <w:p w14:paraId="4974907A" w14:textId="22A7A0D7" w:rsidR="003B079A" w:rsidRPr="002D58F1" w:rsidRDefault="003B079A"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זאת חרף העובדה שבשומת הוועדה המקומית הדבר נקבע מפורשות </w:t>
      </w:r>
      <w:r w:rsidR="00651A30" w:rsidRPr="002D58F1">
        <w:rPr>
          <w:sz w:val="22"/>
          <w:rtl/>
        </w:rPr>
        <w:t>–</w:t>
      </w:r>
      <w:r w:rsidRPr="002D58F1">
        <w:rPr>
          <w:rFonts w:hint="cs"/>
          <w:sz w:val="22"/>
          <w:rtl/>
        </w:rPr>
        <w:t xml:space="preserve"> </w:t>
      </w:r>
      <w:r w:rsidR="00651A30" w:rsidRPr="002D58F1">
        <w:rPr>
          <w:rFonts w:hint="cs"/>
          <w:sz w:val="22"/>
          <w:rtl/>
        </w:rPr>
        <w:t>"</w:t>
      </w:r>
      <w:r w:rsidR="00651A30" w:rsidRPr="002D58F1">
        <w:rPr>
          <w:rFonts w:hint="cs"/>
          <w:b/>
          <w:bCs/>
          <w:sz w:val="22"/>
          <w:rtl/>
        </w:rPr>
        <w:t>הסכומים הנ"ל הינם בכפוף לאישורה של התכנית הנדונה במתכונת המוצגת בדו"ח זה</w:t>
      </w:r>
      <w:r w:rsidR="00651A30" w:rsidRPr="002D58F1">
        <w:rPr>
          <w:rFonts w:hint="cs"/>
          <w:sz w:val="22"/>
          <w:rtl/>
        </w:rPr>
        <w:t>".</w:t>
      </w:r>
    </w:p>
    <w:p w14:paraId="13D22AC1" w14:textId="1CC5DE3D" w:rsidR="00651A30" w:rsidRPr="002D58F1" w:rsidRDefault="002D5C0F"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ודוק, </w:t>
      </w:r>
      <w:r w:rsidR="00651A30" w:rsidRPr="002D58F1">
        <w:rPr>
          <w:rFonts w:hint="cs"/>
          <w:sz w:val="22"/>
          <w:rtl/>
        </w:rPr>
        <w:t>אף ש</w:t>
      </w:r>
      <w:r w:rsidR="00D404C0" w:rsidRPr="002D58F1">
        <w:rPr>
          <w:rFonts w:hint="cs"/>
          <w:sz w:val="22"/>
          <w:rtl/>
        </w:rPr>
        <w:t>הסעיף המכפיף את שומת הוועדה המקומית לאישור סופי של התכנית -</w:t>
      </w:r>
      <w:r w:rsidR="00651A30" w:rsidRPr="002D58F1">
        <w:rPr>
          <w:rFonts w:hint="cs"/>
          <w:sz w:val="22"/>
          <w:rtl/>
        </w:rPr>
        <w:t xml:space="preserve"> נקבע מפורשות בשומת הוועדה המקומית</w:t>
      </w:r>
      <w:r w:rsidR="00D404C0" w:rsidRPr="002D58F1">
        <w:rPr>
          <w:rFonts w:hint="cs"/>
          <w:sz w:val="22"/>
          <w:rtl/>
        </w:rPr>
        <w:t>,</w:t>
      </w:r>
      <w:r w:rsidR="00651A30" w:rsidRPr="002D58F1">
        <w:rPr>
          <w:rFonts w:hint="cs"/>
          <w:sz w:val="22"/>
          <w:rtl/>
        </w:rPr>
        <w:t xml:space="preserve"> </w:t>
      </w:r>
      <w:r w:rsidR="00651A30" w:rsidRPr="002D58F1">
        <w:rPr>
          <w:rFonts w:hint="cs"/>
          <w:b/>
          <w:bCs/>
          <w:sz w:val="22"/>
          <w:u w:val="single"/>
          <w:rtl/>
        </w:rPr>
        <w:t xml:space="preserve">הוא לא </w:t>
      </w:r>
      <w:r w:rsidR="00000FEC" w:rsidRPr="002D58F1">
        <w:rPr>
          <w:rFonts w:hint="cs"/>
          <w:b/>
          <w:bCs/>
          <w:sz w:val="22"/>
          <w:u w:val="single"/>
          <w:rtl/>
        </w:rPr>
        <w:t>הוטמע</w:t>
      </w:r>
      <w:r w:rsidR="00651A30" w:rsidRPr="002D58F1">
        <w:rPr>
          <w:rFonts w:hint="cs"/>
          <w:b/>
          <w:bCs/>
          <w:sz w:val="22"/>
          <w:u w:val="single"/>
          <w:rtl/>
        </w:rPr>
        <w:t xml:space="preserve"> אף לא במרומז בשומה המוסכמת.</w:t>
      </w:r>
      <w:r w:rsidR="00651A30" w:rsidRPr="002D58F1">
        <w:rPr>
          <w:rFonts w:hint="cs"/>
          <w:sz w:val="22"/>
          <w:rtl/>
        </w:rPr>
        <w:t xml:space="preserve"> </w:t>
      </w:r>
    </w:p>
    <w:p w14:paraId="3E244210" w14:textId="4B5989A0" w:rsidR="00E04993" w:rsidRPr="002D58F1" w:rsidRDefault="00E04993" w:rsidP="00A13D59">
      <w:pPr>
        <w:pStyle w:val="ListParagraph"/>
        <w:numPr>
          <w:ilvl w:val="0"/>
          <w:numId w:val="4"/>
        </w:numPr>
        <w:spacing w:before="0" w:after="160" w:line="360" w:lineRule="auto"/>
        <w:ind w:left="226" w:hanging="425"/>
        <w:contextualSpacing w:val="0"/>
        <w:rPr>
          <w:sz w:val="22"/>
          <w:rtl/>
        </w:rPr>
      </w:pPr>
      <w:r w:rsidRPr="002D58F1">
        <w:rPr>
          <w:rFonts w:hint="cs"/>
          <w:sz w:val="22"/>
          <w:rtl/>
        </w:rPr>
        <w:t>הווי אומר, הצדדים שביקשו להביא את פרשת היטל השבחה לסיומה טרם כניסתו לתוקף של תיקון 84, לקחו במסגרת שקלול הסיכון</w:t>
      </w:r>
      <w:r w:rsidRPr="002D58F1">
        <w:rPr>
          <w:sz w:val="22"/>
          <w:rtl/>
        </w:rPr>
        <w:t>–</w:t>
      </w:r>
      <w:r w:rsidRPr="002D58F1">
        <w:rPr>
          <w:rFonts w:hint="cs"/>
          <w:sz w:val="22"/>
          <w:rtl/>
        </w:rPr>
        <w:t>סיכוי כי התכנית תאושר במתכונת שונה, ואף על פי כן חתמו באופן הדדי על שומה מוסכמת, במסגרתה ויתרה הוועדה המקומית על הסעיף שקבעה בשומתה המקורית, לפיו הסכומים הינם בכפוף ל</w:t>
      </w:r>
      <w:r w:rsidR="00094866" w:rsidRPr="002D58F1">
        <w:rPr>
          <w:rFonts w:hint="cs"/>
          <w:sz w:val="22"/>
          <w:rtl/>
        </w:rPr>
        <w:t>אישור הת</w:t>
      </w:r>
      <w:r w:rsidRPr="002D58F1">
        <w:rPr>
          <w:rFonts w:hint="cs"/>
          <w:sz w:val="22"/>
          <w:rtl/>
        </w:rPr>
        <w:t xml:space="preserve">כנית </w:t>
      </w:r>
      <w:r w:rsidR="00094866" w:rsidRPr="002D58F1">
        <w:rPr>
          <w:rFonts w:hint="cs"/>
          <w:sz w:val="22"/>
          <w:rtl/>
        </w:rPr>
        <w:t xml:space="preserve">במתכונתה הידועה במועד זה </w:t>
      </w:r>
      <w:r w:rsidRPr="002D58F1">
        <w:rPr>
          <w:rFonts w:hint="cs"/>
          <w:sz w:val="22"/>
          <w:rtl/>
        </w:rPr>
        <w:t xml:space="preserve">ולמעשה </w:t>
      </w:r>
      <w:r w:rsidR="0035609A" w:rsidRPr="002D58F1">
        <w:rPr>
          <w:rFonts w:hint="cs"/>
          <w:sz w:val="22"/>
          <w:rtl/>
        </w:rPr>
        <w:t>הסכימו כי עסקינן בהיטל השבחה סופי ומוסכם.</w:t>
      </w:r>
    </w:p>
    <w:p w14:paraId="48CAF7CC" w14:textId="6A59B0F8" w:rsidR="0035609A" w:rsidRPr="002D58F1" w:rsidRDefault="00D50E10" w:rsidP="00CF0C39">
      <w:pPr>
        <w:pStyle w:val="ListParagraph"/>
        <w:numPr>
          <w:ilvl w:val="0"/>
          <w:numId w:val="4"/>
        </w:numPr>
        <w:spacing w:before="0" w:after="160" w:line="360" w:lineRule="auto"/>
        <w:ind w:left="226" w:hanging="425"/>
        <w:contextualSpacing w:val="0"/>
        <w:rPr>
          <w:sz w:val="22"/>
          <w:rtl/>
        </w:rPr>
      </w:pPr>
      <w:r w:rsidRPr="002D58F1">
        <w:rPr>
          <w:rFonts w:hint="cs"/>
          <w:sz w:val="22"/>
          <w:rtl/>
        </w:rPr>
        <w:t>אכן, ראשית המעשה ב"חטא" שכן ברי כי לא ניתן היה להסכים על שומה טרם אישורה של התכנית. אך משעה שהדבר נעשה ואף אחד מן הצדדים לא טען לבטלות השומה</w:t>
      </w:r>
      <w:r w:rsidR="00B91FCD" w:rsidRPr="002D58F1">
        <w:rPr>
          <w:rFonts w:hint="cs"/>
          <w:sz w:val="22"/>
          <w:rtl/>
        </w:rPr>
        <w:t xml:space="preserve"> </w:t>
      </w:r>
      <w:r w:rsidR="00412039" w:rsidRPr="002D58F1">
        <w:rPr>
          <w:rFonts w:hint="cs"/>
          <w:sz w:val="22"/>
          <w:rtl/>
        </w:rPr>
        <w:t>(אלא רק לתיקונה על ידי הוועדה המקומית)</w:t>
      </w:r>
      <w:r w:rsidRPr="002D58F1">
        <w:rPr>
          <w:rFonts w:hint="cs"/>
          <w:sz w:val="22"/>
          <w:rtl/>
        </w:rPr>
        <w:t xml:space="preserve">, אף שהדבר הועלה על ידינו, </w:t>
      </w:r>
      <w:r w:rsidR="004D7241" w:rsidRPr="002D58F1">
        <w:rPr>
          <w:rFonts w:hint="cs"/>
          <w:sz w:val="22"/>
          <w:rtl/>
        </w:rPr>
        <w:t xml:space="preserve">הרי שאנו מקבלים את השומה המוסכמת ככזו המשקפת גם </w:t>
      </w:r>
      <w:r w:rsidR="00094866" w:rsidRPr="002D58F1">
        <w:rPr>
          <w:rFonts w:hint="cs"/>
          <w:sz w:val="22"/>
          <w:rtl/>
        </w:rPr>
        <w:t xml:space="preserve">את </w:t>
      </w:r>
      <w:r w:rsidR="004D7241" w:rsidRPr="002D58F1">
        <w:rPr>
          <w:rFonts w:hint="cs"/>
          <w:sz w:val="22"/>
          <w:rtl/>
        </w:rPr>
        <w:t xml:space="preserve">הסיכון והסיכוי נוכח האפשרות להגדלת היקף הזכויות. </w:t>
      </w:r>
    </w:p>
    <w:p w14:paraId="08C3EEE7" w14:textId="0855792E" w:rsidR="003D054C" w:rsidRPr="002D58F1" w:rsidRDefault="003D054C"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למסקנה זו ניתן למצוא </w:t>
      </w:r>
      <w:r w:rsidR="00E07BAB" w:rsidRPr="002D58F1">
        <w:rPr>
          <w:rFonts w:hint="cs"/>
          <w:sz w:val="22"/>
          <w:rtl/>
        </w:rPr>
        <w:t>תימוכין</w:t>
      </w:r>
      <w:r w:rsidRPr="002D58F1">
        <w:rPr>
          <w:rFonts w:hint="cs"/>
          <w:sz w:val="22"/>
          <w:rtl/>
        </w:rPr>
        <w:t xml:space="preserve"> מתוך השומה המוסכמת:</w:t>
      </w:r>
    </w:p>
    <w:p w14:paraId="267E0075" w14:textId="122F794D" w:rsidR="00C77947" w:rsidRPr="002D58F1" w:rsidRDefault="00FE71F1" w:rsidP="008978FE">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ראשית - </w:t>
      </w:r>
      <w:r w:rsidR="00511910" w:rsidRPr="002D58F1">
        <w:rPr>
          <w:rFonts w:hint="cs"/>
          <w:sz w:val="22"/>
          <w:rtl/>
        </w:rPr>
        <w:t>בסעיף 3 לשומה המוסכמת נקבע: "</w:t>
      </w:r>
      <w:r w:rsidR="00511910" w:rsidRPr="002D58F1">
        <w:rPr>
          <w:rFonts w:hint="cs"/>
          <w:b/>
          <w:bCs/>
          <w:sz w:val="22"/>
          <w:rtl/>
        </w:rPr>
        <w:t xml:space="preserve">תכנית חדשה מוצעת מס בי/490 </w:t>
      </w:r>
      <w:r w:rsidR="00511910" w:rsidRPr="002D58F1">
        <w:rPr>
          <w:b/>
          <w:bCs/>
          <w:sz w:val="22"/>
          <w:rtl/>
        </w:rPr>
        <w:t>–</w:t>
      </w:r>
      <w:r w:rsidR="00511910" w:rsidRPr="002D58F1">
        <w:rPr>
          <w:rFonts w:hint="cs"/>
          <w:b/>
          <w:bCs/>
          <w:sz w:val="22"/>
          <w:rtl/>
        </w:rPr>
        <w:t xml:space="preserve"> טרם אושרה, בהתאם לכך היטל ההשבחה שנקבע בשומה זו הינו בכפוף לאישורה של התכנית</w:t>
      </w:r>
      <w:r w:rsidR="00511910" w:rsidRPr="002D58F1">
        <w:rPr>
          <w:rFonts w:hint="cs"/>
          <w:sz w:val="22"/>
          <w:rtl/>
        </w:rPr>
        <w:t>". הווי אומר הצדדים מסכימים ביניהם כי השומה "מותלית" באישורה של התכנית. ברי איפוא, כי הצדדים היו מודעים לכך כי הסיטואציה בה התכנית לא תאושר</w:t>
      </w:r>
      <w:r w:rsidR="00B94CF5" w:rsidRPr="002D58F1">
        <w:rPr>
          <w:rFonts w:hint="cs"/>
          <w:sz w:val="22"/>
          <w:rtl/>
        </w:rPr>
        <w:t xml:space="preserve"> או כי תאושר </w:t>
      </w:r>
      <w:r w:rsidR="00421F5F" w:rsidRPr="002D58F1">
        <w:rPr>
          <w:rFonts w:hint="cs"/>
          <w:sz w:val="22"/>
          <w:rtl/>
        </w:rPr>
        <w:t>ב</w:t>
      </w:r>
      <w:r w:rsidR="00B94CF5" w:rsidRPr="002D58F1">
        <w:rPr>
          <w:rFonts w:hint="cs"/>
          <w:sz w:val="22"/>
          <w:rtl/>
        </w:rPr>
        <w:t>מתכונת אחרת -</w:t>
      </w:r>
      <w:r w:rsidR="00511910" w:rsidRPr="002D58F1">
        <w:rPr>
          <w:rFonts w:hint="cs"/>
          <w:sz w:val="22"/>
          <w:rtl/>
        </w:rPr>
        <w:t xml:space="preserve"> הינה בגדר תרחיש אפשרי. בנסיבות אלו, ניתן יהיה להניח כי במסגרת אומד דעתם של הצדדים הובא גם התרחיש לפיו התכנית תאושר עם זכויות מוגדלות. </w:t>
      </w:r>
      <w:r w:rsidR="00AD4C5F" w:rsidRPr="002D58F1">
        <w:rPr>
          <w:rFonts w:hint="cs"/>
          <w:sz w:val="22"/>
          <w:rtl/>
        </w:rPr>
        <w:t xml:space="preserve">ואף על פי כן לא קבעו הצדדים דבר ביחס לעניין זה. </w:t>
      </w:r>
      <w:r w:rsidR="00C77947" w:rsidRPr="002D58F1">
        <w:rPr>
          <w:rFonts w:hint="cs"/>
          <w:sz w:val="22"/>
          <w:rtl/>
        </w:rPr>
        <w:t xml:space="preserve">הווי אומר </w:t>
      </w:r>
      <w:r w:rsidR="00094866" w:rsidRPr="002D58F1">
        <w:rPr>
          <w:rFonts w:hint="cs"/>
          <w:sz w:val="22"/>
          <w:rtl/>
        </w:rPr>
        <w:t xml:space="preserve">הצדדים </w:t>
      </w:r>
      <w:r w:rsidR="00C77947" w:rsidRPr="002D58F1">
        <w:rPr>
          <w:rFonts w:hint="cs"/>
          <w:sz w:val="22"/>
          <w:rtl/>
        </w:rPr>
        <w:t xml:space="preserve">קיבלו עליהם כי הסכום משקף גם תרחיש בו זכויות הבניה ישתנו </w:t>
      </w:r>
      <w:r w:rsidR="00C77947" w:rsidRPr="002D58F1">
        <w:rPr>
          <w:sz w:val="22"/>
          <w:rtl/>
        </w:rPr>
        <w:t>–</w:t>
      </w:r>
      <w:r w:rsidR="00C77947" w:rsidRPr="002D58F1">
        <w:rPr>
          <w:rFonts w:hint="cs"/>
          <w:sz w:val="22"/>
          <w:rtl/>
        </w:rPr>
        <w:t xml:space="preserve"> </w:t>
      </w:r>
      <w:r w:rsidR="00A13D59" w:rsidRPr="002D58F1">
        <w:rPr>
          <w:rFonts w:hint="cs"/>
          <w:sz w:val="22"/>
          <w:rtl/>
        </w:rPr>
        <w:t>'</w:t>
      </w:r>
      <w:r w:rsidR="00C77947" w:rsidRPr="002D58F1">
        <w:rPr>
          <w:rFonts w:hint="cs"/>
          <w:sz w:val="22"/>
          <w:rtl/>
        </w:rPr>
        <w:t>לטובה</w:t>
      </w:r>
      <w:r w:rsidR="00A13D59" w:rsidRPr="002D58F1">
        <w:rPr>
          <w:rFonts w:hint="cs"/>
          <w:sz w:val="22"/>
          <w:rtl/>
        </w:rPr>
        <w:t>'</w:t>
      </w:r>
      <w:r w:rsidR="00C77947" w:rsidRPr="002D58F1">
        <w:rPr>
          <w:rFonts w:hint="cs"/>
          <w:sz w:val="22"/>
          <w:rtl/>
        </w:rPr>
        <w:t xml:space="preserve"> או </w:t>
      </w:r>
      <w:r w:rsidR="00A13D59" w:rsidRPr="002D58F1">
        <w:rPr>
          <w:rFonts w:hint="cs"/>
          <w:sz w:val="22"/>
          <w:rtl/>
        </w:rPr>
        <w:t>'</w:t>
      </w:r>
      <w:r w:rsidR="00C77947" w:rsidRPr="002D58F1">
        <w:rPr>
          <w:rFonts w:hint="cs"/>
          <w:sz w:val="22"/>
          <w:rtl/>
        </w:rPr>
        <w:t>לרעה</w:t>
      </w:r>
      <w:r w:rsidR="00A13D59" w:rsidRPr="002D58F1">
        <w:rPr>
          <w:rFonts w:hint="cs"/>
          <w:sz w:val="22"/>
          <w:rtl/>
        </w:rPr>
        <w:t>'</w:t>
      </w:r>
      <w:r w:rsidR="00C77947" w:rsidRPr="002D58F1">
        <w:rPr>
          <w:rFonts w:hint="cs"/>
          <w:sz w:val="22"/>
          <w:rtl/>
        </w:rPr>
        <w:t>.</w:t>
      </w:r>
    </w:p>
    <w:p w14:paraId="6D78ECBF" w14:textId="2AC3D182" w:rsidR="003D054C" w:rsidRPr="002D58F1" w:rsidRDefault="00FE71F1"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שנית -</w:t>
      </w:r>
      <w:r w:rsidR="00760160" w:rsidRPr="002D58F1">
        <w:rPr>
          <w:rFonts w:hint="cs"/>
          <w:sz w:val="22"/>
          <w:rtl/>
        </w:rPr>
        <w:t xml:space="preserve"> גם בסעיף 7 לשומה המוסכמת נקבע כי "</w:t>
      </w:r>
      <w:r w:rsidR="00760160" w:rsidRPr="002D58F1">
        <w:rPr>
          <w:rFonts w:hint="cs"/>
          <w:b/>
          <w:bCs/>
          <w:sz w:val="22"/>
          <w:rtl/>
        </w:rPr>
        <w:t xml:space="preserve">עד למועד כניסה לתוקף של התכנית הנדונה </w:t>
      </w:r>
      <w:r w:rsidR="00760160" w:rsidRPr="002D58F1">
        <w:rPr>
          <w:b/>
          <w:bCs/>
          <w:sz w:val="22"/>
          <w:rtl/>
        </w:rPr>
        <w:t>–</w:t>
      </w:r>
      <w:r w:rsidR="00760160" w:rsidRPr="002D58F1">
        <w:rPr>
          <w:rFonts w:hint="cs"/>
          <w:b/>
          <w:bCs/>
          <w:sz w:val="22"/>
          <w:rtl/>
        </w:rPr>
        <w:t xml:space="preserve"> הסכום האמור בסעיף 6</w:t>
      </w:r>
      <w:r w:rsidR="004D3259" w:rsidRPr="002D58F1">
        <w:rPr>
          <w:rFonts w:hint="cs"/>
          <w:b/>
          <w:bCs/>
          <w:sz w:val="22"/>
          <w:rtl/>
        </w:rPr>
        <w:t xml:space="preserve"> </w:t>
      </w:r>
      <w:r w:rsidR="00760160" w:rsidRPr="002D58F1">
        <w:rPr>
          <w:rFonts w:hint="cs"/>
          <w:b/>
          <w:bCs/>
          <w:sz w:val="22"/>
          <w:rtl/>
        </w:rPr>
        <w:t xml:space="preserve">צמוד למדד המחירים לצרכן או למדד תשומות הבניה של חודש 6/2008 </w:t>
      </w:r>
      <w:r w:rsidR="00760160" w:rsidRPr="002D58F1">
        <w:rPr>
          <w:b/>
          <w:bCs/>
          <w:sz w:val="22"/>
          <w:rtl/>
        </w:rPr>
        <w:t>–</w:t>
      </w:r>
      <w:r w:rsidR="00760160" w:rsidRPr="002D58F1">
        <w:rPr>
          <w:rFonts w:hint="cs"/>
          <w:b/>
          <w:bCs/>
          <w:sz w:val="22"/>
          <w:rtl/>
        </w:rPr>
        <w:t xml:space="preserve"> לפי הנמוך מבין השניים</w:t>
      </w:r>
      <w:r w:rsidR="00760160" w:rsidRPr="002D58F1">
        <w:rPr>
          <w:rFonts w:hint="cs"/>
          <w:sz w:val="22"/>
          <w:rtl/>
        </w:rPr>
        <w:t>".</w:t>
      </w:r>
      <w:r w:rsidR="00226992" w:rsidRPr="002D58F1">
        <w:rPr>
          <w:rFonts w:hint="cs"/>
          <w:sz w:val="22"/>
          <w:rtl/>
        </w:rPr>
        <w:t xml:space="preserve"> הווי אומר על אף הפירוט הרב באשר לאי </w:t>
      </w:r>
      <w:r w:rsidR="00226992" w:rsidRPr="002D58F1">
        <w:rPr>
          <w:rFonts w:hint="cs"/>
          <w:sz w:val="22"/>
          <w:rtl/>
        </w:rPr>
        <w:lastRenderedPageBreak/>
        <w:t xml:space="preserve">כניסתה של התכנית לתוקף, לא ראו הצדדים להסדיר ביניהם מנגנון במסגרתו ייקבע מה דינן של זכויות נוספות, ככל וייווספו. </w:t>
      </w:r>
      <w:r w:rsidR="00226992" w:rsidRPr="002D58F1">
        <w:rPr>
          <w:rFonts w:hint="cs"/>
          <w:b/>
          <w:bCs/>
          <w:sz w:val="22"/>
          <w:rtl/>
        </w:rPr>
        <w:t>וזאת, חרף העובדה ששומת הוועדה המקומית כן עסקה בתרחיש זה</w:t>
      </w:r>
      <w:r w:rsidR="00226992" w:rsidRPr="002D58F1">
        <w:rPr>
          <w:rFonts w:hint="cs"/>
          <w:sz w:val="22"/>
          <w:rtl/>
        </w:rPr>
        <w:t>.</w:t>
      </w:r>
    </w:p>
    <w:p w14:paraId="63B0F361" w14:textId="22A7A620" w:rsidR="00226992" w:rsidRPr="002D58F1" w:rsidRDefault="009E6D74" w:rsidP="008978FE">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דומה כי הצדדים שהיו נתונים </w:t>
      </w:r>
      <w:r w:rsidR="00780334" w:rsidRPr="002D58F1">
        <w:rPr>
          <w:rFonts w:hint="cs"/>
          <w:sz w:val="22"/>
          <w:rtl/>
        </w:rPr>
        <w:t>ב</w:t>
      </w:r>
      <w:r w:rsidRPr="002D58F1">
        <w:rPr>
          <w:rFonts w:hint="cs"/>
          <w:sz w:val="22"/>
          <w:rtl/>
        </w:rPr>
        <w:t>ימים האחרונים בהם עמדה בפניהם האפשרות לקבוע שומה מוסכמת</w:t>
      </w:r>
      <w:r w:rsidR="00226992" w:rsidRPr="002D58F1">
        <w:rPr>
          <w:rFonts w:hint="cs"/>
          <w:sz w:val="22"/>
          <w:rtl/>
        </w:rPr>
        <w:t xml:space="preserve"> טרם אישור תיקון 84</w:t>
      </w:r>
      <w:r w:rsidRPr="002D58F1">
        <w:rPr>
          <w:rFonts w:hint="cs"/>
          <w:sz w:val="22"/>
          <w:rtl/>
        </w:rPr>
        <w:t xml:space="preserve"> </w:t>
      </w:r>
      <w:r w:rsidRPr="002D58F1">
        <w:rPr>
          <w:sz w:val="22"/>
          <w:rtl/>
        </w:rPr>
        <w:t>–</w:t>
      </w:r>
      <w:r w:rsidRPr="002D58F1">
        <w:rPr>
          <w:rFonts w:hint="cs"/>
          <w:sz w:val="22"/>
          <w:rtl/>
        </w:rPr>
        <w:t xml:space="preserve"> עניין שלא הוכחש בדיון שנערך בפנינו</w:t>
      </w:r>
      <w:r w:rsidR="00780334" w:rsidRPr="002D58F1">
        <w:rPr>
          <w:rFonts w:hint="cs"/>
          <w:sz w:val="22"/>
          <w:rtl/>
        </w:rPr>
        <w:t xml:space="preserve"> </w:t>
      </w:r>
      <w:r w:rsidR="00780334" w:rsidRPr="002D58F1">
        <w:rPr>
          <w:sz w:val="22"/>
          <w:rtl/>
        </w:rPr>
        <w:t>–</w:t>
      </w:r>
      <w:r w:rsidR="00780334" w:rsidRPr="002D58F1">
        <w:rPr>
          <w:rFonts w:hint="cs"/>
          <w:sz w:val="22"/>
          <w:rtl/>
        </w:rPr>
        <w:t xml:space="preserve"> ביקשו לקבע את סכום היטל ההשבחה</w:t>
      </w:r>
      <w:r w:rsidRPr="002D58F1">
        <w:rPr>
          <w:rFonts w:hint="cs"/>
          <w:sz w:val="22"/>
          <w:rtl/>
        </w:rPr>
        <w:t>.</w:t>
      </w:r>
      <w:r w:rsidR="00226992" w:rsidRPr="002D58F1">
        <w:rPr>
          <w:rFonts w:hint="cs"/>
          <w:sz w:val="22"/>
          <w:rtl/>
        </w:rPr>
        <w:t xml:space="preserve"> </w:t>
      </w:r>
      <w:r w:rsidR="00780334" w:rsidRPr="002D58F1">
        <w:rPr>
          <w:rFonts w:hint="cs"/>
          <w:sz w:val="22"/>
          <w:rtl/>
        </w:rPr>
        <w:t>נראה</w:t>
      </w:r>
      <w:r w:rsidR="00226992" w:rsidRPr="002D58F1">
        <w:rPr>
          <w:rFonts w:hint="cs"/>
          <w:sz w:val="22"/>
          <w:rtl/>
        </w:rPr>
        <w:t xml:space="preserve"> כי אומד דעת</w:t>
      </w:r>
      <w:r w:rsidR="00094866" w:rsidRPr="002D58F1">
        <w:rPr>
          <w:rFonts w:hint="cs"/>
          <w:sz w:val="22"/>
          <w:rtl/>
        </w:rPr>
        <w:t xml:space="preserve"> הצדדים</w:t>
      </w:r>
      <w:r w:rsidR="00226992" w:rsidRPr="002D58F1">
        <w:rPr>
          <w:rFonts w:hint="cs"/>
          <w:sz w:val="22"/>
          <w:rtl/>
        </w:rPr>
        <w:t xml:space="preserve"> היה להביא לשומה מוסכמת וסופית שתשקלל את האפשרות לזכויות בניה עתידיות</w:t>
      </w:r>
      <w:r w:rsidR="006F5D32" w:rsidRPr="002D58F1">
        <w:rPr>
          <w:rFonts w:hint="cs"/>
          <w:sz w:val="22"/>
          <w:rtl/>
        </w:rPr>
        <w:t xml:space="preserve"> בהיקף גדול או קטן יותר</w:t>
      </w:r>
      <w:r w:rsidR="00226992" w:rsidRPr="002D58F1">
        <w:rPr>
          <w:rFonts w:hint="cs"/>
          <w:sz w:val="22"/>
          <w:rtl/>
        </w:rPr>
        <w:t>. ועל כן השומה המוסכמת הינה שומה סופית ואינה ניתנה לתיקון לאחר תוספת הזכויות</w:t>
      </w:r>
      <w:r w:rsidR="00CC28B9" w:rsidRPr="002D58F1">
        <w:rPr>
          <w:rFonts w:hint="cs"/>
          <w:sz w:val="22"/>
          <w:rtl/>
        </w:rPr>
        <w:t xml:space="preserve"> שהתהוותה עם אישורה</w:t>
      </w:r>
      <w:r w:rsidR="00226992" w:rsidRPr="002D58F1">
        <w:rPr>
          <w:rFonts w:hint="cs"/>
          <w:sz w:val="22"/>
          <w:rtl/>
        </w:rPr>
        <w:t>.</w:t>
      </w:r>
    </w:p>
    <w:p w14:paraId="5309236F" w14:textId="1B27B0E8" w:rsidR="004224E4" w:rsidRPr="002D58F1" w:rsidRDefault="00E95160" w:rsidP="00C440EC">
      <w:pPr>
        <w:rPr>
          <w:b/>
          <w:bCs/>
          <w:sz w:val="28"/>
          <w:szCs w:val="28"/>
          <w:u w:val="single"/>
          <w:rtl/>
        </w:rPr>
      </w:pPr>
      <w:r w:rsidRPr="002D58F1">
        <w:rPr>
          <w:rFonts w:hint="cs"/>
          <w:b/>
          <w:bCs/>
          <w:sz w:val="28"/>
          <w:szCs w:val="28"/>
          <w:u w:val="single"/>
          <w:rtl/>
        </w:rPr>
        <w:t>האם ניתן לתקן את השומה</w:t>
      </w:r>
      <w:r w:rsidR="00C619B2" w:rsidRPr="002D58F1">
        <w:rPr>
          <w:rFonts w:hint="cs"/>
          <w:b/>
          <w:bCs/>
          <w:sz w:val="28"/>
          <w:szCs w:val="28"/>
          <w:u w:val="single"/>
          <w:rtl/>
        </w:rPr>
        <w:t xml:space="preserve"> המוסכמת</w:t>
      </w:r>
      <w:r w:rsidRPr="002D58F1">
        <w:rPr>
          <w:rFonts w:hint="cs"/>
          <w:b/>
          <w:bCs/>
          <w:sz w:val="28"/>
          <w:szCs w:val="28"/>
          <w:u w:val="single"/>
          <w:rtl/>
        </w:rPr>
        <w:t>?</w:t>
      </w:r>
    </w:p>
    <w:p w14:paraId="7CE0A706" w14:textId="76542980" w:rsidR="00DA7092" w:rsidRPr="002D58F1" w:rsidRDefault="001B30D2" w:rsidP="001652CA">
      <w:pPr>
        <w:pStyle w:val="ListParagraph"/>
        <w:numPr>
          <w:ilvl w:val="0"/>
          <w:numId w:val="4"/>
        </w:numPr>
        <w:spacing w:before="0" w:after="160" w:line="360" w:lineRule="auto"/>
        <w:ind w:left="226" w:hanging="425"/>
        <w:contextualSpacing w:val="0"/>
        <w:rPr>
          <w:b/>
          <w:bCs/>
          <w:sz w:val="22"/>
          <w:rtl/>
        </w:rPr>
      </w:pPr>
      <w:r w:rsidRPr="002D58F1">
        <w:rPr>
          <w:rFonts w:hint="cs"/>
          <w:b/>
          <w:bCs/>
          <w:sz w:val="22"/>
          <w:rtl/>
        </w:rPr>
        <w:t>נוכח האמור עד כה,  עולה כי השומה המוסכמת היתה סופית ויש להתייחס אליה כשומת השבחה לכל דבר ועניין.</w:t>
      </w:r>
    </w:p>
    <w:p w14:paraId="5E41D7E8" w14:textId="77777777" w:rsidR="00D9179E" w:rsidRPr="002D58F1" w:rsidRDefault="00AF213B" w:rsidP="001652CA">
      <w:pPr>
        <w:pStyle w:val="ListParagraph"/>
        <w:numPr>
          <w:ilvl w:val="0"/>
          <w:numId w:val="4"/>
        </w:numPr>
        <w:spacing w:before="0" w:after="160" w:line="360" w:lineRule="auto"/>
        <w:ind w:left="226" w:hanging="425"/>
        <w:contextualSpacing w:val="0"/>
        <w:rPr>
          <w:sz w:val="22"/>
        </w:rPr>
      </w:pPr>
      <w:r w:rsidRPr="002D58F1">
        <w:rPr>
          <w:rFonts w:hint="cs"/>
          <w:sz w:val="22"/>
          <w:rtl/>
        </w:rPr>
        <w:t>מכל מקום, טוענת הוועדה המקומית כי נ</w:t>
      </w:r>
      <w:r w:rsidR="00D9179E" w:rsidRPr="002D58F1">
        <w:rPr>
          <w:rFonts w:hint="cs"/>
          <w:sz w:val="22"/>
          <w:rtl/>
        </w:rPr>
        <w:t>י</w:t>
      </w:r>
      <w:r w:rsidRPr="002D58F1">
        <w:rPr>
          <w:rFonts w:hint="cs"/>
          <w:sz w:val="22"/>
          <w:rtl/>
        </w:rPr>
        <w:t>תן לתקנה.</w:t>
      </w:r>
      <w:r w:rsidR="00D9179E" w:rsidRPr="002D58F1">
        <w:rPr>
          <w:rFonts w:hint="cs"/>
          <w:sz w:val="22"/>
          <w:rtl/>
        </w:rPr>
        <w:t xml:space="preserve"> כאמור אנו סבורים כי לא ניתן לתקן את השומה שכן עסקינן בשומה סופית.</w:t>
      </w:r>
    </w:p>
    <w:p w14:paraId="15C910DC" w14:textId="6C926327" w:rsidR="001B30D2" w:rsidRPr="002D58F1" w:rsidRDefault="008225D8"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ואולם, למען שלמות התמונה נבחן</w:t>
      </w:r>
      <w:r w:rsidR="001B30D2" w:rsidRPr="002D58F1">
        <w:rPr>
          <w:rFonts w:hint="cs"/>
          <w:sz w:val="22"/>
          <w:rtl/>
        </w:rPr>
        <w:t xml:space="preserve"> את האפשרות לתיקו</w:t>
      </w:r>
      <w:r w:rsidRPr="002D58F1">
        <w:rPr>
          <w:rFonts w:hint="cs"/>
          <w:sz w:val="22"/>
          <w:rtl/>
        </w:rPr>
        <w:t xml:space="preserve">ן </w:t>
      </w:r>
      <w:r w:rsidR="001B30D2" w:rsidRPr="002D58F1">
        <w:rPr>
          <w:rFonts w:hint="cs"/>
          <w:sz w:val="22"/>
          <w:rtl/>
        </w:rPr>
        <w:t>ה</w:t>
      </w:r>
      <w:r w:rsidRPr="002D58F1">
        <w:rPr>
          <w:rFonts w:hint="cs"/>
          <w:sz w:val="22"/>
          <w:rtl/>
        </w:rPr>
        <w:t>שומה</w:t>
      </w:r>
      <w:r w:rsidR="001B30D2" w:rsidRPr="002D58F1">
        <w:rPr>
          <w:rFonts w:hint="cs"/>
          <w:sz w:val="22"/>
          <w:rtl/>
        </w:rPr>
        <w:t xml:space="preserve"> בהתאם לסעיף 14(ו) </w:t>
      </w:r>
      <w:r w:rsidR="00E76B3B" w:rsidRPr="002D58F1">
        <w:rPr>
          <w:rFonts w:hint="cs"/>
          <w:sz w:val="22"/>
          <w:rtl/>
        </w:rPr>
        <w:t xml:space="preserve">לתוספת השלישית </w:t>
      </w:r>
      <w:r w:rsidR="001B30D2" w:rsidRPr="002D58F1">
        <w:rPr>
          <w:rFonts w:hint="cs"/>
          <w:sz w:val="22"/>
          <w:rtl/>
        </w:rPr>
        <w:t xml:space="preserve">על פי נוסחו במועד </w:t>
      </w:r>
      <w:r w:rsidR="003C7FD4" w:rsidRPr="002D58F1">
        <w:rPr>
          <w:rFonts w:hint="cs"/>
          <w:sz w:val="22"/>
          <w:rtl/>
        </w:rPr>
        <w:t>תיקון השומה</w:t>
      </w:r>
      <w:r w:rsidR="001B30D2" w:rsidRPr="002D58F1">
        <w:rPr>
          <w:rFonts w:hint="cs"/>
          <w:sz w:val="22"/>
          <w:rtl/>
        </w:rPr>
        <w:t xml:space="preserve">. </w:t>
      </w:r>
      <w:r w:rsidR="00F10C32" w:rsidRPr="002D58F1">
        <w:rPr>
          <w:rFonts w:hint="cs"/>
          <w:sz w:val="22"/>
          <w:rtl/>
        </w:rPr>
        <w:t>כך נקבע בסעיף זה:</w:t>
      </w:r>
    </w:p>
    <w:p w14:paraId="385E6889" w14:textId="6AAD0310" w:rsidR="00F10C32" w:rsidRPr="002D58F1" w:rsidRDefault="00F10C32" w:rsidP="00C85DD2">
      <w:pPr>
        <w:spacing w:line="240" w:lineRule="auto"/>
        <w:ind w:right="284" w:firstLine="0"/>
        <w:rPr>
          <w:rFonts w:asciiTheme="minorBidi" w:hAnsiTheme="minorBidi" w:cstheme="minorBidi"/>
          <w:color w:val="000000"/>
          <w:sz w:val="22"/>
          <w:szCs w:val="22"/>
        </w:rPr>
      </w:pPr>
      <w:r w:rsidRPr="002D58F1">
        <w:rPr>
          <w:rFonts w:asciiTheme="minorBidi" w:hAnsiTheme="minorBidi" w:cstheme="minorBidi"/>
          <w:color w:val="000000"/>
          <w:sz w:val="22"/>
          <w:szCs w:val="22"/>
          <w:rtl/>
        </w:rPr>
        <w:t xml:space="preserve"> (ו)   הוועדה המקומית רשאית לשנות את השומה רק מנימוקים שעניינם טעות בפרטי המקרקעין, הנתונים הפיזיים של המקרקעין, התכניות החלות על המקרקעין או הזכויות שיש לחייב במקרקעין.</w:t>
      </w:r>
    </w:p>
    <w:p w14:paraId="47D726B9" w14:textId="77777777" w:rsidR="004A4966" w:rsidRPr="002D58F1" w:rsidRDefault="00B83B3F" w:rsidP="00CC7708">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גדריו של הסעיף האמור נדונו בפירוט לאחרונה </w:t>
      </w:r>
      <w:r w:rsidRPr="002D58F1">
        <w:rPr>
          <w:sz w:val="22"/>
          <w:rtl/>
        </w:rPr>
        <w:t xml:space="preserve">עמנ (חי') 57165-09-22‏ ‏ </w:t>
      </w:r>
      <w:r w:rsidRPr="002D58F1">
        <w:rPr>
          <w:b/>
          <w:bCs/>
          <w:sz w:val="22"/>
          <w:rtl/>
        </w:rPr>
        <w:t>אינג' בר יהודה בע"מ נ' הוועדה המקומית לתכנון ובניה יישובי הברון</w:t>
      </w:r>
      <w:r w:rsidR="004A4966" w:rsidRPr="002D58F1">
        <w:rPr>
          <w:rFonts w:hint="cs"/>
          <w:sz w:val="22"/>
          <w:rtl/>
        </w:rPr>
        <w:t xml:space="preserve"> (נבו)</w:t>
      </w:r>
      <w:r w:rsidR="004A4966" w:rsidRPr="002D58F1">
        <w:rPr>
          <w:rFonts w:hint="cs"/>
          <w:sz w:val="22"/>
        </w:rPr>
        <w:t xml:space="preserve"> </w:t>
      </w:r>
      <w:r w:rsidR="004A4966" w:rsidRPr="002D58F1">
        <w:rPr>
          <w:rFonts w:hint="cs"/>
          <w:sz w:val="22"/>
          <w:rtl/>
        </w:rPr>
        <w:t>(להלן: "</w:t>
      </w:r>
      <w:r w:rsidR="004A4966" w:rsidRPr="002D58F1">
        <w:rPr>
          <w:rFonts w:hint="cs"/>
          <w:b/>
          <w:bCs/>
          <w:sz w:val="22"/>
          <w:rtl/>
        </w:rPr>
        <w:t>בר יהודה</w:t>
      </w:r>
      <w:r w:rsidR="004A4966" w:rsidRPr="002D58F1">
        <w:rPr>
          <w:rFonts w:hint="cs"/>
          <w:sz w:val="22"/>
          <w:rtl/>
        </w:rPr>
        <w:t>")</w:t>
      </w:r>
      <w:r w:rsidRPr="002D58F1">
        <w:rPr>
          <w:rFonts w:hint="cs"/>
          <w:sz w:val="22"/>
          <w:rtl/>
        </w:rPr>
        <w:t xml:space="preserve">. </w:t>
      </w:r>
    </w:p>
    <w:p w14:paraId="714728C7" w14:textId="77777777" w:rsidR="00974DCA" w:rsidRPr="002D58F1" w:rsidRDefault="00B83B3F" w:rsidP="00CC7708">
      <w:pPr>
        <w:pStyle w:val="ListParagraph"/>
        <w:numPr>
          <w:ilvl w:val="0"/>
          <w:numId w:val="4"/>
        </w:numPr>
        <w:spacing w:before="0" w:after="160" w:line="360" w:lineRule="auto"/>
        <w:ind w:left="226" w:hanging="425"/>
        <w:contextualSpacing w:val="0"/>
        <w:rPr>
          <w:sz w:val="22"/>
        </w:rPr>
      </w:pPr>
      <w:r w:rsidRPr="002D58F1">
        <w:rPr>
          <w:sz w:val="22"/>
          <w:rtl/>
        </w:rPr>
        <w:t xml:space="preserve">ברמ 1713/24 </w:t>
      </w:r>
      <w:r w:rsidRPr="002D58F1">
        <w:rPr>
          <w:b/>
          <w:bCs/>
          <w:sz w:val="22"/>
          <w:rtl/>
        </w:rPr>
        <w:t>אינג` בר יהודה בע"מ נ' הוועדה המרחבית לתכנון ובניה ישובי הברון (שומרון)‏</w:t>
      </w:r>
      <w:r w:rsidRPr="002D58F1">
        <w:rPr>
          <w:rFonts w:hint="cs"/>
          <w:b/>
          <w:bCs/>
          <w:sz w:val="22"/>
          <w:rtl/>
        </w:rPr>
        <w:t xml:space="preserve"> </w:t>
      </w:r>
      <w:r w:rsidRPr="002D58F1">
        <w:rPr>
          <w:rFonts w:hint="cs"/>
          <w:sz w:val="22"/>
          <w:rtl/>
        </w:rPr>
        <w:t xml:space="preserve">(נבו) שהוגש כנגד פסק הדין נדחה על ידי בית המשפט העליון. </w:t>
      </w:r>
    </w:p>
    <w:p w14:paraId="4E30E384" w14:textId="0578404B" w:rsidR="00B83B3F" w:rsidRPr="002D58F1" w:rsidRDefault="00B83B3F" w:rsidP="00CC7708">
      <w:pPr>
        <w:pStyle w:val="ListParagraph"/>
        <w:numPr>
          <w:ilvl w:val="0"/>
          <w:numId w:val="4"/>
        </w:numPr>
        <w:spacing w:before="0" w:after="160" w:line="360" w:lineRule="auto"/>
        <w:ind w:left="226" w:hanging="425"/>
        <w:contextualSpacing w:val="0"/>
        <w:rPr>
          <w:sz w:val="22"/>
        </w:rPr>
      </w:pPr>
      <w:r w:rsidRPr="002D58F1">
        <w:rPr>
          <w:rFonts w:hint="cs"/>
          <w:sz w:val="22"/>
          <w:rtl/>
        </w:rPr>
        <w:t>כך נקבע</w:t>
      </w:r>
      <w:r w:rsidR="004A4966" w:rsidRPr="002D58F1">
        <w:rPr>
          <w:rFonts w:hint="cs"/>
          <w:sz w:val="22"/>
          <w:rtl/>
        </w:rPr>
        <w:t xml:space="preserve"> בעמ"נ בר יהודה</w:t>
      </w:r>
      <w:r w:rsidRPr="002D58F1">
        <w:rPr>
          <w:rFonts w:hint="cs"/>
          <w:sz w:val="22"/>
          <w:rtl/>
        </w:rPr>
        <w:t>:</w:t>
      </w:r>
    </w:p>
    <w:p w14:paraId="649F7CEE" w14:textId="4DAA42AA" w:rsidR="00E92A13" w:rsidRPr="002D58F1" w:rsidRDefault="00E92A13" w:rsidP="00C85DD2">
      <w:pPr>
        <w:spacing w:line="240" w:lineRule="auto"/>
        <w:ind w:right="284" w:firstLine="0"/>
        <w:rPr>
          <w:rFonts w:asciiTheme="minorBidi" w:hAnsiTheme="minorBidi" w:cstheme="minorBidi"/>
          <w:color w:val="000000"/>
          <w:sz w:val="22"/>
          <w:szCs w:val="22"/>
        </w:rPr>
      </w:pPr>
      <w:r w:rsidRPr="002D58F1">
        <w:rPr>
          <w:rFonts w:asciiTheme="minorBidi" w:hAnsiTheme="minorBidi" w:cstheme="minorBidi"/>
          <w:color w:val="000000"/>
          <w:sz w:val="22"/>
          <w:szCs w:val="22"/>
          <w:rtl/>
        </w:rPr>
        <w:t>עוד טענה הוועדה המקומית, כי היא כן מוסמכת לתקן את השומה מכח סמכותה לפי </w:t>
      </w:r>
      <w:hyperlink r:id="rId19" w:history="1">
        <w:r w:rsidRPr="002D58F1">
          <w:rPr>
            <w:rFonts w:asciiTheme="minorBidi" w:hAnsiTheme="minorBidi" w:cstheme="minorBidi"/>
            <w:color w:val="000000"/>
            <w:sz w:val="22"/>
            <w:szCs w:val="22"/>
            <w:rtl/>
          </w:rPr>
          <w:t>סע' 14(ו)</w:t>
        </w:r>
      </w:hyperlink>
      <w:r w:rsidRPr="002D58F1">
        <w:rPr>
          <w:rFonts w:asciiTheme="minorBidi" w:hAnsiTheme="minorBidi" w:cstheme="minorBidi"/>
          <w:color w:val="000000"/>
          <w:sz w:val="22"/>
          <w:szCs w:val="22"/>
          <w:rtl/>
        </w:rPr>
        <w:t xml:space="preserve"> לתוספת השלישית. </w:t>
      </w:r>
      <w:r w:rsidR="00687078" w:rsidRPr="002D58F1">
        <w:rPr>
          <w:rFonts w:asciiTheme="minorBidi" w:hAnsiTheme="minorBidi" w:cstheme="minorBidi" w:hint="cs"/>
          <w:color w:val="000000"/>
          <w:sz w:val="22"/>
          <w:szCs w:val="22"/>
          <w:rtl/>
        </w:rPr>
        <w:t>.....</w:t>
      </w:r>
    </w:p>
    <w:p w14:paraId="5588ADF8" w14:textId="77777777" w:rsidR="00E92A13" w:rsidRPr="002D58F1" w:rsidRDefault="00E92A13"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סמכות גם קיימת, כך נטען,  לנוכח העובדה שבשומה המקורית אין התייחסות לכל הזכויות שהעניקה התוכנית המשביחה, כמו באשר לשטחי השירות, שטחי חניה והקשר התכנוני עם המגרש הדרומי, ומכאן נפל פגם בשומה זו ביחס  למצב התכנוני המצדיק תיקון. עוד סבורה הוועדה המקומית, כי היא רשאית להפעיל את סמכות התיקון מהטעם שבשומה המקורית לא נלקחו בחשבון מלוא הנתונים הפיזיים של המגרש הצפוני, כמו אלה הנגזרים מזכויות במגרשים סמוכים והקשר הפיסי בבנייה עם המגרש הדרומי. מה גם, כך נטען, כי התקיימות אחת החלופות הקבוע בסע' 14(ו) ראוי כי תיבחן תחילה על-ידי שמאי מייעץ, שיעיין בשומות ויחליט האם קיים פגם המצדיק תיקון.</w:t>
      </w:r>
    </w:p>
    <w:p w14:paraId="7786F86E" w14:textId="77777777" w:rsidR="00E92A13" w:rsidRPr="002D58F1" w:rsidRDefault="00E92A13"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lastRenderedPageBreak/>
        <w:t>            הוועדה המקומית הוסיפה, כי היא מוסמכת לתקון את השומה שנפל בה פגם חמור מכח העיקרון של גביית מס אמת, עיקרון הוודאות ואף הצדק החלוקתי. מכח עיקרון זה, נתונה לוועדה הזכות לתקון השומה המקורית גם אם המקרה לא נמנה על החלופות שקיבלו ביטוי </w:t>
      </w:r>
      <w:hyperlink r:id="rId20" w:history="1">
        <w:r w:rsidRPr="002D58F1">
          <w:rPr>
            <w:rFonts w:asciiTheme="minorBidi" w:hAnsiTheme="minorBidi" w:cstheme="minorBidi"/>
            <w:color w:val="000000"/>
            <w:sz w:val="22"/>
            <w:szCs w:val="22"/>
            <w:rtl/>
          </w:rPr>
          <w:t>בסע' 14(ו)</w:t>
        </w:r>
      </w:hyperlink>
      <w:r w:rsidRPr="002D58F1">
        <w:rPr>
          <w:rFonts w:asciiTheme="minorBidi" w:hAnsiTheme="minorBidi" w:cstheme="minorBidi"/>
          <w:color w:val="000000"/>
          <w:sz w:val="22"/>
          <w:szCs w:val="22"/>
          <w:rtl/>
        </w:rPr>
        <w:t> לתוספת השלישית.</w:t>
      </w:r>
    </w:p>
    <w:p w14:paraId="0FF57F09" w14:textId="6E537D07" w:rsidR="00E92A13" w:rsidRPr="002D58F1" w:rsidRDefault="00687078"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hint="cs"/>
          <w:color w:val="000000"/>
          <w:sz w:val="22"/>
          <w:szCs w:val="22"/>
          <w:rtl/>
        </w:rPr>
        <w:t>.......</w:t>
      </w:r>
    </w:p>
    <w:p w14:paraId="58174579" w14:textId="77777777" w:rsidR="00E92A13" w:rsidRPr="002D58F1" w:rsidRDefault="00E92A13"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דיון והכרעה</w:t>
      </w:r>
    </w:p>
    <w:p w14:paraId="648E0121" w14:textId="77777777" w:rsidR="00E92A13" w:rsidRPr="002D58F1" w:rsidRDefault="00E92A13"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29.        בניגוד לדעתה של הוועדה המקומית העיקרון של תשלום מס אמת על אף חשיבותו לא מקנה לה סמכות גורפת לתיקונה של שומה. גם בהתעלם מהמתווה שקיבל ביטוי </w:t>
      </w:r>
      <w:hyperlink r:id="rId21" w:history="1">
        <w:r w:rsidRPr="002D58F1">
          <w:rPr>
            <w:rFonts w:asciiTheme="minorBidi" w:hAnsiTheme="minorBidi" w:cstheme="minorBidi"/>
            <w:color w:val="000000"/>
            <w:sz w:val="22"/>
            <w:szCs w:val="22"/>
            <w:rtl/>
          </w:rPr>
          <w:t>בסע' 14(ו)</w:t>
        </w:r>
      </w:hyperlink>
      <w:r w:rsidRPr="002D58F1">
        <w:rPr>
          <w:rFonts w:asciiTheme="minorBidi" w:hAnsiTheme="minorBidi" w:cstheme="minorBidi"/>
          <w:color w:val="000000"/>
          <w:sz w:val="22"/>
          <w:szCs w:val="22"/>
          <w:rtl/>
        </w:rPr>
        <w:t> לתוספת השלישית הרי סמכות התיקון הכללית הנתונה בידי הרשות לא משוחררת מכל מגבלה:</w:t>
      </w:r>
    </w:p>
    <w:p w14:paraId="36CE3D22" w14:textId="7B36B19D" w:rsidR="00E92A13" w:rsidRPr="002D58F1" w:rsidRDefault="00687078"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hint="cs"/>
          <w:color w:val="000000"/>
          <w:sz w:val="22"/>
          <w:szCs w:val="22"/>
          <w:rtl/>
        </w:rPr>
        <w:t>........</w:t>
      </w:r>
    </w:p>
    <w:p w14:paraId="210C1BA4" w14:textId="77777777" w:rsidR="00E92A13" w:rsidRPr="002D58F1" w:rsidRDefault="00E92A13"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30. הדבר נכון ביתר שאת שעה שקיים הסדר ספציפי בחוק שמתווה את גבולות סמכותה של הרשות לתיקון החלטתה, כפי ענייננו. במצב דברים זה כאשר עסקינן בהסדר ממצה שתכליתו  לא מתיישבת עם הסמכות הכללית לשנות החלטה מנהלית, נכון לכבד את רצון המחוקק ולבכר מתווה זה על סמכותה הכללית של רשות לתיקון טעות שנפלה בהחלטתה (דפנה ברק-ארז, </w:t>
      </w:r>
      <w:hyperlink r:id="rId22" w:history="1">
        <w:r w:rsidRPr="002D58F1">
          <w:rPr>
            <w:rFonts w:asciiTheme="minorBidi" w:hAnsiTheme="minorBidi" w:cstheme="minorBidi"/>
            <w:color w:val="000000"/>
            <w:sz w:val="22"/>
            <w:szCs w:val="22"/>
            <w:rtl/>
          </w:rPr>
          <w:t>משפט מינהלי</w:t>
        </w:r>
      </w:hyperlink>
      <w:r w:rsidRPr="002D58F1">
        <w:rPr>
          <w:rFonts w:asciiTheme="minorBidi" w:hAnsiTheme="minorBidi" w:cstheme="minorBidi"/>
          <w:color w:val="000000"/>
          <w:sz w:val="22"/>
          <w:szCs w:val="22"/>
          <w:rtl/>
        </w:rPr>
        <w:t> (כרך א, 2010), עמ' 375-376)).</w:t>
      </w:r>
    </w:p>
    <w:p w14:paraId="0C9E8EB2" w14:textId="20723832" w:rsidR="00E92A13" w:rsidRPr="002D58F1" w:rsidRDefault="00E92A13" w:rsidP="00834D13">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 31.        ולעניין פרשנות ויישום </w:t>
      </w:r>
      <w:hyperlink r:id="rId23" w:history="1">
        <w:r w:rsidRPr="002D58F1">
          <w:rPr>
            <w:rFonts w:asciiTheme="minorBidi" w:hAnsiTheme="minorBidi" w:cstheme="minorBidi"/>
            <w:color w:val="000000"/>
            <w:sz w:val="22"/>
            <w:szCs w:val="22"/>
            <w:rtl/>
          </w:rPr>
          <w:t>סע' 14(ו)</w:t>
        </w:r>
      </w:hyperlink>
      <w:r w:rsidRPr="002D58F1">
        <w:rPr>
          <w:rFonts w:asciiTheme="minorBidi" w:hAnsiTheme="minorBidi" w:cstheme="minorBidi"/>
          <w:color w:val="000000"/>
          <w:sz w:val="22"/>
          <w:szCs w:val="22"/>
          <w:rtl/>
        </w:rPr>
        <w:t> לתוספת השלישית, נקבע בזו הלשון:</w:t>
      </w:r>
    </w:p>
    <w:p w14:paraId="388C44EB" w14:textId="05D2A9BD" w:rsidR="00E92A13" w:rsidRPr="002D58F1" w:rsidRDefault="00E92A13" w:rsidP="00834D13">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"במאמר מוסגר יצוין כי כיום, לאחר תיקון מס' 84 לחוק, ההסדר המאפשר לוועדה המקומית לתקן שומה קבוע בסעיף 14(ו)</w:t>
      </w:r>
      <w:r w:rsidRPr="002D58F1">
        <w:rPr>
          <w:rFonts w:asciiTheme="minorBidi" w:hAnsiTheme="minorBidi" w:cstheme="minorBidi"/>
          <w:color w:val="000000"/>
          <w:sz w:val="22"/>
          <w:szCs w:val="22"/>
        </w:rPr>
        <w:t> </w:t>
      </w:r>
      <w:r w:rsidRPr="002D58F1">
        <w:rPr>
          <w:rFonts w:asciiTheme="minorBidi" w:hAnsiTheme="minorBidi" w:cstheme="minorBidi"/>
          <w:color w:val="000000"/>
          <w:sz w:val="22"/>
          <w:szCs w:val="22"/>
          <w:rtl/>
        </w:rPr>
        <w:t>לתוספת השלישית, וקובע כי "הוועדה המקומית רשאית לשנות את השומה רק מנימוקים שעניינם טעות בפרטי המקרקעין, הנתונים הפיזיים של המקרקעין, התכניות החלות על המקרקעין או הזכויות שיש לחייב במקרקעין". סעיף זה נועד להגביל את סמכות התיקון לעילות טכניות באופיין, כאלה שאינן קשורות לעבודתו המקצועית של השמאי (ראו דבריו של עו"ד תומר רוזנר, היועץ המשפטי של ועדת הפנים והגנת הסביבה של הכנסת, ודבריה של עו"ד שרית דנה, המשנה ליועץ המשפטי לממשלה (אזרחי), בדיון בהכנת תיקון מס' 84 לקריאה שנייה ושלישית</w:t>
      </w:r>
      <w:r w:rsidRPr="002D58F1">
        <w:rPr>
          <w:rFonts w:asciiTheme="minorBidi" w:hAnsiTheme="minorBidi" w:cstheme="minorBidi"/>
          <w:color w:val="000000"/>
          <w:sz w:val="22"/>
          <w:szCs w:val="22"/>
        </w:rPr>
        <w:t>, </w:t>
      </w:r>
      <w:r w:rsidRPr="002D58F1">
        <w:rPr>
          <w:rFonts w:asciiTheme="minorBidi" w:hAnsiTheme="minorBidi" w:cstheme="minorBidi"/>
          <w:color w:val="000000"/>
          <w:sz w:val="22"/>
          <w:szCs w:val="22"/>
          <w:rtl/>
        </w:rPr>
        <w:t>פרוטוקול ישיבה מס' 385 של ועדת הפנים והגנת הסביבה, הכנסת ה-17</w:t>
      </w:r>
      <w:r w:rsidRPr="002D58F1">
        <w:rPr>
          <w:rFonts w:asciiTheme="minorBidi" w:hAnsiTheme="minorBidi" w:cstheme="minorBidi"/>
          <w:color w:val="000000"/>
          <w:sz w:val="22"/>
          <w:szCs w:val="22"/>
        </w:rPr>
        <w:t>, 36 (24.6.2008); </w:t>
      </w:r>
      <w:r w:rsidRPr="002D58F1">
        <w:rPr>
          <w:rFonts w:asciiTheme="minorBidi" w:hAnsiTheme="minorBidi" w:cstheme="minorBidi"/>
          <w:color w:val="000000"/>
          <w:sz w:val="22"/>
          <w:szCs w:val="22"/>
          <w:rtl/>
        </w:rPr>
        <w:t>ראו גם נמדר</w:t>
      </w:r>
      <w:r w:rsidRPr="002D58F1">
        <w:rPr>
          <w:rFonts w:asciiTheme="minorBidi" w:hAnsiTheme="minorBidi" w:cstheme="minorBidi"/>
          <w:color w:val="000000"/>
          <w:sz w:val="22"/>
          <w:szCs w:val="22"/>
        </w:rPr>
        <w:t>, </w:t>
      </w:r>
      <w:r w:rsidRPr="002D58F1">
        <w:rPr>
          <w:rFonts w:asciiTheme="minorBidi" w:hAnsiTheme="minorBidi" w:cstheme="minorBidi"/>
          <w:color w:val="000000"/>
          <w:sz w:val="22"/>
          <w:szCs w:val="22"/>
          <w:rtl/>
        </w:rPr>
        <w:t>בעמ' 344). עוד יצוין כי בעוד שנוסח הסעיף שהובא לדיון בוועדת הפנים והגנת הסביבה היה: "הוועדה המקומית רשאית לשנות את השומה מחמת נימוקים שעניינם</w:t>
      </w:r>
      <w:r w:rsidRPr="002D58F1">
        <w:rPr>
          <w:rFonts w:asciiTheme="minorBidi" w:hAnsiTheme="minorBidi" w:cstheme="minorBidi"/>
          <w:color w:val="000000"/>
          <w:sz w:val="22"/>
          <w:szCs w:val="22"/>
        </w:rPr>
        <w:t>..." </w:t>
      </w:r>
      <w:r w:rsidRPr="002D58F1">
        <w:rPr>
          <w:rFonts w:asciiTheme="minorBidi" w:hAnsiTheme="minorBidi" w:cstheme="minorBidi"/>
          <w:color w:val="000000"/>
          <w:sz w:val="22"/>
          <w:szCs w:val="22"/>
          <w:rtl/>
        </w:rPr>
        <w:t>בסופו של דבר הוספה המילה רק</w:t>
      </w:r>
      <w:r w:rsidRPr="002D58F1">
        <w:rPr>
          <w:rFonts w:asciiTheme="minorBidi" w:hAnsiTheme="minorBidi" w:cstheme="minorBidi"/>
          <w:color w:val="000000"/>
          <w:sz w:val="22"/>
          <w:szCs w:val="22"/>
        </w:rPr>
        <w:t>, </w:t>
      </w:r>
      <w:r w:rsidRPr="002D58F1">
        <w:rPr>
          <w:rFonts w:asciiTheme="minorBidi" w:hAnsiTheme="minorBidi" w:cstheme="minorBidi"/>
          <w:color w:val="000000"/>
          <w:sz w:val="22"/>
          <w:szCs w:val="22"/>
          <w:rtl/>
        </w:rPr>
        <w:t>ללמדנו שמדובר ברשימה סגורה של עילות."(עניין קרו, פסקה 16; ראו גם  : אהרן נמדר, </w:t>
      </w:r>
      <w:hyperlink r:id="rId24" w:history="1">
        <w:r w:rsidRPr="002D58F1">
          <w:rPr>
            <w:rFonts w:asciiTheme="minorBidi" w:hAnsiTheme="minorBidi" w:cstheme="minorBidi"/>
            <w:color w:val="000000"/>
            <w:sz w:val="22"/>
            <w:szCs w:val="22"/>
            <w:rtl/>
          </w:rPr>
          <w:t>היטל השבחה</w:t>
        </w:r>
      </w:hyperlink>
      <w:r w:rsidRPr="002D58F1">
        <w:rPr>
          <w:rFonts w:asciiTheme="minorBidi" w:hAnsiTheme="minorBidi" w:cstheme="minorBidi"/>
          <w:color w:val="000000"/>
          <w:sz w:val="22"/>
          <w:szCs w:val="22"/>
          <w:rtl/>
        </w:rPr>
        <w:t>, תשע"ב-2011, עמ' 344))(להלן: נמדר).</w:t>
      </w:r>
      <w:r w:rsidR="00834D13" w:rsidRPr="002D58F1">
        <w:rPr>
          <w:rFonts w:asciiTheme="minorBidi" w:hAnsiTheme="minorBidi" w:cstheme="minorBidi"/>
          <w:color w:val="000000"/>
          <w:sz w:val="22"/>
          <w:szCs w:val="22"/>
          <w:rtl/>
        </w:rPr>
        <w:t xml:space="preserve"> </w:t>
      </w:r>
      <w:r w:rsidRPr="002D58F1">
        <w:rPr>
          <w:rFonts w:asciiTheme="minorBidi" w:hAnsiTheme="minorBidi" w:cstheme="minorBidi"/>
          <w:color w:val="000000"/>
          <w:sz w:val="22"/>
          <w:szCs w:val="22"/>
          <w:rtl/>
        </w:rPr>
        <w:t>הרשימה היא סגורה וסמכות התיקון היא טכנית במהותה שלא מיועדת להתמודד עם טעויות שנפלו בעבודתו המקצועית של השמאי שערך את השומה המקורית.</w:t>
      </w:r>
    </w:p>
    <w:p w14:paraId="783CAECE" w14:textId="7C48BF67" w:rsidR="00E92A13" w:rsidRPr="002D58F1" w:rsidRDefault="00E92A13"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32.        אכן לוועדה המקומית נתונה הסמכות לתיקון השומה בעקבות טעות בסיווג זכויות החברה במגרש, טעות בנתונים הפיזיים של המגרש או התכניות החלות, אלא שהדבר אפשרי בקיומה של טעות כזו, וכל עוד התיקון הדרוש מיועד לתקן אותה טעות טכנית בלבד ויתכן גם השלכותיה המצומצמות. רוצה לומר, טעות כזו לא מקנה לוועדה המקומית הסמכות לעשות כל  שינוי או תיקון אלא רק זה הנובע מאותה טעות מוגדרת כאשר התיקון או השינויים האפשריים הם טכניים בלבד, זאת בשונה מתיקון קביעותיו המקצועיות ומסקנותיו הסופיות של השמאי עורך השומה המקורית.</w:t>
      </w:r>
    </w:p>
    <w:p w14:paraId="2CA31280" w14:textId="5C4D6028" w:rsidR="00F10CA9" w:rsidRPr="002D58F1" w:rsidRDefault="00F10CA9"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דברים אלו מפורשים ומדברים בעד עצמם.</w:t>
      </w:r>
      <w:r w:rsidR="00824075" w:rsidRPr="002D58F1">
        <w:rPr>
          <w:rFonts w:hint="cs"/>
          <w:sz w:val="22"/>
          <w:rtl/>
        </w:rPr>
        <w:t xml:space="preserve"> הסמכות לתקן שומה היא טכנית בלבד ואינה כוללת את שינוי היקף זכויות הבניה הכלולות בתכנית וודאי לא את משמעות המטלה הציבורית, שהינה סוגיה עצמאית השנויה במחלוקת וודאי אינה בגדר תיקון "טכני".</w:t>
      </w:r>
    </w:p>
    <w:p w14:paraId="3ED010C8" w14:textId="6FEE28DE" w:rsidR="00F10CA9" w:rsidRPr="002D58F1" w:rsidRDefault="00F10CA9"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גם ועדות הערר עסקו בסוגיה זו.</w:t>
      </w:r>
    </w:p>
    <w:p w14:paraId="097F8DEA" w14:textId="4B9332F7" w:rsidR="00DD0304" w:rsidRPr="002D58F1" w:rsidRDefault="00DD0304" w:rsidP="00DF7128">
      <w:pPr>
        <w:pStyle w:val="ListParagraph"/>
        <w:numPr>
          <w:ilvl w:val="0"/>
          <w:numId w:val="4"/>
        </w:numPr>
        <w:spacing w:before="0" w:after="160" w:line="360" w:lineRule="auto"/>
        <w:ind w:left="226" w:hanging="425"/>
        <w:contextualSpacing w:val="0"/>
        <w:rPr>
          <w:sz w:val="22"/>
        </w:rPr>
      </w:pPr>
      <w:r w:rsidRPr="002D58F1">
        <w:rPr>
          <w:rFonts w:hint="cs"/>
          <w:sz w:val="22"/>
          <w:rtl/>
        </w:rPr>
        <w:lastRenderedPageBreak/>
        <w:t>כך למשל נקבע בעניין</w:t>
      </w:r>
      <w:r w:rsidRPr="002D58F1">
        <w:rPr>
          <w:sz w:val="22"/>
          <w:rtl/>
        </w:rPr>
        <w:t xml:space="preserve">‏ (ת"א) 85151/17 </w:t>
      </w:r>
      <w:r w:rsidRPr="002D58F1">
        <w:rPr>
          <w:b/>
          <w:bCs/>
          <w:sz w:val="22"/>
          <w:rtl/>
        </w:rPr>
        <w:t>פסו רומי ניהול שיווק ופיקוח בע"מ נ' הוועדה המקומית לתכנון ובניה אור יהודה</w:t>
      </w:r>
      <w:r w:rsidR="00DF7128" w:rsidRPr="002D58F1">
        <w:rPr>
          <w:rFonts w:hint="cs"/>
          <w:sz w:val="22"/>
          <w:rtl/>
        </w:rPr>
        <w:t xml:space="preserve"> (נבו):</w:t>
      </w:r>
    </w:p>
    <w:p w14:paraId="71EC35AE" w14:textId="77777777" w:rsidR="0025603B" w:rsidRPr="002D58F1" w:rsidRDefault="0025603B" w:rsidP="00C85DD2">
      <w:pPr>
        <w:spacing w:line="240" w:lineRule="auto"/>
        <w:ind w:right="284" w:firstLine="0"/>
        <w:rPr>
          <w:rFonts w:asciiTheme="minorBidi" w:hAnsiTheme="minorBidi" w:cstheme="minorBidi"/>
          <w:color w:val="000000"/>
          <w:sz w:val="22"/>
          <w:szCs w:val="22"/>
        </w:rPr>
      </w:pPr>
      <w:r w:rsidRPr="002D58F1">
        <w:rPr>
          <w:rFonts w:asciiTheme="minorBidi" w:hAnsiTheme="minorBidi" w:cstheme="minorBidi"/>
          <w:color w:val="000000"/>
          <w:sz w:val="22"/>
          <w:szCs w:val="22"/>
          <w:rtl/>
        </w:rPr>
        <w:t>מטענות הוועדה מקומית עולה לכאורה כי היא סבורה שהביטוי "הזכויות שיש לחייב במקרקעין" אינו מתייחס לזכויות הקנייניות שיש לחייב, הנישום, במקרקעין, כי אם לזכויות הבניה שבגינן יש לחייב בהיטל השבחה. פרשנות זו אין לה לטעמנו בסיס.</w:t>
      </w:r>
    </w:p>
    <w:p w14:paraId="0DD43998" w14:textId="77777777" w:rsidR="0025603B" w:rsidRPr="002D58F1" w:rsidRDefault="0025603B"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ראשית, היא אינה עולה בקנה אחד עם השימוש שעושה </w:t>
      </w:r>
      <w:hyperlink r:id="rId25" w:history="1">
        <w:r w:rsidRPr="002D58F1">
          <w:rPr>
            <w:rFonts w:asciiTheme="minorBidi" w:hAnsiTheme="minorBidi" w:cstheme="minorBidi"/>
            <w:color w:val="000000"/>
            <w:sz w:val="22"/>
            <w:szCs w:val="22"/>
            <w:rtl/>
          </w:rPr>
          <w:t>התוספת השלישית</w:t>
        </w:r>
      </w:hyperlink>
      <w:r w:rsidRPr="002D58F1">
        <w:rPr>
          <w:rFonts w:asciiTheme="minorBidi" w:hAnsiTheme="minorBidi" w:cstheme="minorBidi"/>
          <w:color w:val="000000"/>
          <w:sz w:val="22"/>
          <w:szCs w:val="22"/>
          <w:rtl/>
        </w:rPr>
        <w:t> במונח "חייב" המתארת את הנישום.</w:t>
      </w:r>
    </w:p>
    <w:p w14:paraId="21B23D7C" w14:textId="77777777" w:rsidR="0025603B" w:rsidRPr="002D58F1" w:rsidRDefault="0025603B"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שנית, פרשנות זו יוצרת חזרה מיותרת </w:t>
      </w:r>
      <w:hyperlink r:id="rId26" w:history="1">
        <w:r w:rsidRPr="002D58F1">
          <w:rPr>
            <w:rFonts w:asciiTheme="minorBidi" w:hAnsiTheme="minorBidi" w:cstheme="minorBidi"/>
            <w:color w:val="000000"/>
            <w:sz w:val="22"/>
            <w:szCs w:val="22"/>
            <w:rtl/>
          </w:rPr>
          <w:t>בסעיף 14(ו)</w:t>
        </w:r>
      </w:hyperlink>
      <w:r w:rsidRPr="002D58F1">
        <w:rPr>
          <w:rFonts w:asciiTheme="minorBidi" w:hAnsiTheme="minorBidi" w:cstheme="minorBidi"/>
          <w:color w:val="000000"/>
          <w:sz w:val="22"/>
          <w:szCs w:val="22"/>
          <w:rtl/>
        </w:rPr>
        <w:t> בין האפשרות לתקן שומה בשל טעות בתכנית החלה לבין הזכויות הקבועות בה, ומאידך יוצרת חסר באפשרות לתקן את השומה במצב שבו נפלה טעות בזכויות החייב במקרקעין. כך למשל, גם אם הסתבר שהחייב – הנישום – מחזיק ב- 5% מהמקרקעין ולא ב- 50% מהם, פרמטר אובייקטיבי לחלוטין שמצדיק אכן להסמיך את הוועדה המקומית לתקן את השומה על פי תפיסת תיקון 84 – לפי פרשנות הוועדה המקומית אין ברשימה הסגורה של </w:t>
      </w:r>
      <w:hyperlink r:id="rId27" w:history="1">
        <w:r w:rsidRPr="002D58F1">
          <w:rPr>
            <w:rFonts w:asciiTheme="minorBidi" w:hAnsiTheme="minorBidi" w:cstheme="minorBidi"/>
            <w:color w:val="000000"/>
            <w:sz w:val="22"/>
            <w:szCs w:val="22"/>
            <w:rtl/>
          </w:rPr>
          <w:t>סעיף 14(ו)</w:t>
        </w:r>
      </w:hyperlink>
      <w:r w:rsidRPr="002D58F1">
        <w:rPr>
          <w:rFonts w:asciiTheme="minorBidi" w:hAnsiTheme="minorBidi" w:cstheme="minorBidi"/>
          <w:color w:val="000000"/>
          <w:sz w:val="22"/>
          <w:szCs w:val="22"/>
          <w:rtl/>
        </w:rPr>
        <w:t> אפשרות לעשות כן.</w:t>
      </w:r>
    </w:p>
    <w:p w14:paraId="4DED798A" w14:textId="77777777" w:rsidR="0025603B" w:rsidRPr="002D58F1" w:rsidRDefault="0025603B" w:rsidP="00C85DD2">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שלישית, אם הביטוי "לחייב" אינו מתייחס לשם עצם – הנישום - כי אם לשם הפועל, נוצר משפט חסר משמעות לשונית "זכויות שיש לחייב במקרקעין", ולא זכויות שיש לחייב בגינן, בטרמינולוגיה זרה </w:t>
      </w:r>
      <w:hyperlink r:id="rId28" w:history="1">
        <w:r w:rsidRPr="002D58F1">
          <w:rPr>
            <w:rFonts w:asciiTheme="minorBidi" w:hAnsiTheme="minorBidi" w:cstheme="minorBidi"/>
            <w:color w:val="000000"/>
            <w:sz w:val="22"/>
            <w:szCs w:val="22"/>
            <w:rtl/>
          </w:rPr>
          <w:t>לתוספת השלישית</w:t>
        </w:r>
      </w:hyperlink>
      <w:r w:rsidRPr="002D58F1">
        <w:rPr>
          <w:rFonts w:asciiTheme="minorBidi" w:hAnsiTheme="minorBidi" w:cstheme="minorBidi"/>
          <w:color w:val="000000"/>
          <w:sz w:val="22"/>
          <w:szCs w:val="22"/>
          <w:rtl/>
        </w:rPr>
        <w:t> אשר אינה קובעת חיוב במקרקעין .</w:t>
      </w:r>
    </w:p>
    <w:p w14:paraId="31D4D2F4" w14:textId="5C7B77DA" w:rsidR="00E82A1C" w:rsidRPr="002D58F1" w:rsidRDefault="005A07BB" w:rsidP="001652CA">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ראו בעניין זה גם </w:t>
      </w:r>
      <w:r w:rsidR="00E82A1C" w:rsidRPr="002D58F1">
        <w:rPr>
          <w:sz w:val="22"/>
          <w:rtl/>
        </w:rPr>
        <w:t>גב/</w:t>
      </w:r>
      <w:hyperlink r:id="rId29" w:history="1">
        <w:r w:rsidR="00E82A1C" w:rsidRPr="002D58F1">
          <w:rPr>
            <w:sz w:val="22"/>
            <w:rtl/>
          </w:rPr>
          <w:t>85207/13</w:t>
        </w:r>
      </w:hyperlink>
      <w:r w:rsidR="00E82A1C" w:rsidRPr="002D58F1">
        <w:rPr>
          <w:sz w:val="22"/>
          <w:rtl/>
        </w:rPr>
        <w:t> </w:t>
      </w:r>
      <w:r w:rsidR="00E82A1C" w:rsidRPr="002D58F1">
        <w:rPr>
          <w:b/>
          <w:bCs/>
          <w:sz w:val="22"/>
          <w:rtl/>
        </w:rPr>
        <w:t>ב.ש. רגב ניהול והשקעות בע"מ נ' הועדה המקומית לתכנון ובניה גבעתיים</w:t>
      </w:r>
      <w:r w:rsidR="00E82A1C" w:rsidRPr="002D58F1">
        <w:rPr>
          <w:sz w:val="22"/>
          <w:rtl/>
        </w:rPr>
        <w:t> (נבו)</w:t>
      </w:r>
      <w:r w:rsidRPr="002D58F1">
        <w:rPr>
          <w:rFonts w:hint="cs"/>
          <w:sz w:val="22"/>
          <w:rtl/>
        </w:rPr>
        <w:t xml:space="preserve"> שם אסרה ועדת הערר לתקן שומה ביחס לתכנית גב/460, כיוון שהליכי השמאות המכרעת הסתיימו ולא ניתן לדרוש היטל גבוה יותר לעת מתן היתר. </w:t>
      </w:r>
    </w:p>
    <w:p w14:paraId="11E18C14" w14:textId="02F5C6D0" w:rsidR="00F10CA9" w:rsidRPr="002D58F1" w:rsidRDefault="006A67D6"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לא למותר לציין כי דברים אלו מקבלים </w:t>
      </w:r>
      <w:r w:rsidR="0055088E" w:rsidRPr="002D58F1">
        <w:rPr>
          <w:rFonts w:hint="cs"/>
          <w:sz w:val="22"/>
          <w:rtl/>
        </w:rPr>
        <w:t>משנה</w:t>
      </w:r>
      <w:r w:rsidRPr="002D58F1">
        <w:rPr>
          <w:rFonts w:hint="cs"/>
          <w:sz w:val="22"/>
          <w:rtl/>
        </w:rPr>
        <w:t xml:space="preserve"> תוקף שעה שהיטל ההשבחה שולם כבר</w:t>
      </w:r>
      <w:r w:rsidR="000F7BC1" w:rsidRPr="002D58F1">
        <w:rPr>
          <w:rFonts w:hint="cs"/>
          <w:sz w:val="22"/>
          <w:rtl/>
        </w:rPr>
        <w:t xml:space="preserve"> - </w:t>
      </w:r>
      <w:r w:rsidR="000F7BC1" w:rsidRPr="002D58F1">
        <w:rPr>
          <w:sz w:val="22"/>
          <w:rtl/>
        </w:rPr>
        <w:t xml:space="preserve">ערר (מרכז) 8054-09-19‏ ‏ </w:t>
      </w:r>
      <w:r w:rsidR="000F7BC1" w:rsidRPr="002D58F1">
        <w:rPr>
          <w:b/>
          <w:bCs/>
          <w:sz w:val="22"/>
          <w:rtl/>
        </w:rPr>
        <w:t>אאורה ישראל יזמות והשקעות בע"מ נ' הועדה המקומית לתכנון ולבניה יהוד ‏מונסון</w:t>
      </w:r>
      <w:r w:rsidR="00BC65D6" w:rsidRPr="002D58F1">
        <w:rPr>
          <w:rFonts w:hint="cs"/>
          <w:sz w:val="22"/>
          <w:rtl/>
        </w:rPr>
        <w:t xml:space="preserve"> (נבו) (להלן: "</w:t>
      </w:r>
      <w:r w:rsidR="00BC65D6" w:rsidRPr="002D58F1">
        <w:rPr>
          <w:rFonts w:hint="cs"/>
          <w:b/>
          <w:bCs/>
          <w:sz w:val="22"/>
          <w:rtl/>
        </w:rPr>
        <w:t>אאורה</w:t>
      </w:r>
      <w:r w:rsidR="00BC65D6" w:rsidRPr="002D58F1">
        <w:rPr>
          <w:rFonts w:hint="cs"/>
          <w:sz w:val="22"/>
          <w:rtl/>
        </w:rPr>
        <w:t>")</w:t>
      </w:r>
      <w:r w:rsidRPr="002D58F1">
        <w:rPr>
          <w:rFonts w:hint="cs"/>
          <w:sz w:val="22"/>
          <w:rtl/>
        </w:rPr>
        <w:t>:</w:t>
      </w:r>
    </w:p>
    <w:p w14:paraId="279D8AB7" w14:textId="77777777" w:rsidR="006A67D6" w:rsidRPr="002D58F1" w:rsidRDefault="006A67D6" w:rsidP="00513F80">
      <w:pPr>
        <w:spacing w:line="240" w:lineRule="auto"/>
        <w:ind w:right="284" w:firstLine="0"/>
        <w:rPr>
          <w:rFonts w:asciiTheme="minorBidi" w:hAnsiTheme="minorBidi" w:cstheme="minorBidi"/>
          <w:color w:val="000000"/>
          <w:sz w:val="22"/>
          <w:szCs w:val="22"/>
        </w:rPr>
      </w:pPr>
      <w:r w:rsidRPr="002D58F1">
        <w:rPr>
          <w:rFonts w:asciiTheme="minorBidi" w:hAnsiTheme="minorBidi" w:cstheme="minorBidi"/>
          <w:color w:val="000000"/>
          <w:sz w:val="22"/>
          <w:szCs w:val="22"/>
          <w:rtl/>
        </w:rPr>
        <w:t>תיקון 84 אמנם נועד בעיקרו למנוע את האפשרות של הוועדה המקומית להגיע לשומה מוסכמת, שביטאה לא פעם הסכמות בלתי ראויות בינה לבין הנישום, אלא שבמסגרת התיקון שונתה גם סמכות הוועדה המקומית לתקן את השומה, </w:t>
      </w:r>
      <w:hyperlink r:id="rId30" w:history="1">
        <w:r w:rsidRPr="002D58F1">
          <w:rPr>
            <w:rStyle w:val="Hyperlink"/>
            <w:rFonts w:asciiTheme="minorBidi" w:hAnsiTheme="minorBidi" w:cstheme="minorBidi"/>
            <w:sz w:val="22"/>
            <w:szCs w:val="22"/>
            <w:rtl/>
          </w:rPr>
          <w:t>וסעיף 14(ה)</w:t>
        </w:r>
      </w:hyperlink>
      <w:r w:rsidRPr="002D58F1">
        <w:rPr>
          <w:rFonts w:asciiTheme="minorBidi" w:hAnsiTheme="minorBidi" w:cstheme="minorBidi"/>
          <w:color w:val="000000"/>
          <w:sz w:val="22"/>
          <w:szCs w:val="22"/>
          <w:rtl/>
        </w:rPr>
        <w:t>, שעד התיקון לחוק, התיר לוועדה המקומית לתקן את השומה שהוצאה על ידה בשל טעות שנפלה בה, הוחלף </w:t>
      </w:r>
      <w:hyperlink r:id="rId31" w:history="1">
        <w:r w:rsidRPr="002D58F1">
          <w:rPr>
            <w:rStyle w:val="Hyperlink"/>
            <w:rFonts w:asciiTheme="minorBidi" w:hAnsiTheme="minorBidi" w:cstheme="minorBidi"/>
            <w:sz w:val="22"/>
            <w:szCs w:val="22"/>
            <w:rtl/>
          </w:rPr>
          <w:t>בסעיף 14(ו)</w:t>
        </w:r>
      </w:hyperlink>
      <w:r w:rsidRPr="002D58F1">
        <w:rPr>
          <w:rFonts w:asciiTheme="minorBidi" w:hAnsiTheme="minorBidi" w:cstheme="minorBidi"/>
          <w:color w:val="000000"/>
          <w:sz w:val="22"/>
          <w:szCs w:val="22"/>
          <w:rtl/>
        </w:rPr>
        <w:t>, המתיר לוועדה המקומית לתקן את השומה בעילות טכניות במהותן המהוות רשימה סגורה של מקרים.</w:t>
      </w:r>
    </w:p>
    <w:p w14:paraId="61DF48D9" w14:textId="77777777" w:rsidR="006A67D6" w:rsidRPr="002D58F1" w:rsidRDefault="006A67D6" w:rsidP="00513F80">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ודוק – גם אם לשיטת הוועדה המקומית הסמכות לתיקון שומה בשל טעות שנפלה בה נותרה בעינה גם לאחר תיקון 84 לחוק, כסמכות טבועה, הרי שמן הראוי להחיל במצב זה את אותה מערכת איזונים שקבע המחוקק </w:t>
      </w:r>
      <w:hyperlink r:id="rId32" w:history="1">
        <w:r w:rsidRPr="002D58F1">
          <w:rPr>
            <w:rStyle w:val="Hyperlink"/>
            <w:rFonts w:asciiTheme="minorBidi" w:hAnsiTheme="minorBidi" w:cstheme="minorBidi"/>
            <w:sz w:val="22"/>
            <w:szCs w:val="22"/>
            <w:rtl/>
          </w:rPr>
          <w:t>בסעיף 14(ה)</w:t>
        </w:r>
      </w:hyperlink>
      <w:r w:rsidRPr="002D58F1">
        <w:rPr>
          <w:rFonts w:asciiTheme="minorBidi" w:hAnsiTheme="minorBidi" w:cstheme="minorBidi"/>
          <w:color w:val="000000"/>
          <w:sz w:val="22"/>
          <w:szCs w:val="22"/>
          <w:rtl/>
        </w:rPr>
        <w:t> ולהגביל את סמכות התיקון כך שלא תחול בנסיבות בהן שולם ההיטל. </w:t>
      </w:r>
    </w:p>
    <w:p w14:paraId="4DFA99C7" w14:textId="77777777" w:rsidR="006A67D6" w:rsidRPr="002D58F1" w:rsidRDefault="006A67D6" w:rsidP="00513F80">
      <w:pPr>
        <w:spacing w:line="240" w:lineRule="auto"/>
        <w:ind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מאחר ובענייננו, העוררת שילמה את היטל ההשבחה מיד עם קבלת דרישת התשלום הראשונה, הרי שגם לפי עמדת הוועדה המקומית (שאיננו מקבלים אותה), לא היתה לה כל סמכות להוציא שומה מתוקנת, וזאת גם אם סברה היא כי נפלה בשומה הראשונה טעות מהותית.</w:t>
      </w:r>
    </w:p>
    <w:p w14:paraId="04D39F0D" w14:textId="77777777" w:rsidR="00BF5238" w:rsidRPr="002D58F1" w:rsidRDefault="00BF5238" w:rsidP="0055088E">
      <w:pPr>
        <w:pStyle w:val="ListParagraph"/>
        <w:spacing w:before="0" w:after="160" w:line="360" w:lineRule="auto"/>
        <w:ind w:left="226" w:firstLine="0"/>
        <w:contextualSpacing w:val="0"/>
        <w:rPr>
          <w:b/>
          <w:bCs/>
          <w:u w:val="single"/>
          <w:rtl/>
        </w:rPr>
      </w:pPr>
    </w:p>
    <w:p w14:paraId="45DA4113" w14:textId="77777777" w:rsidR="00BF5238" w:rsidRPr="002D58F1" w:rsidRDefault="00BF5238" w:rsidP="0055088E">
      <w:pPr>
        <w:pStyle w:val="ListParagraph"/>
        <w:spacing w:before="0" w:after="160" w:line="360" w:lineRule="auto"/>
        <w:ind w:left="226" w:firstLine="0"/>
        <w:contextualSpacing w:val="0"/>
        <w:rPr>
          <w:b/>
          <w:bCs/>
          <w:u w:val="single"/>
          <w:rtl/>
        </w:rPr>
      </w:pPr>
    </w:p>
    <w:p w14:paraId="3D785F9E" w14:textId="45897855" w:rsidR="0055088E" w:rsidRPr="002D58F1" w:rsidRDefault="0055088E" w:rsidP="0055088E">
      <w:pPr>
        <w:pStyle w:val="ListParagraph"/>
        <w:spacing w:before="0" w:after="160" w:line="360" w:lineRule="auto"/>
        <w:ind w:left="226" w:firstLine="0"/>
        <w:contextualSpacing w:val="0"/>
        <w:rPr>
          <w:b/>
          <w:bCs/>
          <w:u w:val="single"/>
        </w:rPr>
      </w:pPr>
      <w:r w:rsidRPr="002D58F1">
        <w:rPr>
          <w:rFonts w:hint="cs"/>
          <w:b/>
          <w:bCs/>
          <w:u w:val="single"/>
          <w:rtl/>
        </w:rPr>
        <w:lastRenderedPageBreak/>
        <w:t>מן הכלל אל הפרט</w:t>
      </w:r>
    </w:p>
    <w:p w14:paraId="7BFDBE99" w14:textId="0DFB510A" w:rsidR="00303448" w:rsidRPr="002D58F1" w:rsidRDefault="00B83B3F" w:rsidP="001652CA">
      <w:pPr>
        <w:pStyle w:val="ListParagraph"/>
        <w:numPr>
          <w:ilvl w:val="0"/>
          <w:numId w:val="4"/>
        </w:numPr>
        <w:spacing w:before="0" w:after="160" w:line="360" w:lineRule="auto"/>
        <w:ind w:left="226" w:hanging="425"/>
        <w:contextualSpacing w:val="0"/>
        <w:rPr>
          <w:sz w:val="22"/>
        </w:rPr>
      </w:pPr>
      <w:r w:rsidRPr="002D58F1">
        <w:rPr>
          <w:rFonts w:hint="cs"/>
          <w:sz w:val="22"/>
          <w:rtl/>
        </w:rPr>
        <w:t>בענייננו אין חולק כי הטעות אותה ביקשה הוועדה המקומית לתקן</w:t>
      </w:r>
      <w:r w:rsidR="007B01F5" w:rsidRPr="002D58F1">
        <w:rPr>
          <w:rFonts w:hint="cs"/>
          <w:sz w:val="22"/>
          <w:rtl/>
        </w:rPr>
        <w:t xml:space="preserve"> אינה תיקון טכני גרידא. </w:t>
      </w:r>
    </w:p>
    <w:p w14:paraId="78E4B15A" w14:textId="3D399CC6" w:rsidR="003408DC" w:rsidRPr="002D58F1" w:rsidRDefault="007B5EFE" w:rsidP="00215233">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תיקון השומה נתבקש בשני נושאים - </w:t>
      </w:r>
      <w:r w:rsidR="003408DC" w:rsidRPr="002D58F1">
        <w:rPr>
          <w:rFonts w:hint="cs"/>
          <w:sz w:val="22"/>
          <w:rtl/>
        </w:rPr>
        <w:t>כך הבהירה הוועדה המקומית בתשובתה לערר:</w:t>
      </w:r>
    </w:p>
    <w:p w14:paraId="5B59E6A4" w14:textId="78430462" w:rsidR="003408DC" w:rsidRPr="002D58F1" w:rsidRDefault="003408DC" w:rsidP="00557D4B">
      <w:pPr>
        <w:ind w:left="793"/>
        <w:rPr>
          <w:b/>
          <w:bCs/>
          <w:sz w:val="24"/>
          <w:szCs w:val="24"/>
          <w:u w:val="single"/>
          <w:rtl/>
        </w:rPr>
      </w:pPr>
      <w:r w:rsidRPr="002D58F1">
        <w:rPr>
          <w:noProof/>
        </w:rPr>
        <w:drawing>
          <wp:inline distT="0" distB="0" distL="0" distR="0" wp14:anchorId="2F8E68C3" wp14:editId="47EAD007">
            <wp:extent cx="4812019" cy="876300"/>
            <wp:effectExtent l="0" t="0" r="825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2480" cy="878205"/>
                    </a:xfrm>
                    <a:prstGeom prst="rect">
                      <a:avLst/>
                    </a:prstGeom>
                  </pic:spPr>
                </pic:pic>
              </a:graphicData>
            </a:graphic>
          </wp:inline>
        </w:drawing>
      </w:r>
    </w:p>
    <w:p w14:paraId="59FADA01" w14:textId="3817CB6B" w:rsidR="005A07BB" w:rsidRPr="002D58F1" w:rsidRDefault="005A07BB"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הווי אומר אין מחלוקת כי תיקון השומה אינו נוגע לטעות טכנית, אלא לטעות מהותית של זכויות בניה שלא נלקחו בחשבון. אין מדובר בפרטי הבעלים, נתונים פיזיים</w:t>
      </w:r>
      <w:r w:rsidR="00AA573A" w:rsidRPr="002D58F1">
        <w:rPr>
          <w:rFonts w:hint="cs"/>
          <w:sz w:val="22"/>
          <w:rtl/>
        </w:rPr>
        <w:t xml:space="preserve"> של המגרש</w:t>
      </w:r>
      <w:r w:rsidRPr="002D58F1">
        <w:rPr>
          <w:rFonts w:hint="cs"/>
          <w:sz w:val="22"/>
          <w:rtl/>
        </w:rPr>
        <w:t xml:space="preserve"> או היקף הזכות הקניינית של הבעלים במקרקעין. אלא בתיקון של היקף זכויות הבניה</w:t>
      </w:r>
      <w:r w:rsidR="00F56DDA" w:rsidRPr="002D58F1">
        <w:rPr>
          <w:rFonts w:hint="cs"/>
          <w:sz w:val="22"/>
          <w:rtl/>
        </w:rPr>
        <w:t xml:space="preserve"> בהתאם לתכנית</w:t>
      </w:r>
      <w:r w:rsidRPr="002D58F1">
        <w:rPr>
          <w:rFonts w:hint="cs"/>
          <w:sz w:val="22"/>
          <w:rtl/>
        </w:rPr>
        <w:t>.</w:t>
      </w:r>
      <w:r w:rsidR="00F56DDA" w:rsidRPr="002D58F1">
        <w:rPr>
          <w:rFonts w:hint="cs"/>
          <w:sz w:val="22"/>
          <w:rtl/>
        </w:rPr>
        <w:t xml:space="preserve"> על כן</w:t>
      </w:r>
      <w:r w:rsidRPr="002D58F1">
        <w:rPr>
          <w:rFonts w:hint="cs"/>
          <w:sz w:val="22"/>
          <w:rtl/>
        </w:rPr>
        <w:t xml:space="preserve"> אין מדובר בטעות טכנית, אלא בטעות מהותית.</w:t>
      </w:r>
    </w:p>
    <w:p w14:paraId="5E32E9DA" w14:textId="6B20C9B8" w:rsidR="005A07BB" w:rsidRPr="002D58F1" w:rsidRDefault="005A07BB" w:rsidP="00A13D59">
      <w:pPr>
        <w:pStyle w:val="ListParagraph"/>
        <w:numPr>
          <w:ilvl w:val="0"/>
          <w:numId w:val="4"/>
        </w:numPr>
        <w:spacing w:before="0" w:after="160" w:line="360" w:lineRule="auto"/>
        <w:ind w:left="226" w:hanging="425"/>
        <w:contextualSpacing w:val="0"/>
        <w:rPr>
          <w:sz w:val="22"/>
          <w:rtl/>
        </w:rPr>
      </w:pPr>
      <w:r w:rsidRPr="002D58F1">
        <w:rPr>
          <w:rFonts w:hint="cs"/>
          <w:sz w:val="22"/>
          <w:rtl/>
        </w:rPr>
        <w:t>פרט לאמור מבקשת הוועדה המקומית לתקן את השומה גם נוכח מחל</w:t>
      </w:r>
      <w:r w:rsidR="00A13D59" w:rsidRPr="002D58F1">
        <w:rPr>
          <w:rFonts w:hint="cs"/>
          <w:sz w:val="22"/>
          <w:rtl/>
        </w:rPr>
        <w:t>ו</w:t>
      </w:r>
      <w:r w:rsidRPr="002D58F1">
        <w:rPr>
          <w:rFonts w:hint="cs"/>
          <w:sz w:val="22"/>
          <w:rtl/>
        </w:rPr>
        <w:t xml:space="preserve">קת משפטית שהתגלעה בין הצדדים לכדי תביעה משפטית שהוגשה לבסוף בסוף שנת 2022. מחלוקת זו עניינה בסוגיית הנשיאה </w:t>
      </w:r>
      <w:r w:rsidR="006C693C" w:rsidRPr="002D58F1">
        <w:rPr>
          <w:rFonts w:hint="cs"/>
          <w:sz w:val="22"/>
          <w:rtl/>
        </w:rPr>
        <w:t>בעלות</w:t>
      </w:r>
      <w:r w:rsidRPr="002D58F1">
        <w:rPr>
          <w:rFonts w:hint="cs"/>
          <w:sz w:val="22"/>
          <w:rtl/>
        </w:rPr>
        <w:t xml:space="preserve"> המטלה הציבורית כפי שפורטה בשומה</w:t>
      </w:r>
      <w:r w:rsidR="004C6206" w:rsidRPr="002D58F1">
        <w:rPr>
          <w:rFonts w:hint="cs"/>
          <w:sz w:val="22"/>
          <w:rtl/>
        </w:rPr>
        <w:t xml:space="preserve"> המתוקנת</w:t>
      </w:r>
      <w:r w:rsidRPr="002D58F1">
        <w:rPr>
          <w:rFonts w:hint="cs"/>
          <w:sz w:val="22"/>
          <w:rtl/>
        </w:rPr>
        <w:t>:</w:t>
      </w:r>
    </w:p>
    <w:p w14:paraId="67EAFF2F" w14:textId="62E78A2D" w:rsidR="003408DC" w:rsidRPr="002D58F1" w:rsidRDefault="003408DC" w:rsidP="00557D4B">
      <w:pPr>
        <w:ind w:left="793"/>
        <w:rPr>
          <w:b/>
          <w:bCs/>
          <w:sz w:val="24"/>
          <w:szCs w:val="24"/>
          <w:u w:val="single"/>
          <w:rtl/>
        </w:rPr>
      </w:pPr>
      <w:r w:rsidRPr="002D58F1">
        <w:rPr>
          <w:b/>
          <w:bCs/>
          <w:noProof/>
          <w:sz w:val="24"/>
          <w:szCs w:val="24"/>
          <w:rtl/>
        </w:rPr>
        <w:drawing>
          <wp:inline distT="0" distB="0" distL="0" distR="0" wp14:anchorId="11E386A8" wp14:editId="702605C0">
            <wp:extent cx="4800600" cy="240030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8728" cy="2399364"/>
                    </a:xfrm>
                    <a:prstGeom prst="rect">
                      <a:avLst/>
                    </a:prstGeom>
                    <a:noFill/>
                    <a:ln>
                      <a:noFill/>
                    </a:ln>
                  </pic:spPr>
                </pic:pic>
              </a:graphicData>
            </a:graphic>
          </wp:inline>
        </w:drawing>
      </w:r>
    </w:p>
    <w:p w14:paraId="0F557B38" w14:textId="04EB403D" w:rsidR="00B95D19" w:rsidRPr="002D58F1" w:rsidRDefault="00B95D19" w:rsidP="001652CA">
      <w:pPr>
        <w:pStyle w:val="ListParagraph"/>
        <w:numPr>
          <w:ilvl w:val="0"/>
          <w:numId w:val="4"/>
        </w:numPr>
        <w:spacing w:before="0" w:after="160" w:line="360" w:lineRule="auto"/>
        <w:ind w:left="226" w:hanging="425"/>
        <w:contextualSpacing w:val="0"/>
        <w:rPr>
          <w:sz w:val="22"/>
        </w:rPr>
      </w:pPr>
      <w:r w:rsidRPr="002D58F1">
        <w:rPr>
          <w:rFonts w:hint="cs"/>
          <w:b/>
          <w:bCs/>
          <w:sz w:val="22"/>
          <w:u w:val="single"/>
          <w:rtl/>
        </w:rPr>
        <w:t>גם זו ודאי אינה טעות טכנית</w:t>
      </w:r>
      <w:r w:rsidR="0048027C" w:rsidRPr="002D58F1">
        <w:rPr>
          <w:rFonts w:hint="cs"/>
          <w:b/>
          <w:bCs/>
          <w:sz w:val="22"/>
          <w:u w:val="single"/>
          <w:rtl/>
        </w:rPr>
        <w:t>:</w:t>
      </w:r>
      <w:r w:rsidR="0048027C" w:rsidRPr="002D58F1">
        <w:rPr>
          <w:rFonts w:hint="cs"/>
          <w:sz w:val="22"/>
          <w:rtl/>
        </w:rPr>
        <w:t xml:space="preserve"> עלותה של מטלה ציבורית וקיזוזה מההשבחה, אינו דבר טכני כלל וכלל. עסקינן בסוגיה משפטית מורכבת ביחס אליה נכתבו החלטות ופסקי דין רבים. כך גם ביחס לעלות המטלה וכן ביחס לאופן הפחתתה</w:t>
      </w:r>
      <w:r w:rsidR="007A09DE" w:rsidRPr="002D58F1">
        <w:rPr>
          <w:rFonts w:hint="cs"/>
          <w:sz w:val="22"/>
          <w:rtl/>
        </w:rPr>
        <w:t xml:space="preserve"> וקיזוזה</w:t>
      </w:r>
      <w:r w:rsidR="0048027C" w:rsidRPr="002D58F1">
        <w:rPr>
          <w:rFonts w:hint="cs"/>
          <w:sz w:val="22"/>
          <w:rtl/>
        </w:rPr>
        <w:t>. על כן</w:t>
      </w:r>
      <w:r w:rsidR="00B96E79" w:rsidRPr="002D58F1">
        <w:rPr>
          <w:rFonts w:hint="cs"/>
          <w:sz w:val="22"/>
          <w:rtl/>
        </w:rPr>
        <w:t>,</w:t>
      </w:r>
      <w:r w:rsidR="0048027C" w:rsidRPr="002D58F1">
        <w:rPr>
          <w:rFonts w:hint="cs"/>
          <w:sz w:val="22"/>
          <w:rtl/>
        </w:rPr>
        <w:t xml:space="preserve"> גם עניין זה ודאי אינו בגדר </w:t>
      </w:r>
      <w:r w:rsidR="00A97D14" w:rsidRPr="002D58F1">
        <w:rPr>
          <w:rFonts w:hint="cs"/>
          <w:sz w:val="22"/>
          <w:rtl/>
        </w:rPr>
        <w:t xml:space="preserve">עניין </w:t>
      </w:r>
      <w:r w:rsidR="0048027C" w:rsidRPr="002D58F1">
        <w:rPr>
          <w:rFonts w:hint="cs"/>
          <w:sz w:val="22"/>
          <w:rtl/>
        </w:rPr>
        <w:t>"טכני" הניתן לשינוי</w:t>
      </w:r>
      <w:r w:rsidR="009F6391" w:rsidRPr="002D58F1">
        <w:rPr>
          <w:rFonts w:hint="cs"/>
          <w:sz w:val="22"/>
          <w:rtl/>
        </w:rPr>
        <w:t xml:space="preserve"> ותיקון,</w:t>
      </w:r>
      <w:r w:rsidR="0048027C" w:rsidRPr="002D58F1">
        <w:rPr>
          <w:rFonts w:hint="cs"/>
          <w:sz w:val="22"/>
          <w:rtl/>
        </w:rPr>
        <w:t xml:space="preserve"> וודאי שאינו בסמכות הוועדה המקומית.</w:t>
      </w:r>
    </w:p>
    <w:p w14:paraId="66B851B7" w14:textId="27986042" w:rsidR="00E2412B" w:rsidRPr="002D58F1" w:rsidRDefault="00E2412B" w:rsidP="008978FE">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בהקשר </w:t>
      </w:r>
      <w:r w:rsidR="00B96E79" w:rsidRPr="002D58F1">
        <w:rPr>
          <w:rFonts w:hint="cs"/>
          <w:sz w:val="22"/>
          <w:rtl/>
        </w:rPr>
        <w:t xml:space="preserve">זה </w:t>
      </w:r>
      <w:r w:rsidRPr="002D58F1">
        <w:rPr>
          <w:rFonts w:hint="cs"/>
          <w:sz w:val="22"/>
          <w:rtl/>
        </w:rPr>
        <w:t>חשוב יהיה ל</w:t>
      </w:r>
      <w:r w:rsidR="002901A9" w:rsidRPr="002D58F1">
        <w:rPr>
          <w:rFonts w:hint="cs"/>
          <w:sz w:val="22"/>
          <w:rtl/>
        </w:rPr>
        <w:t>צ</w:t>
      </w:r>
      <w:r w:rsidRPr="002D58F1">
        <w:rPr>
          <w:rFonts w:hint="cs"/>
          <w:sz w:val="22"/>
          <w:rtl/>
        </w:rPr>
        <w:t>יין כי אין מחלוקת בין הצדדים כי היטל ההשבחה שולם במלואו</w:t>
      </w:r>
      <w:r w:rsidR="00E35132" w:rsidRPr="002D58F1">
        <w:rPr>
          <w:rFonts w:hint="cs"/>
          <w:sz w:val="22"/>
          <w:rtl/>
        </w:rPr>
        <w:t xml:space="preserve"> בשנת 2016</w:t>
      </w:r>
      <w:r w:rsidRPr="002D58F1">
        <w:rPr>
          <w:rFonts w:hint="cs"/>
          <w:sz w:val="22"/>
          <w:rtl/>
        </w:rPr>
        <w:t xml:space="preserve"> (פרט לרכיב הריבית בגינ</w:t>
      </w:r>
      <w:r w:rsidR="00B96E79" w:rsidRPr="002D58F1">
        <w:rPr>
          <w:rFonts w:hint="cs"/>
          <w:sz w:val="22"/>
          <w:rtl/>
        </w:rPr>
        <w:t>ו</w:t>
      </w:r>
      <w:r w:rsidRPr="002D58F1">
        <w:rPr>
          <w:rFonts w:hint="cs"/>
          <w:sz w:val="22"/>
          <w:rtl/>
        </w:rPr>
        <w:t xml:space="preserve"> התקיים בין הצדדים הליך בוררות)</w:t>
      </w:r>
      <w:r w:rsidR="00E35132" w:rsidRPr="002D58F1">
        <w:rPr>
          <w:rFonts w:hint="cs"/>
          <w:sz w:val="22"/>
          <w:rtl/>
        </w:rPr>
        <w:t>.</w:t>
      </w:r>
      <w:r w:rsidR="00BC65D6" w:rsidRPr="002D58F1">
        <w:rPr>
          <w:rFonts w:hint="cs"/>
          <w:sz w:val="22"/>
          <w:rtl/>
        </w:rPr>
        <w:t xml:space="preserve"> ועל כן</w:t>
      </w:r>
      <w:r w:rsidR="00B96E79" w:rsidRPr="002D58F1">
        <w:rPr>
          <w:rFonts w:hint="cs"/>
          <w:sz w:val="22"/>
          <w:rtl/>
        </w:rPr>
        <w:t xml:space="preserve">, </w:t>
      </w:r>
      <w:r w:rsidR="00BC65D6" w:rsidRPr="002D58F1">
        <w:rPr>
          <w:rFonts w:hint="cs"/>
          <w:sz w:val="22"/>
          <w:rtl/>
        </w:rPr>
        <w:t xml:space="preserve">כקבוע </w:t>
      </w:r>
      <w:r w:rsidR="00BC65D6" w:rsidRPr="002D58F1">
        <w:rPr>
          <w:rFonts w:hint="cs"/>
          <w:sz w:val="22"/>
          <w:rtl/>
        </w:rPr>
        <w:lastRenderedPageBreak/>
        <w:t>בהחלטת אאורה</w:t>
      </w:r>
      <w:r w:rsidR="002901A9" w:rsidRPr="002D58F1">
        <w:rPr>
          <w:rFonts w:hint="cs"/>
          <w:sz w:val="22"/>
          <w:rtl/>
        </w:rPr>
        <w:t>, מששולם היטל ההשבחה ובחלוף זמן כה רב מעת עריכת</w:t>
      </w:r>
      <w:r w:rsidR="00B96E79" w:rsidRPr="002D58F1">
        <w:rPr>
          <w:rFonts w:hint="cs"/>
          <w:sz w:val="22"/>
          <w:rtl/>
        </w:rPr>
        <w:t xml:space="preserve"> השומה</w:t>
      </w:r>
      <w:r w:rsidR="002901A9" w:rsidRPr="002D58F1">
        <w:rPr>
          <w:rFonts w:hint="cs"/>
          <w:sz w:val="22"/>
          <w:rtl/>
        </w:rPr>
        <w:t>, ודאי שאין לוועדה המקומית סמכות לתקן את השומה.</w:t>
      </w:r>
    </w:p>
    <w:p w14:paraId="1BB194D4" w14:textId="4011DB02" w:rsidR="00213DE3" w:rsidRPr="002D58F1" w:rsidRDefault="00213DE3" w:rsidP="00213DE3">
      <w:pPr>
        <w:spacing w:before="0" w:after="160" w:line="360" w:lineRule="auto"/>
        <w:ind w:left="-199" w:firstLine="0"/>
        <w:rPr>
          <w:b/>
          <w:bCs/>
          <w:sz w:val="22"/>
          <w:u w:val="single"/>
        </w:rPr>
      </w:pPr>
      <w:r w:rsidRPr="002D58F1">
        <w:rPr>
          <w:rFonts w:hint="cs"/>
          <w:b/>
          <w:bCs/>
          <w:sz w:val="22"/>
          <w:u w:val="single"/>
          <w:rtl/>
        </w:rPr>
        <w:t>הערה ביחס להתנהלות הוועדה המקומית</w:t>
      </w:r>
    </w:p>
    <w:p w14:paraId="26875628" w14:textId="55894A98" w:rsidR="00BF1029" w:rsidRPr="002D58F1" w:rsidRDefault="00D11FC8"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עוד</w:t>
      </w:r>
      <w:r w:rsidR="00370FD0" w:rsidRPr="002D58F1">
        <w:rPr>
          <w:rFonts w:hint="cs"/>
          <w:sz w:val="22"/>
          <w:rtl/>
        </w:rPr>
        <w:t xml:space="preserve"> נציין </w:t>
      </w:r>
      <w:bookmarkStart w:id="8" w:name="_Hlk194997581"/>
      <w:r w:rsidR="00370FD0" w:rsidRPr="002D58F1">
        <w:rPr>
          <w:rFonts w:hint="cs"/>
          <w:sz w:val="22"/>
          <w:rtl/>
        </w:rPr>
        <w:t xml:space="preserve">כי אף </w:t>
      </w:r>
      <w:r w:rsidR="002B0A65" w:rsidRPr="002D58F1">
        <w:rPr>
          <w:rFonts w:hint="cs"/>
          <w:sz w:val="22"/>
          <w:rtl/>
        </w:rPr>
        <w:t>איננו חוקרי כליות ולב</w:t>
      </w:r>
      <w:r w:rsidR="00370FD0" w:rsidRPr="002D58F1">
        <w:rPr>
          <w:rFonts w:hint="cs"/>
          <w:sz w:val="22"/>
          <w:rtl/>
        </w:rPr>
        <w:t>, ניתן לתמוה שמא</w:t>
      </w:r>
      <w:r w:rsidR="002B0A65" w:rsidRPr="002D58F1">
        <w:rPr>
          <w:rFonts w:hint="cs"/>
          <w:sz w:val="22"/>
          <w:rtl/>
        </w:rPr>
        <w:t xml:space="preserve"> התנהלות הוועדה המקומית, לכל הפחות מעלה תמיהה. הכיצד ייתכן, כי במשך 12 שנים, במהלכן הופקו מספר היתרי בניה מכוחה של התכנית, לא פנתה הוועדה המקומית לתיקון השומה. ורק שעה שנתגלעה</w:t>
      </w:r>
      <w:r w:rsidR="007D153E" w:rsidRPr="002D58F1">
        <w:rPr>
          <w:rFonts w:hint="cs"/>
          <w:sz w:val="22"/>
          <w:rtl/>
        </w:rPr>
        <w:t xml:space="preserve"> ונתגלתה</w:t>
      </w:r>
      <w:r w:rsidR="002B0A65" w:rsidRPr="002D58F1">
        <w:rPr>
          <w:rFonts w:hint="cs"/>
          <w:sz w:val="22"/>
          <w:rtl/>
        </w:rPr>
        <w:t xml:space="preserve"> מחלוקת משפטית בין הצדדים, "פותחת" הוועדה המקומית את השומה המוסכמת מחדש.</w:t>
      </w:r>
      <w:r w:rsidR="00952233" w:rsidRPr="002D58F1">
        <w:rPr>
          <w:rFonts w:hint="cs"/>
          <w:sz w:val="22"/>
          <w:rtl/>
        </w:rPr>
        <w:t xml:space="preserve"> </w:t>
      </w:r>
    </w:p>
    <w:bookmarkEnd w:id="8"/>
    <w:p w14:paraId="214D218A" w14:textId="32BA6EBD" w:rsidR="00952233" w:rsidRPr="002D58F1" w:rsidRDefault="00CD2137" w:rsidP="001652CA">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כאמור, בין הוועדה המקומית לבין העוררת התנהל </w:t>
      </w:r>
      <w:r w:rsidRPr="002D58F1">
        <w:rPr>
          <w:rFonts w:hint="cs"/>
          <w:b/>
          <w:bCs/>
          <w:sz w:val="22"/>
          <w:u w:val="single"/>
          <w:rtl/>
        </w:rPr>
        <w:t>הליך בוררות</w:t>
      </w:r>
      <w:r w:rsidRPr="002D58F1">
        <w:rPr>
          <w:rFonts w:hint="cs"/>
          <w:sz w:val="22"/>
          <w:rtl/>
        </w:rPr>
        <w:t xml:space="preserve"> ביחס לסוגיית הריבית</w:t>
      </w:r>
      <w:r w:rsidR="00FF2FE5" w:rsidRPr="002D58F1">
        <w:rPr>
          <w:rFonts w:hint="cs"/>
          <w:sz w:val="22"/>
          <w:rtl/>
        </w:rPr>
        <w:t xml:space="preserve"> בשנת 2017.</w:t>
      </w:r>
      <w:r w:rsidRPr="002D58F1">
        <w:rPr>
          <w:rFonts w:hint="cs"/>
          <w:sz w:val="22"/>
          <w:rtl/>
        </w:rPr>
        <w:t xml:space="preserve"> כך גם </w:t>
      </w:r>
      <w:r w:rsidR="00706FA5" w:rsidRPr="002D58F1">
        <w:rPr>
          <w:rFonts w:hint="cs"/>
          <w:sz w:val="22"/>
          <w:rtl/>
        </w:rPr>
        <w:t xml:space="preserve">הוועדה המקומית פתחה בתביעה - </w:t>
      </w:r>
      <w:r w:rsidR="00706FA5" w:rsidRPr="002D58F1">
        <w:rPr>
          <w:sz w:val="22"/>
          <w:rtl/>
        </w:rPr>
        <w:t>ת"א (תל אביב-יפו) 5083-12-22 </w:t>
      </w:r>
      <w:r w:rsidR="00706FA5" w:rsidRPr="002D58F1">
        <w:rPr>
          <w:b/>
          <w:bCs/>
          <w:sz w:val="22"/>
          <w:rtl/>
        </w:rPr>
        <w:t>עיריית בת ים נ</w:t>
      </w:r>
      <w:r w:rsidR="00706FA5" w:rsidRPr="002D58F1">
        <w:rPr>
          <w:b/>
          <w:bCs/>
          <w:sz w:val="22"/>
        </w:rPr>
        <w:t xml:space="preserve"> </w:t>
      </w:r>
      <w:r w:rsidR="00706FA5" w:rsidRPr="002D58F1">
        <w:rPr>
          <w:b/>
          <w:bCs/>
          <w:sz w:val="22"/>
          <w:rtl/>
        </w:rPr>
        <w:t>קבוצת אהרוני (מ.א) יזום והשקעות בע"מ</w:t>
      </w:r>
      <w:r w:rsidR="00706FA5" w:rsidRPr="002D58F1">
        <w:rPr>
          <w:rFonts w:hint="cs"/>
          <w:sz w:val="22"/>
          <w:rtl/>
        </w:rPr>
        <w:t xml:space="preserve"> כנגד העוררת "לאכיפת העברת השטח הציבורי לבעלותה" כלשון הוועדה המקומית בעררה. </w:t>
      </w:r>
      <w:r w:rsidR="00436CC9" w:rsidRPr="002D58F1">
        <w:rPr>
          <w:rFonts w:hint="cs"/>
          <w:sz w:val="22"/>
          <w:rtl/>
        </w:rPr>
        <w:t>מדובר באירועים סמוכים לתיקון השומה.</w:t>
      </w:r>
    </w:p>
    <w:p w14:paraId="43C10434" w14:textId="1EE2DDCC" w:rsidR="00CD2137" w:rsidRPr="002D58F1" w:rsidRDefault="00CD2137" w:rsidP="008978FE">
      <w:pPr>
        <w:pStyle w:val="ListParagraph"/>
        <w:numPr>
          <w:ilvl w:val="0"/>
          <w:numId w:val="4"/>
        </w:numPr>
        <w:spacing w:before="0" w:after="160" w:line="360" w:lineRule="auto"/>
        <w:ind w:left="226" w:hanging="425"/>
        <w:contextualSpacing w:val="0"/>
        <w:rPr>
          <w:sz w:val="22"/>
          <w:rtl/>
        </w:rPr>
      </w:pPr>
      <w:bookmarkStart w:id="9" w:name="_Hlk194997617"/>
      <w:r w:rsidRPr="002D58F1">
        <w:rPr>
          <w:rFonts w:hint="cs"/>
          <w:sz w:val="22"/>
          <w:rtl/>
        </w:rPr>
        <w:t xml:space="preserve">התנהלות מעין זו, קרי </w:t>
      </w:r>
      <w:r w:rsidRPr="002D58F1">
        <w:rPr>
          <w:sz w:val="22"/>
          <w:rtl/>
        </w:rPr>
        <w:t>–</w:t>
      </w:r>
      <w:r w:rsidRPr="002D58F1">
        <w:rPr>
          <w:rFonts w:hint="cs"/>
          <w:sz w:val="22"/>
          <w:rtl/>
        </w:rPr>
        <w:t xml:space="preserve"> </w:t>
      </w:r>
      <w:bookmarkStart w:id="10" w:name="_Hlk194937252"/>
      <w:r w:rsidRPr="002D58F1">
        <w:rPr>
          <w:rFonts w:hint="cs"/>
          <w:sz w:val="22"/>
          <w:rtl/>
        </w:rPr>
        <w:t xml:space="preserve">תיקון שומת השבחה לעת כזו, </w:t>
      </w:r>
      <w:r w:rsidR="00ED7A56" w:rsidRPr="002D58F1">
        <w:rPr>
          <w:rFonts w:hint="cs"/>
          <w:sz w:val="22"/>
          <w:rtl/>
        </w:rPr>
        <w:t xml:space="preserve">עשויה להעלות </w:t>
      </w:r>
      <w:r w:rsidRPr="002D58F1">
        <w:rPr>
          <w:rFonts w:hint="cs"/>
          <w:sz w:val="22"/>
          <w:rtl/>
        </w:rPr>
        <w:t xml:space="preserve">חשש שמא </w:t>
      </w:r>
      <w:r w:rsidR="00EA67AB" w:rsidRPr="002D58F1">
        <w:rPr>
          <w:rFonts w:hint="cs"/>
          <w:sz w:val="22"/>
          <w:rtl/>
        </w:rPr>
        <w:t>התנהלות הוועדה המקומית</w:t>
      </w:r>
      <w:r w:rsidRPr="002D58F1">
        <w:rPr>
          <w:rFonts w:hint="cs"/>
          <w:sz w:val="22"/>
          <w:rtl/>
        </w:rPr>
        <w:t xml:space="preserve">, </w:t>
      </w:r>
      <w:r w:rsidR="00657197" w:rsidRPr="002D58F1">
        <w:rPr>
          <w:rFonts w:hint="cs"/>
          <w:sz w:val="22"/>
          <w:rtl/>
        </w:rPr>
        <w:t>עשויה לשמש</w:t>
      </w:r>
      <w:r w:rsidRPr="002D58F1">
        <w:rPr>
          <w:rFonts w:hint="cs"/>
          <w:sz w:val="22"/>
          <w:rtl/>
        </w:rPr>
        <w:t xml:space="preserve"> חלילה כאמצעי לחץ פסול על בעלי המקרקעין</w:t>
      </w:r>
      <w:r w:rsidR="0009749D" w:rsidRPr="002D58F1">
        <w:rPr>
          <w:rFonts w:hint="cs"/>
          <w:sz w:val="22"/>
          <w:rtl/>
        </w:rPr>
        <w:t>.</w:t>
      </w:r>
    </w:p>
    <w:bookmarkEnd w:id="10"/>
    <w:p w14:paraId="573AAEF7" w14:textId="0FD6A897" w:rsidR="00952233" w:rsidRPr="002D58F1" w:rsidRDefault="00DC5ABD"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אם אכן אלו פני הדברים </w:t>
      </w:r>
      <w:r w:rsidRPr="002D58F1">
        <w:rPr>
          <w:rFonts w:hint="cs"/>
          <w:b/>
          <w:bCs/>
          <w:sz w:val="22"/>
          <w:u w:val="single"/>
          <w:rtl/>
        </w:rPr>
        <w:t>ואין אנו קובעים זאת</w:t>
      </w:r>
      <w:r w:rsidRPr="002D58F1">
        <w:rPr>
          <w:rFonts w:hint="cs"/>
          <w:sz w:val="22"/>
          <w:rtl/>
        </w:rPr>
        <w:t xml:space="preserve">, </w:t>
      </w:r>
      <w:r w:rsidR="00952233" w:rsidRPr="002D58F1">
        <w:rPr>
          <w:rFonts w:hint="cs"/>
          <w:sz w:val="22"/>
          <w:rtl/>
        </w:rPr>
        <w:t>הרי ש</w:t>
      </w:r>
      <w:r w:rsidR="00A1268D" w:rsidRPr="002D58F1">
        <w:rPr>
          <w:rFonts w:hint="cs"/>
          <w:sz w:val="22"/>
          <w:rtl/>
        </w:rPr>
        <w:t xml:space="preserve">למראית עין </w:t>
      </w:r>
      <w:r w:rsidR="00952233" w:rsidRPr="002D58F1">
        <w:rPr>
          <w:rFonts w:hint="cs"/>
          <w:sz w:val="22"/>
          <w:rtl/>
        </w:rPr>
        <w:t xml:space="preserve">מדובר </w:t>
      </w:r>
      <w:r w:rsidRPr="002D58F1">
        <w:rPr>
          <w:rFonts w:hint="cs"/>
          <w:sz w:val="22"/>
          <w:rtl/>
        </w:rPr>
        <w:t>בהתנהלות</w:t>
      </w:r>
      <w:r w:rsidR="00952233" w:rsidRPr="002D58F1">
        <w:rPr>
          <w:rFonts w:hint="cs"/>
          <w:sz w:val="22"/>
          <w:rtl/>
        </w:rPr>
        <w:t xml:space="preserve"> כוחנית</w:t>
      </w:r>
      <w:r w:rsidR="00A1268D" w:rsidRPr="002D58F1">
        <w:rPr>
          <w:rFonts w:hint="cs"/>
          <w:sz w:val="22"/>
          <w:rtl/>
        </w:rPr>
        <w:t xml:space="preserve"> </w:t>
      </w:r>
      <w:r w:rsidR="00952233" w:rsidRPr="002D58F1">
        <w:rPr>
          <w:rFonts w:hint="cs"/>
          <w:sz w:val="22"/>
          <w:rtl/>
        </w:rPr>
        <w:t>ופסולה, שאינה תואמת את חובת תום הלב המוגברת המוטלת על רשות מקומית</w:t>
      </w:r>
      <w:bookmarkEnd w:id="9"/>
      <w:r w:rsidR="00952233" w:rsidRPr="002D58F1">
        <w:rPr>
          <w:rFonts w:hint="cs"/>
          <w:sz w:val="22"/>
          <w:rtl/>
        </w:rPr>
        <w:t>.</w:t>
      </w:r>
    </w:p>
    <w:p w14:paraId="2079C162" w14:textId="47F57FEC" w:rsidR="002B0A65" w:rsidRPr="002D58F1" w:rsidRDefault="00642D08" w:rsidP="001652CA">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מכל מקום אנו </w:t>
      </w:r>
      <w:r w:rsidR="00226049" w:rsidRPr="002D58F1">
        <w:rPr>
          <w:rFonts w:hint="cs"/>
          <w:sz w:val="22"/>
          <w:rtl/>
        </w:rPr>
        <w:t>סבורים</w:t>
      </w:r>
      <w:r w:rsidRPr="002D58F1">
        <w:rPr>
          <w:rFonts w:hint="cs"/>
          <w:sz w:val="22"/>
          <w:rtl/>
        </w:rPr>
        <w:t xml:space="preserve"> כי משעה שנחתמה השומה המוסכמת ולא נמצא עילה לתקנה, הרי שלא ניתן לעשות זאת בשלב זה.</w:t>
      </w:r>
    </w:p>
    <w:p w14:paraId="77478D9A" w14:textId="2670397B" w:rsidR="003D054C" w:rsidRPr="002D58F1" w:rsidRDefault="00B65850" w:rsidP="00C440EC">
      <w:pPr>
        <w:rPr>
          <w:b/>
          <w:bCs/>
          <w:sz w:val="28"/>
          <w:szCs w:val="28"/>
          <w:u w:val="single"/>
          <w:rtl/>
        </w:rPr>
      </w:pPr>
      <w:r w:rsidRPr="002D58F1">
        <w:rPr>
          <w:rFonts w:hint="cs"/>
          <w:b/>
          <w:bCs/>
          <w:sz w:val="28"/>
          <w:szCs w:val="28"/>
          <w:u w:val="single"/>
          <w:rtl/>
        </w:rPr>
        <w:t>שיהוי והתיישנות</w:t>
      </w:r>
    </w:p>
    <w:p w14:paraId="15953CBC" w14:textId="1AED95B7" w:rsidR="00E9745F" w:rsidRPr="002D58F1" w:rsidRDefault="00E9745F" w:rsidP="00E9745F">
      <w:pPr>
        <w:pStyle w:val="ListParagraph"/>
        <w:numPr>
          <w:ilvl w:val="0"/>
          <w:numId w:val="4"/>
        </w:numPr>
        <w:spacing w:before="0" w:after="160" w:line="360" w:lineRule="auto"/>
        <w:ind w:left="226" w:hanging="425"/>
        <w:contextualSpacing w:val="0"/>
        <w:rPr>
          <w:sz w:val="22"/>
        </w:rPr>
      </w:pPr>
      <w:r w:rsidRPr="002D58F1">
        <w:rPr>
          <w:rFonts w:hint="cs"/>
          <w:sz w:val="22"/>
          <w:rtl/>
        </w:rPr>
        <w:t>אף אילו היינו קובעים כי לוועדה המקומית סמכות לתקן את השומה</w:t>
      </w:r>
      <w:r w:rsidR="002F332F" w:rsidRPr="002D58F1">
        <w:rPr>
          <w:rFonts w:hint="cs"/>
          <w:sz w:val="22"/>
          <w:rtl/>
        </w:rPr>
        <w:t xml:space="preserve"> באופן בו היא ת</w:t>
      </w:r>
      <w:r w:rsidR="00635675" w:rsidRPr="002D58F1">
        <w:rPr>
          <w:rFonts w:hint="cs"/>
          <w:sz w:val="22"/>
          <w:rtl/>
        </w:rPr>
        <w:t>וקנה</w:t>
      </w:r>
      <w:r w:rsidRPr="002D58F1">
        <w:rPr>
          <w:rFonts w:hint="cs"/>
          <w:sz w:val="22"/>
          <w:rtl/>
        </w:rPr>
        <w:t>, וכאמור שללנו זאת, הרי שאין לאפשר את תיקון השומה מטעמים של שיהוי והתיישנות.</w:t>
      </w:r>
    </w:p>
    <w:p w14:paraId="4F129C8F" w14:textId="7A8EFFD8" w:rsidR="00DA66A1" w:rsidRPr="002D58F1" w:rsidRDefault="000B3CA0" w:rsidP="00E57E08">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בהקשר זה </w:t>
      </w:r>
      <w:r w:rsidR="00021276" w:rsidRPr="002D58F1">
        <w:rPr>
          <w:rFonts w:hint="cs"/>
          <w:sz w:val="22"/>
          <w:rtl/>
        </w:rPr>
        <w:t>לסקירת</w:t>
      </w:r>
      <w:r w:rsidRPr="002D58F1">
        <w:rPr>
          <w:rFonts w:hint="cs"/>
          <w:sz w:val="22"/>
          <w:rtl/>
        </w:rPr>
        <w:t xml:space="preserve"> הרקע המשפטי נפנה </w:t>
      </w:r>
      <w:r w:rsidR="00C5270C" w:rsidRPr="002D58F1">
        <w:rPr>
          <w:rFonts w:hint="cs"/>
          <w:sz w:val="22"/>
          <w:rtl/>
        </w:rPr>
        <w:t>ל</w:t>
      </w:r>
      <w:r w:rsidR="00021276" w:rsidRPr="002D58F1">
        <w:rPr>
          <w:rFonts w:hint="cs"/>
          <w:sz w:val="22"/>
          <w:rtl/>
        </w:rPr>
        <w:t>החלטת ועדת ה</w:t>
      </w:r>
      <w:r w:rsidRPr="002D58F1">
        <w:rPr>
          <w:sz w:val="22"/>
          <w:rtl/>
        </w:rPr>
        <w:t>ערר</w:t>
      </w:r>
      <w:r w:rsidR="00021276" w:rsidRPr="002D58F1">
        <w:rPr>
          <w:rFonts w:hint="cs"/>
          <w:sz w:val="22"/>
          <w:rtl/>
        </w:rPr>
        <w:t xml:space="preserve"> (בראשות כבוד היו"ר מאיה אשכנזי) בערר</w:t>
      </w:r>
      <w:r w:rsidRPr="002D58F1">
        <w:rPr>
          <w:sz w:val="22"/>
          <w:rtl/>
        </w:rPr>
        <w:t xml:space="preserve"> (חי') 8029-05-19‏ </w:t>
      </w:r>
      <w:r w:rsidRPr="002D58F1">
        <w:rPr>
          <w:b/>
          <w:bCs/>
          <w:sz w:val="22"/>
          <w:rtl/>
        </w:rPr>
        <w:t>‏נמל מספנות ישראל בע"מ נ' הוועדה המקומית לתכנון ולבנייה חיפה</w:t>
      </w:r>
      <w:r w:rsidR="00021276" w:rsidRPr="002D58F1">
        <w:rPr>
          <w:rFonts w:hint="cs"/>
          <w:sz w:val="22"/>
          <w:rtl/>
        </w:rPr>
        <w:t xml:space="preserve"> (נבו)</w:t>
      </w:r>
      <w:r w:rsidR="003A4A51" w:rsidRPr="002D58F1">
        <w:rPr>
          <w:rFonts w:hint="cs"/>
          <w:sz w:val="22"/>
          <w:rtl/>
        </w:rPr>
        <w:t xml:space="preserve"> (להלן: "</w:t>
      </w:r>
      <w:r w:rsidR="003A4A51" w:rsidRPr="002D58F1">
        <w:rPr>
          <w:rFonts w:hint="cs"/>
          <w:b/>
          <w:bCs/>
          <w:sz w:val="22"/>
          <w:rtl/>
        </w:rPr>
        <w:t>מספנות ישראל</w:t>
      </w:r>
      <w:r w:rsidR="003A4A51" w:rsidRPr="002D58F1">
        <w:rPr>
          <w:rFonts w:hint="cs"/>
          <w:sz w:val="22"/>
          <w:rtl/>
        </w:rPr>
        <w:t>")</w:t>
      </w:r>
      <w:r w:rsidR="00116458" w:rsidRPr="002D58F1">
        <w:rPr>
          <w:rFonts w:hint="cs"/>
          <w:sz w:val="22"/>
          <w:rtl/>
        </w:rPr>
        <w:t xml:space="preserve">. החלטה זו עוסקת בשיהוי והתיישנות </w:t>
      </w:r>
      <w:r w:rsidR="00417232" w:rsidRPr="002D58F1">
        <w:rPr>
          <w:rFonts w:hint="cs"/>
          <w:sz w:val="22"/>
          <w:rtl/>
        </w:rPr>
        <w:t>בגדרי</w:t>
      </w:r>
      <w:r w:rsidR="00116458" w:rsidRPr="002D58F1">
        <w:rPr>
          <w:rFonts w:hint="cs"/>
          <w:sz w:val="22"/>
          <w:rtl/>
        </w:rPr>
        <w:t xml:space="preserve"> </w:t>
      </w:r>
      <w:r w:rsidR="00417232" w:rsidRPr="002D58F1">
        <w:rPr>
          <w:rFonts w:hint="cs"/>
          <w:sz w:val="22"/>
          <w:rtl/>
        </w:rPr>
        <w:t>ה</w:t>
      </w:r>
      <w:r w:rsidR="00116458" w:rsidRPr="002D58F1">
        <w:rPr>
          <w:rFonts w:hint="cs"/>
          <w:sz w:val="22"/>
          <w:rtl/>
        </w:rPr>
        <w:t xml:space="preserve">"גביה </w:t>
      </w:r>
      <w:r w:rsidR="00417232" w:rsidRPr="002D58F1">
        <w:rPr>
          <w:rFonts w:hint="cs"/>
          <w:sz w:val="22"/>
          <w:rtl/>
        </w:rPr>
        <w:t>ה</w:t>
      </w:r>
      <w:r w:rsidR="00116458" w:rsidRPr="002D58F1">
        <w:rPr>
          <w:rFonts w:hint="cs"/>
          <w:sz w:val="22"/>
          <w:rtl/>
        </w:rPr>
        <w:t xml:space="preserve">מנהלית". בענייננו אין אנו עוסקים בגביה מנהלית, אלא בשאלה </w:t>
      </w:r>
      <w:r w:rsidR="0011678A" w:rsidRPr="002D58F1">
        <w:rPr>
          <w:rFonts w:hint="cs"/>
          <w:sz w:val="22"/>
          <w:rtl/>
        </w:rPr>
        <w:t>עד מתי עומדת לצידה של הוועדה המקומית</w:t>
      </w:r>
      <w:r w:rsidR="00DE3FB3" w:rsidRPr="002D58F1">
        <w:rPr>
          <w:rFonts w:hint="cs"/>
          <w:sz w:val="22"/>
          <w:rtl/>
        </w:rPr>
        <w:t xml:space="preserve"> האפשרות</w:t>
      </w:r>
      <w:r w:rsidR="0011678A" w:rsidRPr="002D58F1">
        <w:rPr>
          <w:rFonts w:hint="cs"/>
          <w:sz w:val="22"/>
          <w:rtl/>
        </w:rPr>
        <w:t xml:space="preserve"> לתקן שומה בהתאם לסעיף 14(ו). </w:t>
      </w:r>
      <w:r w:rsidR="00DA66A1" w:rsidRPr="002D58F1">
        <w:rPr>
          <w:rFonts w:hint="cs"/>
          <w:sz w:val="22"/>
          <w:rtl/>
        </w:rPr>
        <w:t>אכן מדובר בסוגיה אחרת מ"גביה מנהלית". אך אנו סבורים כי עקרונות השיהוי וההתיישנות דומים</w:t>
      </w:r>
      <w:r w:rsidR="00050520" w:rsidRPr="002D58F1">
        <w:rPr>
          <w:rFonts w:hint="cs"/>
          <w:sz w:val="22"/>
          <w:rtl/>
        </w:rPr>
        <w:t xml:space="preserve"> בשני המקרים</w:t>
      </w:r>
      <w:r w:rsidR="00DA66A1" w:rsidRPr="002D58F1">
        <w:rPr>
          <w:rFonts w:hint="cs"/>
          <w:sz w:val="22"/>
          <w:rtl/>
        </w:rPr>
        <w:t>.</w:t>
      </w:r>
    </w:p>
    <w:p w14:paraId="49F6AC66" w14:textId="40B1BC14" w:rsidR="000B3CA0" w:rsidRPr="002D58F1" w:rsidRDefault="00021276" w:rsidP="00E57E08">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 כך נקבע</w:t>
      </w:r>
      <w:r w:rsidR="00050520" w:rsidRPr="002D58F1">
        <w:rPr>
          <w:rFonts w:hint="cs"/>
          <w:sz w:val="22"/>
          <w:rtl/>
        </w:rPr>
        <w:t xml:space="preserve"> בעניין מספנות ישראל:</w:t>
      </w:r>
    </w:p>
    <w:p w14:paraId="1740AAF6" w14:textId="77777777" w:rsidR="000B3CA0" w:rsidRPr="002D58F1" w:rsidRDefault="000B3CA0" w:rsidP="00E72355">
      <w:pPr>
        <w:spacing w:line="240" w:lineRule="auto"/>
        <w:ind w:left="720" w:right="709" w:firstLine="0"/>
        <w:rPr>
          <w:rFonts w:asciiTheme="minorBidi" w:hAnsiTheme="minorBidi" w:cstheme="minorBidi"/>
          <w:color w:val="000000"/>
          <w:sz w:val="22"/>
          <w:szCs w:val="22"/>
        </w:rPr>
      </w:pPr>
      <w:r w:rsidRPr="002D58F1">
        <w:rPr>
          <w:rFonts w:asciiTheme="minorBidi" w:hAnsiTheme="minorBidi" w:cstheme="minorBidi"/>
          <w:color w:val="000000"/>
          <w:sz w:val="22"/>
          <w:szCs w:val="22"/>
          <w:rtl/>
        </w:rPr>
        <w:lastRenderedPageBreak/>
        <w:t>רקע כללי בנושא שיהוי והתיישנות בדרישת תשלום היטל ההשבחה</w:t>
      </w:r>
    </w:p>
    <w:p w14:paraId="26EB540B"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77.    סמכות הוועדה המקומית לדרוש תשלום היטל השבחה מקום בו היא נמנעה מלגבותו בהזדמנות הראשונה שהייתה לה כפופה לסמכותה הכללית לתיקון טעויות שנפלו מלפניה בחישוב חובות עבר ולדיני ההתיישנות והשיהוי הכלליים. </w:t>
      </w:r>
      <w:hyperlink r:id="rId35" w:history="1">
        <w:r w:rsidRPr="002D58F1">
          <w:rPr>
            <w:rFonts w:asciiTheme="minorBidi" w:hAnsiTheme="minorBidi" w:cstheme="minorBidi"/>
            <w:color w:val="000000"/>
            <w:sz w:val="22"/>
            <w:szCs w:val="22"/>
            <w:rtl/>
          </w:rPr>
          <w:t>עע"מ 1164/04</w:t>
        </w:r>
      </w:hyperlink>
      <w:r w:rsidRPr="002D58F1">
        <w:rPr>
          <w:rFonts w:asciiTheme="minorBidi" w:hAnsiTheme="minorBidi" w:cstheme="minorBidi"/>
          <w:color w:val="000000"/>
          <w:sz w:val="22"/>
          <w:szCs w:val="22"/>
          <w:rtl/>
        </w:rPr>
        <w:t>‏ עיריית הרצליה נ' דניאל יצחקי (פורסם בנבו, 5.12.2006);</w:t>
      </w:r>
      <w:r w:rsidRPr="002D58F1">
        <w:rPr>
          <w:rFonts w:asciiTheme="minorBidi" w:hAnsiTheme="minorBidi" w:cstheme="minorBidi" w:hint="cs"/>
          <w:color w:val="000000"/>
          <w:sz w:val="22"/>
          <w:szCs w:val="22"/>
        </w:rPr>
        <w:t> </w:t>
      </w:r>
      <w:hyperlink r:id="rId36" w:history="1">
        <w:r w:rsidRPr="002D58F1">
          <w:rPr>
            <w:rFonts w:asciiTheme="minorBidi" w:hAnsiTheme="minorBidi" w:cstheme="minorBidi"/>
            <w:color w:val="000000"/>
            <w:sz w:val="22"/>
            <w:szCs w:val="22"/>
            <w:rtl/>
          </w:rPr>
          <w:t>עע"מ 8832/12</w:t>
        </w:r>
      </w:hyperlink>
      <w:r w:rsidRPr="002D58F1">
        <w:rPr>
          <w:rFonts w:asciiTheme="minorBidi" w:hAnsiTheme="minorBidi" w:cstheme="minorBidi" w:hint="cs"/>
          <w:color w:val="000000"/>
          <w:sz w:val="22"/>
          <w:szCs w:val="22"/>
        </w:rPr>
        <w:t> </w:t>
      </w:r>
      <w:r w:rsidRPr="002D58F1">
        <w:rPr>
          <w:rFonts w:asciiTheme="minorBidi" w:hAnsiTheme="minorBidi" w:cstheme="minorBidi"/>
          <w:color w:val="000000"/>
          <w:sz w:val="22"/>
          <w:szCs w:val="22"/>
          <w:rtl/>
        </w:rPr>
        <w:t>עיריית חיפה נ' סלומון (פורסם בנבו, 15.04.15); </w:t>
      </w:r>
      <w:hyperlink r:id="rId37" w:history="1">
        <w:r w:rsidRPr="002D58F1">
          <w:rPr>
            <w:rFonts w:asciiTheme="minorBidi" w:hAnsiTheme="minorBidi" w:cstheme="minorBidi"/>
            <w:color w:val="000000"/>
            <w:sz w:val="22"/>
            <w:szCs w:val="22"/>
            <w:rtl/>
          </w:rPr>
          <w:t>ערר (מרכז) 203/17</w:t>
        </w:r>
      </w:hyperlink>
      <w:r w:rsidRPr="002D58F1">
        <w:rPr>
          <w:rFonts w:asciiTheme="minorBidi" w:hAnsiTheme="minorBidi" w:cstheme="minorBidi"/>
          <w:color w:val="000000"/>
          <w:sz w:val="22"/>
          <w:szCs w:val="22"/>
          <w:rtl/>
        </w:rPr>
        <w:t> גבעת הוד בע"מ נ' הוועדה המקומית לתכנון ולבניה הוד השרון (פורסם בנבו, 10.8.2021).</w:t>
      </w:r>
    </w:p>
    <w:p w14:paraId="2D03F813"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78.    בכל הנוגע לסוגיות ההתיישנות והשיהוי נקבע בפסיקת בית המשפט העליון, כי </w:t>
      </w:r>
      <w:hyperlink r:id="rId38" w:history="1">
        <w:r w:rsidRPr="002D58F1">
          <w:rPr>
            <w:rFonts w:asciiTheme="minorBidi" w:hAnsiTheme="minorBidi" w:cstheme="minorBidi"/>
            <w:color w:val="000000"/>
            <w:sz w:val="22"/>
            <w:szCs w:val="22"/>
            <w:rtl/>
          </w:rPr>
          <w:t>חוק ההתיישנות</w:t>
        </w:r>
      </w:hyperlink>
      <w:r w:rsidRPr="002D58F1">
        <w:rPr>
          <w:rFonts w:asciiTheme="minorBidi" w:hAnsiTheme="minorBidi" w:cstheme="minorBidi"/>
          <w:color w:val="000000"/>
          <w:sz w:val="22"/>
          <w:szCs w:val="22"/>
          <w:rtl/>
        </w:rPr>
        <w:t> חל על הליכי גבייה מינהליים, וכי דיני השיהוי המינהליים ממשיכים לחול במקביל (עניין סלומון; </w:t>
      </w:r>
      <w:hyperlink r:id="rId39" w:history="1">
        <w:r w:rsidRPr="002D58F1">
          <w:rPr>
            <w:rFonts w:asciiTheme="minorBidi" w:hAnsiTheme="minorBidi" w:cstheme="minorBidi"/>
            <w:color w:val="000000"/>
            <w:sz w:val="22"/>
            <w:szCs w:val="22"/>
            <w:rtl/>
          </w:rPr>
          <w:t>עע"מ 8329/14</w:t>
        </w:r>
      </w:hyperlink>
      <w:r w:rsidRPr="002D58F1">
        <w:rPr>
          <w:rFonts w:asciiTheme="minorBidi" w:hAnsiTheme="minorBidi" w:cstheme="minorBidi"/>
          <w:color w:val="000000"/>
          <w:sz w:val="22"/>
          <w:szCs w:val="22"/>
          <w:rtl/>
        </w:rPr>
        <w:t> עיריית קריית אתא נ' נילי קורן (פורסם בנבו, 31.5.2016)].</w:t>
      </w:r>
    </w:p>
    <w:p w14:paraId="0C50AEB9"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79.    ואכן, בהסתמך על דיני השיהוי המינהלי ביטלו ועדות הערר חיובים בהיטלי השבחה מכוח דרישות תשלום שהוצאו לאחר מספר שנים לא סביר, גם אם טרם חלפה תקופת ההתיישנות. ראו:</w:t>
      </w:r>
      <w:r w:rsidRPr="002D58F1">
        <w:rPr>
          <w:rFonts w:asciiTheme="minorBidi" w:hAnsiTheme="minorBidi" w:cstheme="minorBidi" w:hint="cs"/>
          <w:color w:val="000000"/>
          <w:sz w:val="22"/>
          <w:szCs w:val="22"/>
        </w:rPr>
        <w:t> </w:t>
      </w:r>
      <w:hyperlink r:id="rId40" w:history="1">
        <w:r w:rsidRPr="002D58F1">
          <w:rPr>
            <w:rFonts w:asciiTheme="minorBidi" w:hAnsiTheme="minorBidi" w:cstheme="minorBidi"/>
            <w:color w:val="000000"/>
            <w:sz w:val="22"/>
            <w:szCs w:val="22"/>
            <w:rtl/>
          </w:rPr>
          <w:t>ערר (צפון) 8146-13</w:t>
        </w:r>
      </w:hyperlink>
      <w:r w:rsidRPr="002D58F1">
        <w:rPr>
          <w:rFonts w:asciiTheme="minorBidi" w:hAnsiTheme="minorBidi" w:cstheme="minorBidi"/>
          <w:color w:val="000000"/>
          <w:sz w:val="22"/>
          <w:szCs w:val="22"/>
          <w:rtl/>
        </w:rPr>
        <w:t> חברת החשמל לישראל בע"מ נ' הוועדה המקומית לתכנון ולבנייה יזרעאלים (פורסם בנבו, 14.5.2015); </w:t>
      </w:r>
      <w:hyperlink r:id="rId41" w:history="1">
        <w:r w:rsidRPr="002D58F1">
          <w:rPr>
            <w:rFonts w:asciiTheme="minorBidi" w:hAnsiTheme="minorBidi" w:cstheme="minorBidi"/>
            <w:color w:val="000000"/>
            <w:sz w:val="22"/>
            <w:szCs w:val="22"/>
            <w:rtl/>
          </w:rPr>
          <w:t>ערר (דרום) 6001/15</w:t>
        </w:r>
      </w:hyperlink>
      <w:r w:rsidRPr="002D58F1">
        <w:rPr>
          <w:rFonts w:asciiTheme="minorBidi" w:hAnsiTheme="minorBidi" w:cstheme="minorBidi" w:hint="cs"/>
          <w:color w:val="000000"/>
          <w:sz w:val="22"/>
          <w:szCs w:val="22"/>
        </w:rPr>
        <w:t> </w:t>
      </w:r>
      <w:r w:rsidRPr="002D58F1">
        <w:rPr>
          <w:rFonts w:asciiTheme="minorBidi" w:hAnsiTheme="minorBidi" w:cstheme="minorBidi"/>
          <w:color w:val="000000"/>
          <w:sz w:val="22"/>
          <w:szCs w:val="22"/>
          <w:rtl/>
        </w:rPr>
        <w:t>חברת חשמל לישראל בע"מ נ' הועדה המקומית לתכנון ובניה יואב (פורסם בנבו, 6.10.2016); </w:t>
      </w:r>
      <w:hyperlink r:id="rId42" w:history="1">
        <w:r w:rsidRPr="002D58F1">
          <w:rPr>
            <w:rFonts w:asciiTheme="minorBidi" w:hAnsiTheme="minorBidi" w:cstheme="minorBidi"/>
            <w:color w:val="000000"/>
            <w:sz w:val="22"/>
            <w:szCs w:val="22"/>
            <w:rtl/>
          </w:rPr>
          <w:t>ערר (צפון) 8103/16</w:t>
        </w:r>
      </w:hyperlink>
      <w:r w:rsidRPr="002D58F1">
        <w:rPr>
          <w:rFonts w:asciiTheme="minorBidi" w:hAnsiTheme="minorBidi" w:cstheme="minorBidi"/>
          <w:color w:val="000000"/>
          <w:sz w:val="22"/>
          <w:szCs w:val="22"/>
          <w:rtl/>
        </w:rPr>
        <w:t> חברת חלקות 7, 4 בגוש 15392 בע"מ נ' הועדה המקומית לתכנון ובניה עמק הירדן (פורסם בנבו, 14.10.2018)</w:t>
      </w:r>
    </w:p>
    <w:p w14:paraId="0E4B9D11"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80.    בענייננו אין מחלוקת כי במועד משלוח דרישת תשלום היטל ההשבחה טרם חלפה תקופת ההתיישנות, העומדת על שבע שנים ממועד מימוש הזכויות. משכך נותר לנו לבחון אך את טענת השיהוי.</w:t>
      </w:r>
    </w:p>
    <w:p w14:paraId="05D54EF3"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81.    בהתאם לדיני השיהוי הכלליים החלים מכוח המשפט המינהלי, יש לבחון את השיהוי האובייקטיבי שחל בפעולת הרשות, את השיהוי הסובייקטיבי שחל מבחינת הפרט (קרי: את הסתמכותו) ואת האינטרס של שמירה על עקרון החוקיות ושלטון החוק.</w:t>
      </w:r>
    </w:p>
    <w:p w14:paraId="63427579"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82.    בעניין קורן עמד בית המשפט העליון על הפרמטרים הספציפיים הרלבנטיים לבחינת טענת שיהוי, במקרה של חיוב מינהלי:</w:t>
      </w:r>
    </w:p>
    <w:p w14:paraId="6F3ACFC0" w14:textId="4F704BB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 82.1.    אינטרס ההסתמכות של הפרט, והאם העדר החיוב נבע מהחלטה או מנוהג מקובל. בהקשר זה הבהיר כב' הש' פוגלמן (פיסקה 22 לפסק הדין), כי:</w:t>
      </w:r>
    </w:p>
    <w:p w14:paraId="3E40DDAE"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"מצב שבו מקיצה הרשות לפתע משנתה ומבקשת להיפרע בגין חובות עבר שאותם לא דרשה שנים ארוכות מורכב יותר. גם מבלי להכריע בשאלה אם ניתן כלל לדבר על אינטרס הסתמכות של פרט במסגרת דיון זו, אין חולק על כך שאינטרס ההסתמכות של מי שהרשות "דילגה" עליו עקב טעותה – ככל שאינטרס זה ראוי להגנה – אינו מצוי באותו מדרג כאינטרס ההסתמכות של מי שהרשות נמנעה מגביית חובותיו כלפיה מחמת נוהג ופרקטיקה שהיו מקובלות עמה. וכעוצמת האינטרס – כן עוצמת ההגנה."</w:t>
      </w:r>
    </w:p>
    <w:p w14:paraId="59852976"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82.2.    אינטרס הציבור בגביית מס אמת באופן שוויוני, ניהול תקין של כספי הציבור ומניעת נזק לקופה הציבורית.</w:t>
      </w:r>
    </w:p>
    <w:p w14:paraId="6494781F"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82.3.    אינטרס הציבור בפעולה תקינה וראויה של הרשות, הפנמת נזקיה של התנהגות רשלנית ועידוד הרשות לפעול בלוח זמנים סביר לגביית המס.</w:t>
      </w:r>
    </w:p>
    <w:p w14:paraId="2ED11873"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 xml:space="preserve">82.4.    חובת ההגינות המוגברת של הרשות המינהלית אל מול חובת תום הלב של הפרט, כאשר חובתה של הרשות רחבה יותר ומחמירה יותר מזו של הפרט. </w:t>
      </w:r>
      <w:r w:rsidRPr="002D58F1">
        <w:rPr>
          <w:rFonts w:asciiTheme="minorBidi" w:hAnsiTheme="minorBidi" w:cstheme="minorBidi"/>
          <w:color w:val="000000"/>
          <w:sz w:val="22"/>
          <w:szCs w:val="22"/>
          <w:rtl/>
        </w:rPr>
        <w:lastRenderedPageBreak/>
        <w:t>בהקשרים אלו ייבחנו ותק החוב ומאמצי הרשות לגבותו במהלך השנים, אל מול ניסיונות הפרט לחמוק מתשלום תשלומי החובה, ככל שהיו כאלו.</w:t>
      </w:r>
    </w:p>
    <w:p w14:paraId="26A3CFCB"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82.5.    הנחיית היועץ המשפטי לממשלה מס' 7.1002 מחודש פברואר 2021, שלפיה:</w:t>
      </w:r>
    </w:p>
    <w:p w14:paraId="50E2C5B7" w14:textId="5E1CE372"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"אין זה סביר שרשות מנהלית תנקוט לראשונה הליכי גבייה ללא התראה וללא צידוק, לאחר שחלפו שנים רבות מן המועד שבו יכלה לראשונה לגבות את החוב. לפיכך על הרשות לפתוח בהליכי גביה תוך פרק זמן סביר שהוא</w:t>
      </w:r>
      <w:r w:rsidR="004C7CCD" w:rsidRPr="002D58F1">
        <w:rPr>
          <w:rFonts w:asciiTheme="minorBidi" w:hAnsiTheme="minorBidi" w:cstheme="minorBidi" w:hint="cs"/>
          <w:color w:val="000000"/>
          <w:sz w:val="22"/>
          <w:szCs w:val="22"/>
          <w:rtl/>
        </w:rPr>
        <w:t xml:space="preserve"> </w:t>
      </w:r>
      <w:r w:rsidRPr="002D58F1">
        <w:rPr>
          <w:rFonts w:asciiTheme="minorBidi" w:hAnsiTheme="minorBidi" w:cstheme="minorBidi"/>
          <w:color w:val="000000"/>
          <w:sz w:val="22"/>
          <w:szCs w:val="22"/>
          <w:rtl/>
        </w:rPr>
        <w:t>קצר מתקופת ההתיישנות. פרק זמן כאמור, מן הראוי שלא יהיה ארוך משלוש שנים."</w:t>
      </w:r>
    </w:p>
    <w:p w14:paraId="26C7E422"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נקבע כי ניתן להסתייע בהנחיית היועץ כתשתית להכרעה בשאלת השיהוי, אך יש לזכור את אופייה הגמיש של דוקטרינה זו.</w:t>
      </w:r>
    </w:p>
    <w:p w14:paraId="5D87C058"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83.    במקרה שלפנינו, לא נטען ולא הוכח, כי העדר החיוב בהיטל השבחה טרם הוצאת היתר הבנייה נבע מנוהג מקובל או מהחלטה כלשהי של הוועדה המקומית.</w:t>
      </w:r>
    </w:p>
    <w:p w14:paraId="0E8934EC" w14:textId="23D29456"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84.    העוררת לא הציגה תימוכין לטענתה, כי בזמן אמת סברה הוועדה המקומית כי אין מקום לחייב בהיטל השבחה. הודעת הדוא"ל של גזבר העירייה מיום 10.3.2014, שאליה הפנתה העוררת, אינה מתייחסת לחבות בהיטל השבחה אלא לחוב של תאגיד המים, ולא ניתן</w:t>
      </w:r>
      <w:r w:rsidR="00C14B6E" w:rsidRPr="002D58F1">
        <w:rPr>
          <w:rFonts w:asciiTheme="minorBidi" w:hAnsiTheme="minorBidi" w:cstheme="minorBidi" w:hint="cs"/>
          <w:color w:val="000000"/>
          <w:sz w:val="22"/>
          <w:szCs w:val="22"/>
          <w:rtl/>
        </w:rPr>
        <w:t xml:space="preserve"> </w:t>
      </w:r>
      <w:r w:rsidRPr="002D58F1">
        <w:rPr>
          <w:rFonts w:asciiTheme="minorBidi" w:hAnsiTheme="minorBidi" w:cstheme="minorBidi"/>
          <w:color w:val="000000"/>
          <w:sz w:val="22"/>
          <w:szCs w:val="22"/>
          <w:rtl/>
        </w:rPr>
        <w:t>להסיק ממנה על כך שהוועדה המקומית דנה וגיבשה עמדה או קיבלה החלטה כלשהי בנושא החיוב בהיטל השבחה.</w:t>
      </w:r>
    </w:p>
    <w:p w14:paraId="40C009AA"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85.    בהעדר אינדיקציות כלשהן לקיומה של החלטה פוזיטיבית שלא לדרוש היטל השבחה, מסתמן שהעיכוב בהוצאת דרישת התשלום נבע מטעות של הוועדה המקומית. כפי שהובהר בעניין קורן, טעות של הרשות בגביית חוב מקנה הגנה פחותה לאינטרס ההסתמכות של הפרט.</w:t>
      </w:r>
    </w:p>
    <w:p w14:paraId="223FA6FC"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86.    קשה לקבל את הטענה, כי העוררת לא הייתה מודעת לכך שאישור בקשה להיתר לשימוש חורג מתוכנית עשויה להיות כרוכה בתשלום היטל השבחה. העוררת היא נישום מתוחכם, וחזקה עליה כי היא מלווה בידי אנשי מקצוע הבקיאים בסוגיות הרלבנטיות לקבלת היתרים מתחום התכנון והבנייה על משמעויותיהם הכלכליות.</w:t>
      </w:r>
    </w:p>
    <w:p w14:paraId="3962BD03" w14:textId="7479C206" w:rsidR="000B3CA0" w:rsidRPr="002D58F1" w:rsidRDefault="00411E8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hint="cs"/>
          <w:color w:val="000000"/>
          <w:sz w:val="22"/>
          <w:szCs w:val="22"/>
          <w:rtl/>
        </w:rPr>
        <w:t>....</w:t>
      </w:r>
    </w:p>
    <w:p w14:paraId="1BF9E599"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89.    העוררת לא הוכיחה הסתמכות לגיטימית או סבירה מצידה על אי משלוח דרישת התשלום בזמן אמת. על מנת לבסס טענת הסתמכות אין די בהעלאת טענה כללית בנושא; יש לתמוך טענה כזו בראיות לכך שהעוררת אכן שקלה צעדיה וקיבלה החלטות בהתבסס על ההנחה שלא תחויב בהיטל השבחה בגין השימוש החורג במקרקעין. העוררת לא הציגה שמץ של ראיה לדבר.</w:t>
      </w:r>
    </w:p>
    <w:p w14:paraId="12432E94" w14:textId="0F5BD2E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Pr>
        <w:t> </w:t>
      </w:r>
      <w:r w:rsidRPr="002D58F1">
        <w:rPr>
          <w:rFonts w:asciiTheme="minorBidi" w:hAnsiTheme="minorBidi" w:cstheme="minorBidi"/>
          <w:color w:val="000000"/>
          <w:sz w:val="22"/>
          <w:szCs w:val="22"/>
          <w:rtl/>
        </w:rPr>
        <w:t>90.    מבחינת האינטרס הציבורי, יש לייחס משקל גם לצורך בניהול תקין של כספי הציבור ומניעת נזק לקופה הציבורית עקב אי גביית היטל השבחה בגין עליית שווי קרקע כתוצאה ממתן היתר לשימוש חורג.</w:t>
      </w:r>
    </w:p>
    <w:p w14:paraId="365EAD0C"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91.    מן העבר השני, אין להתעלם מן האינטרס הציבורי להבטיח, כי ועדה מקומית תפעל בשקידה ראויה לגביית מס אמת מן הנישומים, וזאת בדרך של הפנמת ההשלכות הנובעות מאי גביית מס במועד. הכרה באפשרות לגבות היטל השבחה בחלוף שנים ממועד הוצאת ההיתר חותרת תחת אינטרס זה.</w:t>
      </w:r>
    </w:p>
    <w:p w14:paraId="71FC8AB1" w14:textId="737527A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92.    הוועדה המקומית אף לא הראתה כי העוררת נהגה בחוסר תום לב על מנת לחמוק מן החיוב בהיטל השבחה, שהוועדה המקומית עצמה לא עשתה כל ניסיון לגבותו במשך קרו</w:t>
      </w:r>
      <w:r w:rsidR="00F82F13" w:rsidRPr="002D58F1">
        <w:rPr>
          <w:rFonts w:asciiTheme="minorBidi" w:hAnsiTheme="minorBidi" w:cstheme="minorBidi" w:hint="cs"/>
          <w:color w:val="000000"/>
          <w:sz w:val="22"/>
          <w:szCs w:val="22"/>
          <w:rtl/>
        </w:rPr>
        <w:t>ב</w:t>
      </w:r>
      <w:r w:rsidR="00F66CCD" w:rsidRPr="002D58F1">
        <w:rPr>
          <w:rFonts w:asciiTheme="minorBidi" w:hAnsiTheme="minorBidi" w:cstheme="minorBidi" w:hint="cs"/>
          <w:color w:val="000000"/>
          <w:sz w:val="22"/>
          <w:szCs w:val="22"/>
          <w:rtl/>
        </w:rPr>
        <w:t xml:space="preserve"> </w:t>
      </w:r>
      <w:r w:rsidRPr="002D58F1">
        <w:rPr>
          <w:rFonts w:asciiTheme="minorBidi" w:hAnsiTheme="minorBidi" w:cstheme="minorBidi"/>
          <w:color w:val="000000"/>
          <w:sz w:val="22"/>
          <w:szCs w:val="22"/>
          <w:rtl/>
        </w:rPr>
        <w:t>לחמש שנים. משלוח דרישת תשלום רק לקראת תום תקופת השימוש החורג בגינו התגבשה חובת התשלום אינו מתיישב עם חובת ההגינות המוגברת החלה על הוועדה המקומית.</w:t>
      </w:r>
    </w:p>
    <w:p w14:paraId="00618F2E"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lastRenderedPageBreak/>
        <w:t>93.    העולה מן המקובץ הוא, שבעקבות טעות, או אי הקפדה מספקת, מצד הוועדה המקומית לא נגבה היטל ההשבחה במועד, דבר שפגע בקופה הציבורית ובחלוקה שוויונית של הנטל בין הנישומים. העוררת לא הוכיחה הסתמכות לגיטימית סבירה על אי קבלת דרישת התשלום בזמן אמת, וכי הייתה נוהגת אחרת לו הותנתה מסירת היתר הבנייה בתשלום היטל השבחה כדין. עם זאת, נכון ליתן משקל בהכרעה לפרק הזמן המשמעותי שחלף עד למשלוח דרישת התשלום לעוררת, סמוך לקראת תום תקופת השימוש החורג גולו.</w:t>
      </w:r>
    </w:p>
    <w:p w14:paraId="39BE9A53"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94.    על רקע דברים אלו, הגענו למסקנה, כי בנסיבות העניין שבפנינו ראוי לאמץ את נקודת האיזון שנקבעה בהנחיה מס' 7.1002 של היועץ המשפטי לממשלה, בכל הנוגע להליכי גבייה מינהליים לפי </w:t>
      </w:r>
      <w:hyperlink r:id="rId43" w:history="1">
        <w:r w:rsidRPr="002D58F1">
          <w:rPr>
            <w:rFonts w:asciiTheme="minorBidi" w:hAnsiTheme="minorBidi" w:cstheme="minorBidi"/>
            <w:color w:val="000000"/>
            <w:sz w:val="22"/>
            <w:szCs w:val="22"/>
            <w:rtl/>
          </w:rPr>
          <w:t>פקודת המסים (גביה)</w:t>
        </w:r>
      </w:hyperlink>
      <w:r w:rsidRPr="002D58F1">
        <w:rPr>
          <w:rFonts w:asciiTheme="minorBidi" w:hAnsiTheme="minorBidi" w:cstheme="minorBidi"/>
          <w:color w:val="000000"/>
          <w:sz w:val="22"/>
          <w:szCs w:val="22"/>
          <w:rtl/>
        </w:rPr>
        <w:t> (להלן: "הנחיית היועץ המשפטי לממשלה"). על פי הנחיית היועץ המשפטי לממשלה 7.1002, פרק הזמן לגבייה לא יעלה על 3 שנים.</w:t>
      </w:r>
    </w:p>
    <w:p w14:paraId="603327FC"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95.    אכן, הנחיית היועץ המשפטי לממשלה לא חלה במישרין על דרישה לתשלום היטל השבחה, אלא על חוב מס מכוח </w:t>
      </w:r>
      <w:hyperlink r:id="rId44" w:history="1">
        <w:r w:rsidRPr="002D58F1">
          <w:rPr>
            <w:rFonts w:asciiTheme="minorBidi" w:hAnsiTheme="minorBidi" w:cstheme="minorBidi"/>
            <w:color w:val="000000"/>
            <w:sz w:val="22"/>
            <w:szCs w:val="22"/>
            <w:rtl/>
          </w:rPr>
          <w:t>פקודת המסים (גביה)</w:t>
        </w:r>
      </w:hyperlink>
      <w:r w:rsidRPr="002D58F1">
        <w:rPr>
          <w:rFonts w:asciiTheme="minorBidi" w:hAnsiTheme="minorBidi" w:cstheme="minorBidi"/>
          <w:color w:val="000000"/>
          <w:sz w:val="22"/>
          <w:szCs w:val="22"/>
          <w:rtl/>
        </w:rPr>
        <w:t>, לאחר שמוצו הליכי ההשגה והערעור ככל שקיימים כאלו בחיקוק הספציפי; אולם העקרון המנחה שנקבע במסגרתה יפה גם בהקשר של דרישת תשלום היטל השבחה (סעיף 2 להנחיה):</w:t>
      </w:r>
    </w:p>
    <w:p w14:paraId="2591E1DD"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"אין זה סביר שרשות מינהלית תנקוט הליכי גביה מינהליים לראשונה וללא צידוק לאחר שנים רבות, תוך שהיא מעמידה את האזרח, בשל הזמן הרב שחלף, במצב שבו יקשה עליו להתמודד עם טענת החוב."</w:t>
      </w:r>
    </w:p>
    <w:p w14:paraId="6892A3AA"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96.    בהתאם לכך קובעת הנחיית היועץ המשפטי לממשלה (סעיף 5 להנחיה) כי:</w:t>
      </w:r>
    </w:p>
    <w:p w14:paraId="4776C5FB" w14:textId="7809649D"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ככלל, תקופת ההתיישנות של תובענות אזרחיות היא 7 שנים, אלא שבהתחשב בטיבם ובאופיים של חובות מנהליים, אין זה סביר שרשות מינהלית תנקוט לראשונה הליכי גבייה ללא התראה וללא צידוק, לאחר</w:t>
      </w:r>
      <w:r w:rsidR="00ED5FB7" w:rsidRPr="002D58F1">
        <w:rPr>
          <w:rFonts w:asciiTheme="minorBidi" w:hAnsiTheme="minorBidi" w:cstheme="minorBidi" w:hint="cs"/>
          <w:color w:val="000000"/>
          <w:sz w:val="22"/>
          <w:szCs w:val="22"/>
          <w:rtl/>
        </w:rPr>
        <w:t xml:space="preserve"> </w:t>
      </w:r>
      <w:r w:rsidRPr="002D58F1">
        <w:rPr>
          <w:rFonts w:asciiTheme="minorBidi" w:hAnsiTheme="minorBidi" w:cstheme="minorBidi"/>
          <w:color w:val="000000"/>
          <w:sz w:val="22"/>
          <w:szCs w:val="22"/>
          <w:rtl/>
        </w:rPr>
        <w:t>שחלפו שנים רבות מן המועד שבו יכלה לראשונה לגבות את החוב. לפיכך, על הרשות לפתוח בהליכי גביה תוך פרק זמן סביר שהוא קצר מתקופת ההתיישנות האמורה. פרק זמן כאמור, מן הראוי שלא יהיה ארוך משלוש שנים." (ההדגשה אינה במקור, הח"מ)</w:t>
      </w:r>
    </w:p>
    <w:p w14:paraId="329608D9" w14:textId="77777777" w:rsidR="000B3CA0" w:rsidRPr="002D58F1" w:rsidRDefault="000B3CA0" w:rsidP="00E72355">
      <w:pPr>
        <w:spacing w:line="240" w:lineRule="auto"/>
        <w:ind w:left="720" w:right="709"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97.    מצאנו, כי בהתחשב במכלול השיקולים לבחינת סוגיית השיהוי עליהם עמדנו לעיל, מהווה הנחיית היועץ המשפטי לממשלה תשתית ראויה לביסוס נקודת האיזון המתאימה במקרה שבפנינו.</w:t>
      </w:r>
    </w:p>
    <w:p w14:paraId="04D1BA61" w14:textId="77777777" w:rsidR="000B3CA0" w:rsidRPr="002D58F1" w:rsidRDefault="000B3CA0" w:rsidP="000B3CA0">
      <w:pPr>
        <w:spacing w:before="0" w:after="160" w:line="360" w:lineRule="auto"/>
        <w:ind w:hanging="369"/>
        <w:rPr>
          <w:sz w:val="22"/>
          <w:rtl/>
        </w:rPr>
      </w:pPr>
    </w:p>
    <w:p w14:paraId="718A9E8F" w14:textId="646A7887" w:rsidR="000F3067" w:rsidRPr="002D58F1" w:rsidRDefault="000F3067" w:rsidP="001652CA">
      <w:pPr>
        <w:pStyle w:val="ListParagraph"/>
        <w:numPr>
          <w:ilvl w:val="0"/>
          <w:numId w:val="4"/>
        </w:numPr>
        <w:spacing w:before="0" w:after="160" w:line="360" w:lineRule="auto"/>
        <w:ind w:left="226" w:hanging="425"/>
        <w:contextualSpacing w:val="0"/>
        <w:rPr>
          <w:sz w:val="22"/>
        </w:rPr>
      </w:pPr>
      <w:r w:rsidRPr="002D58F1">
        <w:rPr>
          <w:rFonts w:hint="cs"/>
          <w:sz w:val="22"/>
          <w:rtl/>
        </w:rPr>
        <w:t>אדניה של החלטת מספנות ישראל מושתתים על עקרון ה"גביה המנהלית" והעדר פעולות גביה מטעם הרשות.</w:t>
      </w:r>
    </w:p>
    <w:p w14:paraId="639ED065" w14:textId="5AFA0B30" w:rsidR="000F3067" w:rsidRPr="002D58F1" w:rsidRDefault="005D387B" w:rsidP="001652CA">
      <w:pPr>
        <w:pStyle w:val="ListParagraph"/>
        <w:numPr>
          <w:ilvl w:val="0"/>
          <w:numId w:val="4"/>
        </w:numPr>
        <w:spacing w:before="0" w:after="160" w:line="360" w:lineRule="auto"/>
        <w:ind w:left="226" w:hanging="425"/>
        <w:contextualSpacing w:val="0"/>
        <w:rPr>
          <w:sz w:val="22"/>
        </w:rPr>
      </w:pPr>
      <w:r w:rsidRPr="002D58F1">
        <w:rPr>
          <w:rFonts w:hint="cs"/>
          <w:sz w:val="22"/>
          <w:rtl/>
        </w:rPr>
        <w:t>כאמור</w:t>
      </w:r>
      <w:r w:rsidR="00DE3FB3" w:rsidRPr="002D58F1">
        <w:rPr>
          <w:rFonts w:hint="cs"/>
          <w:sz w:val="22"/>
          <w:rtl/>
        </w:rPr>
        <w:t>,</w:t>
      </w:r>
      <w:r w:rsidRPr="002D58F1">
        <w:rPr>
          <w:rFonts w:hint="cs"/>
          <w:sz w:val="22"/>
          <w:rtl/>
        </w:rPr>
        <w:t xml:space="preserve"> </w:t>
      </w:r>
      <w:r w:rsidR="000F3067" w:rsidRPr="002D58F1">
        <w:rPr>
          <w:rFonts w:hint="cs"/>
          <w:sz w:val="22"/>
          <w:rtl/>
        </w:rPr>
        <w:t xml:space="preserve">העניין שלפנינו אינו עוסק </w:t>
      </w:r>
      <w:r w:rsidRPr="002D58F1">
        <w:rPr>
          <w:rFonts w:hint="cs"/>
          <w:sz w:val="22"/>
          <w:rtl/>
        </w:rPr>
        <w:t xml:space="preserve">באותן </w:t>
      </w:r>
      <w:r w:rsidR="007F3D57" w:rsidRPr="002D58F1">
        <w:rPr>
          <w:rFonts w:hint="cs"/>
          <w:sz w:val="22"/>
          <w:rtl/>
        </w:rPr>
        <w:t>נסיבות</w:t>
      </w:r>
      <w:r w:rsidR="000F3067" w:rsidRPr="002D58F1">
        <w:rPr>
          <w:rFonts w:hint="cs"/>
          <w:sz w:val="22"/>
          <w:rtl/>
        </w:rPr>
        <w:t xml:space="preserve">. </w:t>
      </w:r>
      <w:r w:rsidR="002F3F30" w:rsidRPr="002D58F1">
        <w:rPr>
          <w:rFonts w:hint="cs"/>
          <w:sz w:val="22"/>
          <w:rtl/>
        </w:rPr>
        <w:t xml:space="preserve">אין אנו </w:t>
      </w:r>
      <w:r w:rsidR="000B47EA" w:rsidRPr="002D58F1">
        <w:rPr>
          <w:rFonts w:hint="cs"/>
          <w:sz w:val="22"/>
          <w:rtl/>
        </w:rPr>
        <w:t xml:space="preserve">עוסקים בגביה מנהלית, אלא בשאלה </w:t>
      </w:r>
      <w:r w:rsidR="00F14728" w:rsidRPr="002D58F1">
        <w:rPr>
          <w:rFonts w:hint="cs"/>
          <w:sz w:val="22"/>
          <w:rtl/>
        </w:rPr>
        <w:t>עד מתי בסמכותה של הוועדה המקומית לתקן את השומה בהתאם לקביעת סעיף 14(ו).</w:t>
      </w:r>
    </w:p>
    <w:p w14:paraId="4BA529F9" w14:textId="3743570D" w:rsidR="00A63ABD" w:rsidRPr="002D58F1" w:rsidRDefault="00F609FC" w:rsidP="001652CA">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יחד עם זאת, </w:t>
      </w:r>
      <w:r w:rsidR="00D954B2" w:rsidRPr="002D58F1">
        <w:rPr>
          <w:rFonts w:hint="cs"/>
          <w:sz w:val="22"/>
          <w:rtl/>
        </w:rPr>
        <w:t>אנו סבורים כי את העקרונות המפורטים בעניין מספנות ישראל יש ליישם גם לענייננו.</w:t>
      </w:r>
    </w:p>
    <w:p w14:paraId="7AAD28E4" w14:textId="05965D6E" w:rsidR="005C79F8" w:rsidRPr="002D58F1" w:rsidRDefault="000D53C6" w:rsidP="001652CA">
      <w:pPr>
        <w:pStyle w:val="ListParagraph"/>
        <w:numPr>
          <w:ilvl w:val="0"/>
          <w:numId w:val="4"/>
        </w:numPr>
        <w:spacing w:before="0" w:after="160" w:line="360" w:lineRule="auto"/>
        <w:ind w:left="226" w:hanging="425"/>
        <w:contextualSpacing w:val="0"/>
        <w:rPr>
          <w:sz w:val="22"/>
        </w:rPr>
      </w:pPr>
      <w:r w:rsidRPr="002D58F1">
        <w:rPr>
          <w:rFonts w:hint="cs"/>
          <w:sz w:val="22"/>
          <w:rtl/>
        </w:rPr>
        <w:t>בענייננו</w:t>
      </w:r>
      <w:r w:rsidR="005C79F8" w:rsidRPr="002D58F1">
        <w:rPr>
          <w:rFonts w:hint="cs"/>
          <w:sz w:val="22"/>
          <w:rtl/>
        </w:rPr>
        <w:t xml:space="preserve"> ניתן למנות מספר מועדים ביחס אליהם יש לבחון את השיהוי וההתיישנות. כך:</w:t>
      </w:r>
    </w:p>
    <w:p w14:paraId="748AFE0E" w14:textId="77777777" w:rsidR="009F3B2E" w:rsidRPr="002D58F1" w:rsidRDefault="009F3B2E" w:rsidP="009F3B2E">
      <w:pPr>
        <w:pStyle w:val="ListParagraph"/>
        <w:spacing w:before="0" w:after="160" w:line="360" w:lineRule="auto"/>
        <w:ind w:left="226" w:firstLine="0"/>
        <w:contextualSpacing w:val="0"/>
        <w:rPr>
          <w:sz w:val="22"/>
        </w:rPr>
      </w:pPr>
    </w:p>
    <w:p w14:paraId="0B790A93" w14:textId="77777777" w:rsidR="005C79F8" w:rsidRPr="002D58F1" w:rsidRDefault="005C79F8" w:rsidP="001652CA">
      <w:pPr>
        <w:pStyle w:val="ListParagraph"/>
        <w:numPr>
          <w:ilvl w:val="0"/>
          <w:numId w:val="4"/>
        </w:numPr>
        <w:spacing w:before="0" w:after="160" w:line="360" w:lineRule="auto"/>
        <w:ind w:left="226" w:hanging="425"/>
        <w:contextualSpacing w:val="0"/>
        <w:rPr>
          <w:sz w:val="22"/>
        </w:rPr>
      </w:pPr>
      <w:r w:rsidRPr="002D58F1">
        <w:rPr>
          <w:rFonts w:hint="cs"/>
          <w:b/>
          <w:bCs/>
          <w:sz w:val="22"/>
          <w:u w:val="single"/>
          <w:rtl/>
        </w:rPr>
        <w:lastRenderedPageBreak/>
        <w:t>המועד הראשון</w:t>
      </w:r>
      <w:r w:rsidRPr="002D58F1">
        <w:rPr>
          <w:rFonts w:hint="cs"/>
          <w:sz w:val="22"/>
          <w:rtl/>
        </w:rPr>
        <w:t xml:space="preserve"> </w:t>
      </w:r>
      <w:r w:rsidRPr="002D58F1">
        <w:rPr>
          <w:sz w:val="22"/>
          <w:rtl/>
        </w:rPr>
        <w:t>–</w:t>
      </w:r>
      <w:r w:rsidRPr="002D58F1">
        <w:rPr>
          <w:rFonts w:hint="cs"/>
          <w:sz w:val="22"/>
          <w:rtl/>
        </w:rPr>
        <w:t xml:space="preserve"> חתימת השומה המוסכמת</w:t>
      </w:r>
      <w:r w:rsidR="000D53C6" w:rsidRPr="002D58F1">
        <w:rPr>
          <w:rFonts w:hint="cs"/>
          <w:sz w:val="22"/>
          <w:rtl/>
        </w:rPr>
        <w:t xml:space="preserve"> ביום 5.8.08. </w:t>
      </w:r>
      <w:r w:rsidRPr="002D58F1">
        <w:rPr>
          <w:rFonts w:hint="cs"/>
          <w:sz w:val="22"/>
          <w:rtl/>
        </w:rPr>
        <w:t xml:space="preserve">בחינת ההתיישנות ביחס למועד זה, מביאה למסקנה ברורה כי חלפה תקופת ההתיישנות. גם ביחס לתקופת השיהוי ובהתאם למבחנים שנקבעו בפסיקה ברי כי הוועדה המקומית השתהתה מלתקן את שומתה במשך למעלה מ </w:t>
      </w:r>
      <w:r w:rsidRPr="002D58F1">
        <w:rPr>
          <w:sz w:val="22"/>
          <w:rtl/>
        </w:rPr>
        <w:t>–</w:t>
      </w:r>
      <w:r w:rsidRPr="002D58F1">
        <w:rPr>
          <w:rFonts w:hint="cs"/>
          <w:sz w:val="22"/>
          <w:rtl/>
        </w:rPr>
        <w:t xml:space="preserve"> 12 שנים ועל כן גם שיהוי יש כאן.</w:t>
      </w:r>
    </w:p>
    <w:p w14:paraId="3395CC91" w14:textId="4201E8F4" w:rsidR="005C79F8" w:rsidRPr="002D58F1" w:rsidRDefault="005C79F8" w:rsidP="003E4808">
      <w:pPr>
        <w:pStyle w:val="ListParagraph"/>
        <w:numPr>
          <w:ilvl w:val="0"/>
          <w:numId w:val="4"/>
        </w:numPr>
        <w:spacing w:before="0" w:after="160" w:line="360" w:lineRule="auto"/>
        <w:ind w:left="226" w:hanging="425"/>
        <w:contextualSpacing w:val="0"/>
        <w:rPr>
          <w:sz w:val="22"/>
        </w:rPr>
      </w:pPr>
      <w:r w:rsidRPr="002D58F1">
        <w:rPr>
          <w:rFonts w:hint="cs"/>
          <w:sz w:val="22"/>
          <w:rtl/>
        </w:rPr>
        <w:t>ניתן להקשות שמא אין מקום לייחס חשיבות למועד זה, שכן אין כאן מימוש זכויות. אלא שבעניין זה אנו מפנים</w:t>
      </w:r>
      <w:r w:rsidR="001A5990" w:rsidRPr="002D58F1">
        <w:rPr>
          <w:rFonts w:hint="cs"/>
          <w:sz w:val="22"/>
          <w:rtl/>
        </w:rPr>
        <w:t xml:space="preserve"> בשנית</w:t>
      </w:r>
      <w:r w:rsidRPr="002D58F1">
        <w:rPr>
          <w:rFonts w:hint="cs"/>
          <w:sz w:val="22"/>
          <w:rtl/>
        </w:rPr>
        <w:t xml:space="preserve"> לפס"ד </w:t>
      </w:r>
      <w:r w:rsidR="00533714" w:rsidRPr="002D58F1">
        <w:rPr>
          <w:sz w:val="20"/>
          <w:szCs w:val="24"/>
        </w:rPr>
        <w:t>ETABLISSEMENT</w:t>
      </w:r>
      <w:r w:rsidR="008978FE" w:rsidRPr="002D58F1">
        <w:rPr>
          <w:rFonts w:hint="cs"/>
          <w:sz w:val="22"/>
          <w:rtl/>
        </w:rPr>
        <w:t xml:space="preserve"> </w:t>
      </w:r>
      <w:r w:rsidRPr="002D58F1">
        <w:rPr>
          <w:rFonts w:hint="cs"/>
          <w:sz w:val="22"/>
          <w:rtl/>
        </w:rPr>
        <w:t>אותו ציטטנו לעיל. בענייננו העוררת בחרה בעריכת השומה נכון למועד אישור התכנית וללא דחיה למועד מימוש הזכויות</w:t>
      </w:r>
      <w:r w:rsidR="00D42A53" w:rsidRPr="002D58F1">
        <w:rPr>
          <w:rFonts w:hint="cs"/>
          <w:sz w:val="22"/>
          <w:rtl/>
        </w:rPr>
        <w:t xml:space="preserve"> וכקבוע בפסק דין </w:t>
      </w:r>
      <w:r w:rsidR="002A2946" w:rsidRPr="002D58F1">
        <w:rPr>
          <w:sz w:val="22"/>
        </w:rPr>
        <w:t xml:space="preserve"> </w:t>
      </w:r>
      <w:r w:rsidR="00533714" w:rsidRPr="002D58F1">
        <w:rPr>
          <w:sz w:val="20"/>
          <w:szCs w:val="24"/>
        </w:rPr>
        <w:t>ETABLISSEMENT</w:t>
      </w:r>
      <w:r w:rsidR="00D42A53" w:rsidRPr="002D58F1">
        <w:rPr>
          <w:sz w:val="22"/>
          <w:rtl/>
        </w:rPr>
        <w:t>–</w:t>
      </w:r>
      <w:r w:rsidR="00D42A53" w:rsidRPr="002D58F1">
        <w:rPr>
          <w:rFonts w:hint="cs"/>
          <w:sz w:val="22"/>
          <w:rtl/>
        </w:rPr>
        <w:t xml:space="preserve"> זכותה לעשות כן</w:t>
      </w:r>
      <w:r w:rsidRPr="002D58F1">
        <w:rPr>
          <w:rFonts w:hint="cs"/>
          <w:sz w:val="22"/>
          <w:rtl/>
        </w:rPr>
        <w:t>. ועל כן הוועדה המקומית מחוייבת על פי חוק להפיק שומה כדין.</w:t>
      </w:r>
      <w:r w:rsidR="00D42A53" w:rsidRPr="002D58F1">
        <w:rPr>
          <w:rFonts w:hint="cs"/>
          <w:sz w:val="22"/>
          <w:rtl/>
        </w:rPr>
        <w:t xml:space="preserve"> ככל וסבורה הוועדה המקומית כי השומה שגויה, הרי</w:t>
      </w:r>
      <w:r w:rsidRPr="002D58F1">
        <w:rPr>
          <w:rFonts w:hint="cs"/>
          <w:sz w:val="22"/>
          <w:rtl/>
        </w:rPr>
        <w:t xml:space="preserve"> </w:t>
      </w:r>
      <w:r w:rsidR="00D42A53" w:rsidRPr="002D58F1">
        <w:rPr>
          <w:rFonts w:hint="cs"/>
          <w:sz w:val="22"/>
          <w:rtl/>
        </w:rPr>
        <w:t>ש</w:t>
      </w:r>
      <w:r w:rsidRPr="002D58F1">
        <w:rPr>
          <w:rFonts w:hint="cs"/>
          <w:sz w:val="22"/>
          <w:rtl/>
        </w:rPr>
        <w:t xml:space="preserve">מרגע שנבחר מסלול </w:t>
      </w:r>
      <w:r w:rsidR="00D42A53" w:rsidRPr="002D58F1">
        <w:rPr>
          <w:rFonts w:hint="cs"/>
          <w:sz w:val="22"/>
          <w:rtl/>
        </w:rPr>
        <w:t>עריכת השומה לעת אישור התכנית</w:t>
      </w:r>
      <w:r w:rsidRPr="002D58F1">
        <w:rPr>
          <w:rFonts w:hint="cs"/>
          <w:sz w:val="22"/>
          <w:rtl/>
        </w:rPr>
        <w:t>, הרי שהחובה לתיקון שומה מוטלת על הוועדה המקומית</w:t>
      </w:r>
      <w:r w:rsidR="00D42A53" w:rsidRPr="002D58F1">
        <w:rPr>
          <w:rFonts w:hint="cs"/>
          <w:sz w:val="22"/>
          <w:rtl/>
        </w:rPr>
        <w:t xml:space="preserve"> באופן מיידי. זאת ללא כל קשר וייחוס למועד מימוש הזכויות שכן שעה שעסקינן בשומה שנערכת למועד אישור התכנית, הרי שהזיקה בין מימוש הזכויות לבין עריכת השומה </w:t>
      </w:r>
      <w:r w:rsidR="00D42A53" w:rsidRPr="002D58F1">
        <w:rPr>
          <w:sz w:val="22"/>
          <w:rtl/>
        </w:rPr>
        <w:t>–</w:t>
      </w:r>
      <w:r w:rsidR="00D42A53" w:rsidRPr="002D58F1">
        <w:rPr>
          <w:rFonts w:hint="cs"/>
          <w:sz w:val="22"/>
          <w:rtl/>
        </w:rPr>
        <w:t xml:space="preserve"> ניתקת (ומימוש הזכויות מהווה רק את מועד התשלום. אך אין בינו לבין החובה לעריכת השומה</w:t>
      </w:r>
      <w:r w:rsidR="003D3C12" w:rsidRPr="002D58F1">
        <w:rPr>
          <w:rFonts w:hint="cs"/>
          <w:sz w:val="22"/>
          <w:rtl/>
        </w:rPr>
        <w:t xml:space="preserve"> -</w:t>
      </w:r>
      <w:r w:rsidR="00D42A53" w:rsidRPr="002D58F1">
        <w:rPr>
          <w:rFonts w:hint="cs"/>
          <w:sz w:val="22"/>
          <w:rtl/>
        </w:rPr>
        <w:t xml:space="preserve"> דבר)</w:t>
      </w:r>
      <w:r w:rsidRPr="002D58F1">
        <w:rPr>
          <w:rFonts w:hint="cs"/>
          <w:sz w:val="22"/>
          <w:rtl/>
        </w:rPr>
        <w:t>.</w:t>
      </w:r>
      <w:r w:rsidR="00D42A53" w:rsidRPr="002D58F1">
        <w:rPr>
          <w:rFonts w:hint="cs"/>
          <w:sz w:val="22"/>
          <w:rtl/>
        </w:rPr>
        <w:t xml:space="preserve"> על כן,</w:t>
      </w:r>
      <w:r w:rsidRPr="002D58F1">
        <w:rPr>
          <w:rFonts w:hint="cs"/>
          <w:sz w:val="22"/>
          <w:rtl/>
        </w:rPr>
        <w:t xml:space="preserve"> ככל שהוועדה המקומית השתהתה ולא תיקנה את השומה</w:t>
      </w:r>
      <w:r w:rsidR="00D42A53" w:rsidRPr="002D58F1">
        <w:rPr>
          <w:rFonts w:hint="cs"/>
          <w:sz w:val="22"/>
          <w:rtl/>
        </w:rPr>
        <w:t xml:space="preserve"> שנתחייבה לערוך</w:t>
      </w:r>
      <w:r w:rsidRPr="002D58F1">
        <w:rPr>
          <w:rFonts w:hint="cs"/>
          <w:sz w:val="22"/>
          <w:rtl/>
        </w:rPr>
        <w:t xml:space="preserve"> במשך 12 שנים, ודאי שאין מקום להתיר זאת בשלב כה מאוחר. </w:t>
      </w:r>
    </w:p>
    <w:p w14:paraId="79384593" w14:textId="1FF5E860" w:rsidR="00380B09" w:rsidRPr="002D58F1" w:rsidRDefault="006E35AF" w:rsidP="007004BC">
      <w:pPr>
        <w:pStyle w:val="ListParagraph"/>
        <w:numPr>
          <w:ilvl w:val="0"/>
          <w:numId w:val="4"/>
        </w:numPr>
        <w:spacing w:before="0" w:after="160" w:line="360" w:lineRule="auto"/>
        <w:ind w:left="226" w:hanging="425"/>
        <w:contextualSpacing w:val="0"/>
        <w:rPr>
          <w:sz w:val="22"/>
        </w:rPr>
      </w:pPr>
      <w:r w:rsidRPr="002D58F1">
        <w:rPr>
          <w:rFonts w:hint="cs"/>
          <w:b/>
          <w:bCs/>
          <w:sz w:val="22"/>
          <w:u w:val="single"/>
          <w:rtl/>
        </w:rPr>
        <w:t>המועד השני</w:t>
      </w:r>
      <w:r w:rsidRPr="002D58F1">
        <w:rPr>
          <w:rFonts w:hint="cs"/>
          <w:sz w:val="22"/>
          <w:rtl/>
        </w:rPr>
        <w:t xml:space="preserve"> </w:t>
      </w:r>
      <w:r w:rsidRPr="002D58F1">
        <w:rPr>
          <w:sz w:val="22"/>
          <w:rtl/>
        </w:rPr>
        <w:t>–</w:t>
      </w:r>
      <w:r w:rsidRPr="002D58F1">
        <w:rPr>
          <w:rFonts w:hint="cs"/>
          <w:sz w:val="22"/>
          <w:rtl/>
        </w:rPr>
        <w:t xml:space="preserve"> דרישת התשלום שהומצאה לעוררים ביום 1.3.12</w:t>
      </w:r>
      <w:r w:rsidR="00380B09" w:rsidRPr="002D58F1">
        <w:rPr>
          <w:rFonts w:hint="cs"/>
          <w:sz w:val="22"/>
          <w:rtl/>
        </w:rPr>
        <w:t xml:space="preserve"> (נערכה ביום 6.11.11)</w:t>
      </w:r>
      <w:r w:rsidRPr="002D58F1">
        <w:rPr>
          <w:rFonts w:hint="cs"/>
          <w:sz w:val="22"/>
          <w:rtl/>
        </w:rPr>
        <w:t xml:space="preserve">. </w:t>
      </w:r>
      <w:r w:rsidR="00380B09" w:rsidRPr="002D58F1">
        <w:rPr>
          <w:rFonts w:hint="cs"/>
          <w:sz w:val="22"/>
          <w:rtl/>
        </w:rPr>
        <w:t xml:space="preserve">בהקשר זה נזכיר כי תכנית זו </w:t>
      </w:r>
      <w:r w:rsidR="00380B09" w:rsidRPr="002D58F1">
        <w:rPr>
          <w:sz w:val="22"/>
          <w:rtl/>
        </w:rPr>
        <w:t>–</w:t>
      </w:r>
      <w:r w:rsidR="00380B09" w:rsidRPr="002D58F1">
        <w:rPr>
          <w:rFonts w:hint="cs"/>
          <w:sz w:val="22"/>
          <w:rtl/>
        </w:rPr>
        <w:t xml:space="preserve"> בי /490 פורסמה למתן תוקף ביום 1.12.11 (פורסמה להפקדה ביום 26.6.11 ולא הוגשו התנגדויות).</w:t>
      </w:r>
      <w:r w:rsidR="007004BC" w:rsidRPr="002D58F1">
        <w:rPr>
          <w:rFonts w:hint="cs"/>
          <w:sz w:val="22"/>
          <w:rtl/>
        </w:rPr>
        <w:t xml:space="preserve"> </w:t>
      </w:r>
      <w:r w:rsidR="00380B09" w:rsidRPr="002D58F1">
        <w:rPr>
          <w:rFonts w:hint="cs"/>
          <w:sz w:val="22"/>
          <w:rtl/>
        </w:rPr>
        <w:t>החלטה לאישור</w:t>
      </w:r>
      <w:r w:rsidR="007004BC" w:rsidRPr="002D58F1">
        <w:rPr>
          <w:rFonts w:hint="cs"/>
          <w:sz w:val="22"/>
          <w:rtl/>
        </w:rPr>
        <w:t xml:space="preserve"> התכנית</w:t>
      </w:r>
      <w:r w:rsidR="00380B09" w:rsidRPr="002D58F1">
        <w:rPr>
          <w:rFonts w:hint="cs"/>
          <w:sz w:val="22"/>
          <w:rtl/>
        </w:rPr>
        <w:t xml:space="preserve"> </w:t>
      </w:r>
      <w:r w:rsidR="00380B09" w:rsidRPr="002D58F1">
        <w:rPr>
          <w:sz w:val="22"/>
          <w:rtl/>
        </w:rPr>
        <w:t>–</w:t>
      </w:r>
      <w:r w:rsidR="00380B09" w:rsidRPr="002D58F1">
        <w:rPr>
          <w:rFonts w:hint="cs"/>
          <w:sz w:val="22"/>
          <w:rtl/>
        </w:rPr>
        <w:t xml:space="preserve"> ישיבת הוועדה המחוזית מיום 5.9.11. אישור שר האוצר - 3.11.11</w:t>
      </w:r>
      <w:r w:rsidR="007004BC" w:rsidRPr="002D58F1">
        <w:rPr>
          <w:rFonts w:hint="cs"/>
          <w:sz w:val="22"/>
          <w:rtl/>
        </w:rPr>
        <w:t>.</w:t>
      </w:r>
    </w:p>
    <w:p w14:paraId="117CC202" w14:textId="1613C95C" w:rsidR="00F50171" w:rsidRPr="002D58F1" w:rsidRDefault="00F50171" w:rsidP="00F50171">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הווי אומר אין מחלוקת כי ביום 6.11.11 - יום הפקת מסמך השומה לעיל ובטח ביום מסירתו לעוררת </w:t>
      </w:r>
      <w:r w:rsidR="001861E8" w:rsidRPr="002D58F1">
        <w:rPr>
          <w:sz w:val="22"/>
          <w:rtl/>
        </w:rPr>
        <w:t>–</w:t>
      </w:r>
      <w:r w:rsidR="001861E8" w:rsidRPr="002D58F1">
        <w:rPr>
          <w:rFonts w:hint="cs"/>
          <w:sz w:val="22"/>
          <w:rtl/>
        </w:rPr>
        <w:t xml:space="preserve"> </w:t>
      </w:r>
      <w:r w:rsidR="001861E8" w:rsidRPr="002D58F1">
        <w:rPr>
          <w:rFonts w:hint="cs"/>
          <w:b/>
          <w:bCs/>
          <w:sz w:val="22"/>
          <w:u w:val="single"/>
          <w:rtl/>
        </w:rPr>
        <w:t xml:space="preserve">1.3.12 </w:t>
      </w:r>
      <w:r w:rsidRPr="002D58F1">
        <w:rPr>
          <w:rFonts w:hint="cs"/>
          <w:sz w:val="22"/>
          <w:rtl/>
        </w:rPr>
        <w:t>היה ידוע לכולי עלמא כי התכנית שאושרה אינה זהה לתכנית ביחס אליה הופקה השומה המוסכמת.</w:t>
      </w:r>
    </w:p>
    <w:p w14:paraId="102093F5" w14:textId="44A0A96F" w:rsidR="00211CC3" w:rsidRPr="002D58F1" w:rsidRDefault="00096309" w:rsidP="00215233">
      <w:pPr>
        <w:pStyle w:val="ListParagraph"/>
        <w:numPr>
          <w:ilvl w:val="0"/>
          <w:numId w:val="4"/>
        </w:numPr>
        <w:spacing w:before="0" w:after="160" w:line="360" w:lineRule="auto"/>
        <w:ind w:left="226" w:hanging="425"/>
        <w:contextualSpacing w:val="0"/>
        <w:rPr>
          <w:sz w:val="22"/>
        </w:rPr>
      </w:pPr>
      <w:r w:rsidRPr="002D58F1">
        <w:rPr>
          <w:rFonts w:hint="cs"/>
          <w:sz w:val="22"/>
          <w:rtl/>
        </w:rPr>
        <w:t>והנה,</w:t>
      </w:r>
      <w:r w:rsidR="00211CC3" w:rsidRPr="002D58F1">
        <w:rPr>
          <w:rFonts w:hint="cs"/>
          <w:sz w:val="22"/>
          <w:rtl/>
        </w:rPr>
        <w:t xml:space="preserve"> </w:t>
      </w:r>
      <w:r w:rsidR="00211CC3" w:rsidRPr="002D58F1">
        <w:rPr>
          <w:rFonts w:hint="cs"/>
          <w:b/>
          <w:bCs/>
          <w:sz w:val="22"/>
          <w:rtl/>
        </w:rPr>
        <w:t xml:space="preserve">במסגרת </w:t>
      </w:r>
      <w:r w:rsidR="000A6BB0" w:rsidRPr="002D58F1">
        <w:rPr>
          <w:rFonts w:hint="cs"/>
          <w:b/>
          <w:bCs/>
          <w:sz w:val="22"/>
          <w:rtl/>
        </w:rPr>
        <w:t>דרישת תשלום זו נקבע מפורשות כי היא מבוססת על השומה המוסכמת</w:t>
      </w:r>
      <w:r w:rsidR="00997CC4" w:rsidRPr="002D58F1">
        <w:rPr>
          <w:rFonts w:hint="cs"/>
          <w:b/>
          <w:bCs/>
          <w:sz w:val="22"/>
          <w:rtl/>
        </w:rPr>
        <w:t xml:space="preserve">, כך נקבע ברישא השומה </w:t>
      </w:r>
      <w:r w:rsidR="00997CC4" w:rsidRPr="002D58F1">
        <w:rPr>
          <w:b/>
          <w:bCs/>
          <w:sz w:val="22"/>
          <w:rtl/>
        </w:rPr>
        <w:t>–</w:t>
      </w:r>
      <w:r w:rsidR="00997CC4" w:rsidRPr="002D58F1">
        <w:rPr>
          <w:rFonts w:hint="cs"/>
          <w:b/>
          <w:bCs/>
          <w:sz w:val="22"/>
          <w:rtl/>
        </w:rPr>
        <w:t xml:space="preserve"> "סוג שומה: מוסכמת". קרי אין חולק כי דרישת התשלום מבוססת על השומה המוסכמת</w:t>
      </w:r>
      <w:r w:rsidR="00D67EC4" w:rsidRPr="002D58F1">
        <w:rPr>
          <w:rFonts w:hint="cs"/>
          <w:b/>
          <w:bCs/>
          <w:sz w:val="22"/>
          <w:rtl/>
        </w:rPr>
        <w:t xml:space="preserve"> משנת 2008</w:t>
      </w:r>
      <w:r w:rsidR="000A6BB0" w:rsidRPr="002D58F1">
        <w:rPr>
          <w:rFonts w:hint="cs"/>
          <w:b/>
          <w:bCs/>
          <w:sz w:val="22"/>
          <w:rtl/>
        </w:rPr>
        <w:t xml:space="preserve"> ואף נקבע הסכום הקבוע בשומה המוסכמת כהיטל ההשבחה הסופי.</w:t>
      </w:r>
      <w:r w:rsidR="00997CC4" w:rsidRPr="002D58F1">
        <w:rPr>
          <w:rFonts w:hint="cs"/>
          <w:sz w:val="22"/>
          <w:rtl/>
        </w:rPr>
        <w:t xml:space="preserve"> </w:t>
      </w:r>
    </w:p>
    <w:p w14:paraId="47F0056D" w14:textId="2F82AAA1" w:rsidR="001861E8" w:rsidRPr="002D58F1" w:rsidRDefault="001861E8" w:rsidP="00F50171">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על כן, גם אם תתקבל עמדת הוועדה המקומית לפיה לא ניתן למנות את תקופת השיהוי וההתיישנות מיום החתימה על השומה המוסכמת בשנת 2008, הרי שוודאי יש למנות תקופה זו מהמועד בו הומצאה דרישת התשלום בהתאם לשומה המוסכמת לידי העוררים. גם ביחס למועד זה חלפה תקופת ההתיישנות וודאי שגם חלפה תקופה ארוכה דיה שדי בה כדי לבסס טענת שיהוי. </w:t>
      </w:r>
    </w:p>
    <w:p w14:paraId="7D32B8F8" w14:textId="757E9F42" w:rsidR="006E35AF" w:rsidRPr="002D58F1" w:rsidRDefault="00D138EB" w:rsidP="001652CA">
      <w:pPr>
        <w:pStyle w:val="ListParagraph"/>
        <w:numPr>
          <w:ilvl w:val="0"/>
          <w:numId w:val="4"/>
        </w:numPr>
        <w:spacing w:before="0" w:after="160" w:line="360" w:lineRule="auto"/>
        <w:ind w:left="226" w:hanging="425"/>
        <w:contextualSpacing w:val="0"/>
        <w:rPr>
          <w:sz w:val="22"/>
        </w:rPr>
      </w:pPr>
      <w:r w:rsidRPr="002D58F1">
        <w:rPr>
          <w:rFonts w:hint="cs"/>
          <w:b/>
          <w:bCs/>
          <w:sz w:val="22"/>
          <w:u w:val="single"/>
          <w:rtl/>
        </w:rPr>
        <w:t>המועד השלישי</w:t>
      </w:r>
      <w:r w:rsidRPr="002D58F1">
        <w:rPr>
          <w:rFonts w:hint="cs"/>
          <w:sz w:val="22"/>
          <w:rtl/>
        </w:rPr>
        <w:t xml:space="preserve"> </w:t>
      </w:r>
      <w:r w:rsidR="000C6FE0" w:rsidRPr="002D58F1">
        <w:rPr>
          <w:sz w:val="22"/>
          <w:rtl/>
        </w:rPr>
        <w:t>–</w:t>
      </w:r>
      <w:r w:rsidRPr="002D58F1">
        <w:rPr>
          <w:rFonts w:hint="cs"/>
          <w:sz w:val="22"/>
          <w:rtl/>
        </w:rPr>
        <w:t xml:space="preserve"> </w:t>
      </w:r>
      <w:r w:rsidR="000C6FE0" w:rsidRPr="002D58F1">
        <w:rPr>
          <w:rFonts w:hint="cs"/>
          <w:sz w:val="22"/>
          <w:rtl/>
        </w:rPr>
        <w:t xml:space="preserve">מועד הוצאת היתרי הבניה מכוח התכנית. כך פורטו היתרי הבניה שהופקו מכוחה של התכנית </w:t>
      </w:r>
      <w:r w:rsidR="008616A8" w:rsidRPr="002D58F1">
        <w:rPr>
          <w:rFonts w:hint="cs"/>
          <w:sz w:val="22"/>
          <w:rtl/>
        </w:rPr>
        <w:t>בהתאם לאמור בתגובת הוועדה המקומית:</w:t>
      </w:r>
    </w:p>
    <w:p w14:paraId="0A5BC7C8" w14:textId="10C4D1EB" w:rsidR="005A6323" w:rsidRPr="002D58F1" w:rsidRDefault="005A6323" w:rsidP="001B7FB1">
      <w:pPr>
        <w:rPr>
          <w:rtl/>
        </w:rPr>
      </w:pPr>
      <w:r w:rsidRPr="002D58F1">
        <w:rPr>
          <w:noProof/>
          <w:rtl/>
        </w:rPr>
        <w:lastRenderedPageBreak/>
        <w:drawing>
          <wp:inline distT="0" distB="0" distL="0" distR="0" wp14:anchorId="61F3763B" wp14:editId="37577D4B">
            <wp:extent cx="5274310" cy="2084996"/>
            <wp:effectExtent l="0" t="0" r="254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2084996"/>
                    </a:xfrm>
                    <a:prstGeom prst="rect">
                      <a:avLst/>
                    </a:prstGeom>
                    <a:noFill/>
                    <a:ln>
                      <a:noFill/>
                    </a:ln>
                  </pic:spPr>
                </pic:pic>
              </a:graphicData>
            </a:graphic>
          </wp:inline>
        </w:drawing>
      </w:r>
    </w:p>
    <w:p w14:paraId="3A59DF1A" w14:textId="597C6CF4" w:rsidR="00B65850" w:rsidRPr="002D58F1" w:rsidRDefault="003D0040"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הווי אומר, משנת 2012 אישרה הוועדה המקומית מספר היתרי בניה ובמשך כל תקופה זו לא פנתה לעוררת לתיקון השומה. גם מועד זה מבסס עילת התיישנות ושיהוי. </w:t>
      </w:r>
    </w:p>
    <w:p w14:paraId="44E5D9A4" w14:textId="348FFDE7" w:rsidR="00932775" w:rsidRPr="002D58F1" w:rsidRDefault="003D0040" w:rsidP="001652CA">
      <w:pPr>
        <w:pStyle w:val="ListParagraph"/>
        <w:numPr>
          <w:ilvl w:val="0"/>
          <w:numId w:val="4"/>
        </w:numPr>
        <w:spacing w:before="0" w:after="160" w:line="360" w:lineRule="auto"/>
        <w:ind w:left="226" w:hanging="425"/>
        <w:contextualSpacing w:val="0"/>
        <w:rPr>
          <w:sz w:val="22"/>
        </w:rPr>
      </w:pPr>
      <w:r w:rsidRPr="002D58F1">
        <w:rPr>
          <w:rFonts w:hint="cs"/>
          <w:b/>
          <w:bCs/>
          <w:sz w:val="22"/>
          <w:u w:val="single"/>
          <w:rtl/>
        </w:rPr>
        <w:t>המועד הרביעי</w:t>
      </w:r>
      <w:r w:rsidRPr="002D58F1">
        <w:rPr>
          <w:rFonts w:hint="cs"/>
          <w:sz w:val="22"/>
          <w:rtl/>
        </w:rPr>
        <w:t xml:space="preserve"> </w:t>
      </w:r>
      <w:r w:rsidRPr="002D58F1">
        <w:rPr>
          <w:sz w:val="22"/>
          <w:rtl/>
        </w:rPr>
        <w:t>–</w:t>
      </w:r>
      <w:r w:rsidRPr="002D58F1">
        <w:rPr>
          <w:rFonts w:hint="cs"/>
          <w:sz w:val="22"/>
          <w:rtl/>
        </w:rPr>
        <w:t xml:space="preserve"> מועד החתימה על כתב ההתחייבות </w:t>
      </w:r>
      <w:r w:rsidR="00932775" w:rsidRPr="002D58F1">
        <w:rPr>
          <w:sz w:val="22"/>
          <w:rtl/>
        </w:rPr>
        <w:t>–</w:t>
      </w:r>
      <w:r w:rsidR="00746D03" w:rsidRPr="002D58F1">
        <w:rPr>
          <w:rFonts w:hint="cs"/>
          <w:sz w:val="22"/>
          <w:rtl/>
        </w:rPr>
        <w:t xml:space="preserve"> 21.10.2013.</w:t>
      </w:r>
    </w:p>
    <w:p w14:paraId="67442A98" w14:textId="0A896704" w:rsidR="005614CC" w:rsidRPr="002D58F1" w:rsidRDefault="005614CC" w:rsidP="001652CA">
      <w:pPr>
        <w:pStyle w:val="ListParagraph"/>
        <w:numPr>
          <w:ilvl w:val="0"/>
          <w:numId w:val="4"/>
        </w:numPr>
        <w:spacing w:before="0" w:after="160" w:line="360" w:lineRule="auto"/>
        <w:ind w:left="226" w:hanging="425"/>
        <w:contextualSpacing w:val="0"/>
        <w:rPr>
          <w:sz w:val="22"/>
        </w:rPr>
      </w:pPr>
      <w:r w:rsidRPr="002D58F1">
        <w:rPr>
          <w:rFonts w:hint="cs"/>
          <w:sz w:val="22"/>
          <w:rtl/>
        </w:rPr>
        <w:t>כאמור</w:t>
      </w:r>
      <w:r w:rsidR="005F4F55" w:rsidRPr="002D58F1">
        <w:rPr>
          <w:rFonts w:hint="cs"/>
          <w:sz w:val="22"/>
          <w:rtl/>
        </w:rPr>
        <w:t xml:space="preserve"> </w:t>
      </w:r>
      <w:r w:rsidRPr="002D58F1">
        <w:rPr>
          <w:rFonts w:hint="cs"/>
          <w:sz w:val="22"/>
          <w:rtl/>
        </w:rPr>
        <w:t>בתגובת הוועדה המקומית</w:t>
      </w:r>
      <w:r w:rsidR="005F4F55" w:rsidRPr="002D58F1">
        <w:rPr>
          <w:rFonts w:hint="cs"/>
          <w:sz w:val="22"/>
          <w:rtl/>
        </w:rPr>
        <w:t>,</w:t>
      </w:r>
      <w:r w:rsidRPr="002D58F1">
        <w:rPr>
          <w:rFonts w:hint="cs"/>
          <w:sz w:val="22"/>
          <w:rtl/>
        </w:rPr>
        <w:t xml:space="preserve"> נוכח חוסר בהירות ביחס להיטל ההשבחה הנדרש ביחס להיתרי הבניה, ביום 21.10.13 חתמה העוררת על כתב התחייבות שנערך על ידי הוועדה המקומית. בכתב ההתחייבות הפנתה הוועדה המקומית לשומה המוסכמת ולהיטל ההשבחה שנקבע בה</w:t>
      </w:r>
      <w:r w:rsidR="003D1C26" w:rsidRPr="002D58F1">
        <w:rPr>
          <w:rFonts w:hint="cs"/>
          <w:sz w:val="22"/>
          <w:rtl/>
        </w:rPr>
        <w:t xml:space="preserve"> (14,80700 ₪</w:t>
      </w:r>
      <w:r w:rsidR="00C41DEE" w:rsidRPr="002D58F1">
        <w:rPr>
          <w:rFonts w:hint="cs"/>
          <w:sz w:val="22"/>
          <w:rtl/>
        </w:rPr>
        <w:t>)</w:t>
      </w:r>
      <w:r w:rsidR="00EF3686" w:rsidRPr="002D58F1">
        <w:rPr>
          <w:rFonts w:hint="cs"/>
          <w:sz w:val="22"/>
          <w:rtl/>
        </w:rPr>
        <w:t xml:space="preserve"> וכן לדרישת התשלום שהופקה ביום 6.11.11 והומצאה לידי העוררים ביום 1.3.12</w:t>
      </w:r>
      <w:r w:rsidRPr="002D58F1">
        <w:rPr>
          <w:rFonts w:hint="cs"/>
          <w:sz w:val="22"/>
          <w:rtl/>
        </w:rPr>
        <w:t>, כך:</w:t>
      </w:r>
    </w:p>
    <w:p w14:paraId="4A263346" w14:textId="77777777" w:rsidR="00E321F5" w:rsidRPr="002D58F1" w:rsidRDefault="005614CC" w:rsidP="004A1FEA">
      <w:pPr>
        <w:spacing w:before="0" w:after="160" w:line="360" w:lineRule="auto"/>
        <w:ind w:left="444" w:firstLine="0"/>
        <w:rPr>
          <w:sz w:val="22"/>
        </w:rPr>
      </w:pPr>
      <w:r w:rsidRPr="002D58F1">
        <w:rPr>
          <w:noProof/>
          <w:rtl/>
        </w:rPr>
        <w:drawing>
          <wp:inline distT="0" distB="0" distL="0" distR="0" wp14:anchorId="0308131A" wp14:editId="2FD2CDD5">
            <wp:extent cx="5274310" cy="679450"/>
            <wp:effectExtent l="0" t="0" r="2540" b="635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679450"/>
                    </a:xfrm>
                    <a:prstGeom prst="rect">
                      <a:avLst/>
                    </a:prstGeom>
                    <a:noFill/>
                    <a:ln>
                      <a:noFill/>
                    </a:ln>
                  </pic:spPr>
                </pic:pic>
              </a:graphicData>
            </a:graphic>
          </wp:inline>
        </w:drawing>
      </w:r>
    </w:p>
    <w:p w14:paraId="066949FE" w14:textId="683A6F66" w:rsidR="000E6B41" w:rsidRPr="002D58F1" w:rsidRDefault="00740755" w:rsidP="001652CA">
      <w:pPr>
        <w:pStyle w:val="ListParagraph"/>
        <w:numPr>
          <w:ilvl w:val="0"/>
          <w:numId w:val="4"/>
        </w:numPr>
        <w:spacing w:before="0" w:after="160" w:line="360" w:lineRule="auto"/>
        <w:ind w:left="226" w:hanging="425"/>
        <w:contextualSpacing w:val="0"/>
        <w:rPr>
          <w:sz w:val="22"/>
        </w:rPr>
      </w:pPr>
      <w:r w:rsidRPr="002D58F1">
        <w:rPr>
          <w:rFonts w:hint="cs"/>
          <w:sz w:val="22"/>
          <w:rtl/>
        </w:rPr>
        <w:t>למעשה</w:t>
      </w:r>
      <w:r w:rsidR="005F4F55" w:rsidRPr="002D58F1">
        <w:rPr>
          <w:rFonts w:hint="cs"/>
          <w:sz w:val="22"/>
          <w:rtl/>
        </w:rPr>
        <w:t>,</w:t>
      </w:r>
      <w:r w:rsidRPr="002D58F1">
        <w:rPr>
          <w:rFonts w:hint="cs"/>
          <w:sz w:val="22"/>
          <w:rtl/>
        </w:rPr>
        <w:t xml:space="preserve"> כתב ההתחייבות שנחתם בשנת </w:t>
      </w:r>
      <w:r w:rsidR="004A1FEA" w:rsidRPr="002D58F1">
        <w:rPr>
          <w:rFonts w:hint="cs"/>
          <w:sz w:val="22"/>
          <w:rtl/>
        </w:rPr>
        <w:t>2013</w:t>
      </w:r>
      <w:r w:rsidRPr="002D58F1">
        <w:rPr>
          <w:rFonts w:hint="cs"/>
          <w:sz w:val="22"/>
          <w:rtl/>
        </w:rPr>
        <w:t xml:space="preserve"> משקף את העובדה </w:t>
      </w:r>
      <w:r w:rsidR="00591E66" w:rsidRPr="002D58F1">
        <w:rPr>
          <w:rFonts w:hint="cs"/>
          <w:sz w:val="22"/>
          <w:rtl/>
        </w:rPr>
        <w:t xml:space="preserve">כי הצדדים </w:t>
      </w:r>
      <w:r w:rsidR="001E2E49" w:rsidRPr="002D58F1">
        <w:rPr>
          <w:rFonts w:hint="cs"/>
          <w:sz w:val="22"/>
          <w:rtl/>
        </w:rPr>
        <w:t xml:space="preserve">הסכימו לראות </w:t>
      </w:r>
      <w:r w:rsidR="004A1FEA" w:rsidRPr="002D58F1">
        <w:rPr>
          <w:rFonts w:hint="cs"/>
          <w:sz w:val="22"/>
          <w:rtl/>
        </w:rPr>
        <w:t>ב</w:t>
      </w:r>
      <w:r w:rsidR="001E2E49" w:rsidRPr="002D58F1">
        <w:rPr>
          <w:rFonts w:hint="cs"/>
          <w:sz w:val="22"/>
          <w:rtl/>
        </w:rPr>
        <w:t xml:space="preserve">דרישת </w:t>
      </w:r>
      <w:r w:rsidR="004A1FEA" w:rsidRPr="002D58F1">
        <w:rPr>
          <w:rFonts w:hint="cs"/>
          <w:sz w:val="22"/>
          <w:rtl/>
        </w:rPr>
        <w:t>התשלום</w:t>
      </w:r>
      <w:r w:rsidR="001E2E49" w:rsidRPr="002D58F1">
        <w:rPr>
          <w:rFonts w:hint="cs"/>
          <w:sz w:val="22"/>
          <w:rtl/>
        </w:rPr>
        <w:t xml:space="preserve"> כשומה</w:t>
      </w:r>
      <w:r w:rsidR="004A1FEA" w:rsidRPr="002D58F1">
        <w:rPr>
          <w:rFonts w:hint="cs"/>
          <w:sz w:val="22"/>
          <w:rtl/>
        </w:rPr>
        <w:t xml:space="preserve"> סופית</w:t>
      </w:r>
      <w:r w:rsidR="001E2E49" w:rsidRPr="002D58F1">
        <w:rPr>
          <w:rFonts w:hint="cs"/>
          <w:sz w:val="22"/>
          <w:rtl/>
        </w:rPr>
        <w:t xml:space="preserve"> וקבעו כי היטל ההשבחה יעמוד על הסכום הקבוע בשומה זו והכל באופן תואם לחלוטין לקביעת השומה המוסכמת</w:t>
      </w:r>
      <w:r w:rsidR="004A1FEA" w:rsidRPr="002D58F1">
        <w:rPr>
          <w:rFonts w:hint="cs"/>
          <w:sz w:val="22"/>
          <w:rtl/>
        </w:rPr>
        <w:t>.</w:t>
      </w:r>
    </w:p>
    <w:p w14:paraId="56397FAD" w14:textId="798E732E" w:rsidR="004A1FEA" w:rsidRPr="002D58F1" w:rsidRDefault="004A1FEA" w:rsidP="001652CA">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מועד זה מצוי על גבולה הדק של תקופת ההתיישנות (השומה הומצאה בדיוק 7 שנים פחות יום לאחר מכן </w:t>
      </w:r>
      <w:r w:rsidRPr="002D58F1">
        <w:rPr>
          <w:sz w:val="22"/>
          <w:rtl/>
        </w:rPr>
        <w:t>–</w:t>
      </w:r>
      <w:r w:rsidRPr="002D58F1">
        <w:rPr>
          <w:rFonts w:hint="cs"/>
          <w:sz w:val="22"/>
          <w:rtl/>
        </w:rPr>
        <w:t xml:space="preserve"> 20.10.20). אך מכל מקום ודאי שהתקופה האמורה מבססת תקופת שיהוי שדי בה כדי לאסור את תיקון השומה.</w:t>
      </w:r>
    </w:p>
    <w:p w14:paraId="68E5A398" w14:textId="2366DB76" w:rsidR="00025B89" w:rsidRPr="002D58F1" w:rsidRDefault="00025B89" w:rsidP="001652CA">
      <w:pPr>
        <w:pStyle w:val="ListParagraph"/>
        <w:numPr>
          <w:ilvl w:val="0"/>
          <w:numId w:val="4"/>
        </w:numPr>
        <w:spacing w:before="0" w:after="160" w:line="360" w:lineRule="auto"/>
        <w:ind w:left="226" w:hanging="425"/>
        <w:contextualSpacing w:val="0"/>
        <w:rPr>
          <w:sz w:val="22"/>
        </w:rPr>
      </w:pPr>
      <w:r w:rsidRPr="002D58F1">
        <w:rPr>
          <w:rFonts w:hint="cs"/>
          <w:b/>
          <w:bCs/>
          <w:sz w:val="22"/>
          <w:u w:val="single"/>
          <w:rtl/>
        </w:rPr>
        <w:t>המועד החמישי</w:t>
      </w:r>
      <w:r w:rsidRPr="002D58F1">
        <w:rPr>
          <w:rFonts w:hint="cs"/>
          <w:sz w:val="22"/>
          <w:rtl/>
        </w:rPr>
        <w:t xml:space="preserve"> </w:t>
      </w:r>
      <w:r w:rsidRPr="002D58F1">
        <w:rPr>
          <w:sz w:val="22"/>
          <w:rtl/>
        </w:rPr>
        <w:t>–</w:t>
      </w:r>
      <w:r w:rsidRPr="002D58F1">
        <w:rPr>
          <w:rFonts w:hint="cs"/>
          <w:sz w:val="22"/>
          <w:rtl/>
        </w:rPr>
        <w:t xml:space="preserve"> מועד תשלום הקרן +</w:t>
      </w:r>
      <w:r w:rsidRPr="002D58F1">
        <w:rPr>
          <w:rFonts w:hint="cs"/>
          <w:sz w:val="22"/>
        </w:rPr>
        <w:t xml:space="preserve"> </w:t>
      </w:r>
      <w:r w:rsidRPr="002D58F1">
        <w:rPr>
          <w:rFonts w:hint="cs"/>
          <w:sz w:val="22"/>
          <w:rtl/>
        </w:rPr>
        <w:t>ההצמדה.</w:t>
      </w:r>
      <w:r w:rsidR="00174F12" w:rsidRPr="002D58F1">
        <w:rPr>
          <w:rFonts w:hint="cs"/>
          <w:sz w:val="22"/>
          <w:rtl/>
        </w:rPr>
        <w:t xml:space="preserve"> ביום 21.1.16 שולם היטל ההשבחה הקבוע בשומה המוסכמת בתוספת ההצמדה. כאמור לעיל, תשלום היטל ההשבחה לאחר שחלפה תקופה כה ארוכה די בו כדי לבסס טענת שיהוי. </w:t>
      </w:r>
    </w:p>
    <w:p w14:paraId="2BD4A0E9" w14:textId="6C01CDA6" w:rsidR="001579EB" w:rsidRPr="002D58F1" w:rsidRDefault="001579EB" w:rsidP="001652CA">
      <w:pPr>
        <w:pStyle w:val="ListParagraph"/>
        <w:numPr>
          <w:ilvl w:val="0"/>
          <w:numId w:val="4"/>
        </w:numPr>
        <w:spacing w:before="0" w:after="160" w:line="360" w:lineRule="auto"/>
        <w:ind w:left="226" w:hanging="425"/>
        <w:contextualSpacing w:val="0"/>
        <w:rPr>
          <w:sz w:val="22"/>
        </w:rPr>
      </w:pPr>
      <w:r w:rsidRPr="002D58F1">
        <w:rPr>
          <w:rFonts w:hint="cs"/>
          <w:b/>
          <w:bCs/>
          <w:sz w:val="22"/>
          <w:u w:val="single"/>
          <w:rtl/>
        </w:rPr>
        <w:t xml:space="preserve">המועד </w:t>
      </w:r>
      <w:r w:rsidR="00025B89" w:rsidRPr="002D58F1">
        <w:rPr>
          <w:rFonts w:hint="cs"/>
          <w:b/>
          <w:bCs/>
          <w:sz w:val="22"/>
          <w:u w:val="single"/>
          <w:rtl/>
        </w:rPr>
        <w:t>השישי</w:t>
      </w:r>
      <w:r w:rsidRPr="002D58F1">
        <w:rPr>
          <w:rFonts w:hint="cs"/>
          <w:sz w:val="22"/>
          <w:rtl/>
        </w:rPr>
        <w:t xml:space="preserve"> </w:t>
      </w:r>
      <w:r w:rsidRPr="002D58F1">
        <w:rPr>
          <w:sz w:val="22"/>
          <w:rtl/>
        </w:rPr>
        <w:t>–</w:t>
      </w:r>
      <w:r w:rsidRPr="002D58F1">
        <w:rPr>
          <w:rFonts w:hint="cs"/>
          <w:sz w:val="22"/>
          <w:rtl/>
        </w:rPr>
        <w:t xml:space="preserve"> מועד </w:t>
      </w:r>
      <w:r w:rsidR="00845943" w:rsidRPr="002D58F1">
        <w:rPr>
          <w:rFonts w:hint="cs"/>
          <w:sz w:val="22"/>
          <w:rtl/>
        </w:rPr>
        <w:t xml:space="preserve">פסק </w:t>
      </w:r>
      <w:r w:rsidRPr="002D58F1">
        <w:rPr>
          <w:rFonts w:hint="cs"/>
          <w:sz w:val="22"/>
          <w:rtl/>
        </w:rPr>
        <w:t>הבוררות.</w:t>
      </w:r>
      <w:r w:rsidR="00C84015" w:rsidRPr="002D58F1">
        <w:rPr>
          <w:rFonts w:hint="cs"/>
          <w:sz w:val="22"/>
          <w:rtl/>
        </w:rPr>
        <w:t xml:space="preserve"> כאמור בתגובת הוועדה המקומית</w:t>
      </w:r>
      <w:r w:rsidR="00E16BB6" w:rsidRPr="002D58F1">
        <w:rPr>
          <w:rFonts w:hint="cs"/>
          <w:sz w:val="22"/>
          <w:rtl/>
        </w:rPr>
        <w:t>, בין הצדדים נתגלעה מחלוקת בי</w:t>
      </w:r>
      <w:r w:rsidR="00C80FC7" w:rsidRPr="002D58F1">
        <w:rPr>
          <w:rFonts w:hint="cs"/>
          <w:sz w:val="22"/>
          <w:rtl/>
        </w:rPr>
        <w:t xml:space="preserve">חס </w:t>
      </w:r>
      <w:r w:rsidR="00CC1AD5" w:rsidRPr="002D58F1">
        <w:rPr>
          <w:rFonts w:hint="cs"/>
          <w:sz w:val="22"/>
          <w:rtl/>
        </w:rPr>
        <w:t>לגובה הריבית</w:t>
      </w:r>
      <w:r w:rsidR="0034115E" w:rsidRPr="002D58F1">
        <w:rPr>
          <w:rFonts w:hint="cs"/>
          <w:sz w:val="22"/>
          <w:rtl/>
        </w:rPr>
        <w:t xml:space="preserve"> ופסק בוררות בעניין זה ניתן ביום </w:t>
      </w:r>
      <w:r w:rsidR="00215233" w:rsidRPr="002D58F1">
        <w:rPr>
          <w:rFonts w:hint="cs"/>
          <w:sz w:val="22"/>
          <w:rtl/>
        </w:rPr>
        <w:t xml:space="preserve">24.5.17. הוועדה המקומית לא המציאה </w:t>
      </w:r>
      <w:r w:rsidR="00F8536F" w:rsidRPr="002D58F1">
        <w:rPr>
          <w:rFonts w:hint="cs"/>
          <w:sz w:val="22"/>
          <w:rtl/>
        </w:rPr>
        <w:t xml:space="preserve">לידינו את פסק הבוררות. אך נוכח העובדה </w:t>
      </w:r>
      <w:r w:rsidR="005F4F55" w:rsidRPr="002D58F1">
        <w:rPr>
          <w:rFonts w:hint="cs"/>
          <w:sz w:val="22"/>
          <w:rtl/>
        </w:rPr>
        <w:t xml:space="preserve">כי </w:t>
      </w:r>
      <w:r w:rsidR="00F8536F" w:rsidRPr="002D58F1">
        <w:rPr>
          <w:rFonts w:hint="cs"/>
          <w:sz w:val="22"/>
          <w:rtl/>
        </w:rPr>
        <w:t>במסגרתו נקבעה הריבית שיש להצמיד להיטל ההשבחה הקבוע בשומה המוסכמת, הרי ש</w:t>
      </w:r>
      <w:r w:rsidR="00976FE1" w:rsidRPr="002D58F1">
        <w:rPr>
          <w:rFonts w:hint="cs"/>
          <w:sz w:val="22"/>
          <w:rtl/>
        </w:rPr>
        <w:t xml:space="preserve">במסגרת זו </w:t>
      </w:r>
      <w:r w:rsidR="00976FE1" w:rsidRPr="002D58F1">
        <w:rPr>
          <w:rFonts w:hint="cs"/>
          <w:sz w:val="22"/>
          <w:rtl/>
        </w:rPr>
        <w:lastRenderedPageBreak/>
        <w:t>התקבע גם סכום ההיטל ולמעשה דומה שהוועדה המקומית מושתקת מלטעון ביחס לעניין גובה היטל ההשבחה.</w:t>
      </w:r>
    </w:p>
    <w:p w14:paraId="57B816A1" w14:textId="05E8BC54" w:rsidR="00E91A78" w:rsidRPr="002D58F1" w:rsidRDefault="00E91A78" w:rsidP="001652CA">
      <w:pPr>
        <w:pStyle w:val="ListParagraph"/>
        <w:numPr>
          <w:ilvl w:val="0"/>
          <w:numId w:val="4"/>
        </w:numPr>
        <w:spacing w:before="0" w:after="160" w:line="360" w:lineRule="auto"/>
        <w:ind w:left="226" w:hanging="425"/>
        <w:contextualSpacing w:val="0"/>
        <w:rPr>
          <w:sz w:val="22"/>
        </w:rPr>
      </w:pPr>
      <w:r w:rsidRPr="002D58F1">
        <w:rPr>
          <w:rFonts w:hint="cs"/>
          <w:b/>
          <w:bCs/>
          <w:sz w:val="22"/>
          <w:u w:val="single"/>
          <w:rtl/>
        </w:rPr>
        <w:t xml:space="preserve">המועד השביעי </w:t>
      </w:r>
      <w:r w:rsidR="00907499" w:rsidRPr="002D58F1">
        <w:rPr>
          <w:sz w:val="22"/>
          <w:rtl/>
        </w:rPr>
        <w:t>–</w:t>
      </w:r>
      <w:r w:rsidRPr="002D58F1">
        <w:rPr>
          <w:rFonts w:hint="cs"/>
          <w:sz w:val="22"/>
          <w:rtl/>
        </w:rPr>
        <w:t xml:space="preserve"> </w:t>
      </w:r>
      <w:r w:rsidR="00907499" w:rsidRPr="002D58F1">
        <w:rPr>
          <w:rFonts w:hint="cs"/>
          <w:sz w:val="22"/>
          <w:rtl/>
        </w:rPr>
        <w:t>מועד "הגילוי" בשנת 2017. במסגרת הדיון בפנינו הבהיר השמאי יורם ברק כך:</w:t>
      </w:r>
    </w:p>
    <w:p w14:paraId="6E55A7BA" w14:textId="77777777" w:rsidR="00907499" w:rsidRPr="002D58F1" w:rsidRDefault="00907499" w:rsidP="00907499">
      <w:pPr>
        <w:pStyle w:val="ListParagraph"/>
        <w:spacing w:line="240" w:lineRule="auto"/>
        <w:ind w:left="804" w:right="284" w:firstLine="0"/>
        <w:rPr>
          <w:rFonts w:asciiTheme="minorBidi" w:hAnsiTheme="minorBidi" w:cstheme="minorBidi"/>
          <w:color w:val="000000"/>
          <w:sz w:val="22"/>
          <w:szCs w:val="22"/>
          <w:rtl/>
        </w:rPr>
      </w:pPr>
      <w:r w:rsidRPr="002D58F1">
        <w:rPr>
          <w:rFonts w:asciiTheme="minorBidi" w:hAnsiTheme="minorBidi" w:cstheme="minorBidi" w:hint="cs"/>
          <w:color w:val="000000"/>
          <w:sz w:val="22"/>
          <w:szCs w:val="22"/>
          <w:rtl/>
        </w:rPr>
        <w:t>לגבי הרקע של ההשלמה של השומה, כפי שאנחנו יודעים, הייתה שומה מוסכמת ולאחר השומה המוסכמת התכנית אושרה, ולאחר שהתכנית אושרה היזם פעל להוצאת היתרים, והוועדה המקומית לקחה את השומה מוסכמת אמרה זה הסכום שאתה חייב ושילם כשהוציא את ההיתרים. אפילו פרסו לו את ההיטל השבחה אפילו שהיה אסור, זה אני אומר ללא קשר. ואני בכלל לא ידעתי שהתכנית הסופית שאושרה היא שונה מהשומה המוסכמת, פעם ראשונה שגיליתי את זה, זה היה כשהיועמ"ש פנתה אליי, בשנת 2017, ואמרה לי תשמע היזם טוען שהוא לא חייב לבנות לנו את השטח הציבורי, תבדוק את התבע. ב-2017 פנתה אליי אמרה תבדוק את התבע, ואז להפתעי אני רואה שהתב"ע אושרה שונה לחלוטין, תכף אדבר, אדוני אמר טיפה וזה לא טיפה. אמרת שהמתכונת אושרה טיפה שונה מהמתכונת, זה לא טיפה, זה משמעותי זה אלפי מטר. גיליתי לראשונה ב-2017 והכנתי נייר ליועמ"ש ואמרתי לה זה שונה ממה שאושר, מצד אחד הם צודקים שיש להם חיוב נוסף במטלה ציבורית שלא היה קיים בנוסח שעליו הכנתי את השומה מ-2008 מצד שני קיבלו עוד זכויות בנייה, וועדה מקומית מפסידה מהשומה המוסכמת כי קיבלה היטל השבחה יותר קטן ממה שמגיע לה בשכלול סופי גם כשאני מביא בחשבון שטח ציבורי. יש על זה קביעה בזמן אמת. הדלקתי רמזור אדום לעירייה אנחנו פה בבעיה לא חייבנו אותם בהיטל השבחה על כל הזכויות וצריך לחייב אותם על היטל השבחה. זה התגלגל ואמרו לי בשנת 2020 תוציא שומה וגמרנו כי אם לא לא נקבל את הכסף. אני לא מחליט מתי להוציא שומות, אני בסה"כ שמאי, שולחים לי במייל תכין שומה אני מכין שומה, אין לי החלטה עצמאית מתי אני מוציא שומות מתי לא, הם ידעו בסוף 2017, הוועדה מקומית ידעה בדצמבר 2017 שיש בעיה ולא קיבלנו את מלוא היטל ההשבחה, ובסוף שנת 2020 אוקטובר, קיבלתי פקודה להכין שומה שמשלימה.</w:t>
      </w:r>
    </w:p>
    <w:p w14:paraId="41680A51" w14:textId="77777777" w:rsidR="0009120C" w:rsidRPr="002D58F1" w:rsidRDefault="0009120C" w:rsidP="0009120C">
      <w:pPr>
        <w:pStyle w:val="ListParagraph"/>
        <w:spacing w:before="0" w:after="160" w:line="360" w:lineRule="auto"/>
        <w:ind w:left="226" w:firstLine="0"/>
        <w:contextualSpacing w:val="0"/>
        <w:rPr>
          <w:sz w:val="22"/>
        </w:rPr>
      </w:pPr>
    </w:p>
    <w:p w14:paraId="4C8D9338" w14:textId="00907869" w:rsidR="00907499" w:rsidRPr="002D58F1" w:rsidRDefault="00907499" w:rsidP="007B781E">
      <w:pPr>
        <w:pStyle w:val="ListParagraph"/>
        <w:numPr>
          <w:ilvl w:val="0"/>
          <w:numId w:val="4"/>
        </w:numPr>
        <w:spacing w:before="0" w:after="160" w:line="360" w:lineRule="auto"/>
        <w:ind w:left="226" w:hanging="425"/>
        <w:contextualSpacing w:val="0"/>
        <w:rPr>
          <w:sz w:val="22"/>
          <w:rtl/>
        </w:rPr>
      </w:pPr>
      <w:r w:rsidRPr="002D58F1">
        <w:rPr>
          <w:rFonts w:hint="cs"/>
          <w:sz w:val="22"/>
          <w:rtl/>
        </w:rPr>
        <w:t>הווי אומר, אין חולק כי הוועדה המקומית ידעה בשנת 2017 על הצורך בתיקון שומה, ואף על פי כן התמהמה במשך כ</w:t>
      </w:r>
      <w:r w:rsidRPr="002D58F1">
        <w:rPr>
          <w:sz w:val="22"/>
          <w:rtl/>
        </w:rPr>
        <w:t>–</w:t>
      </w:r>
      <w:r w:rsidRPr="002D58F1">
        <w:rPr>
          <w:rFonts w:hint="cs"/>
          <w:sz w:val="22"/>
          <w:rtl/>
        </w:rPr>
        <w:t xml:space="preserve"> 3 שנים נוספות, עד להוצאות שומה מתוקנת. התנהלות זו בלבד מקימה עילת שיהוי עצמאית.</w:t>
      </w:r>
    </w:p>
    <w:p w14:paraId="624613A5" w14:textId="23CE5CDE" w:rsidR="001E2E49" w:rsidRPr="002D58F1" w:rsidRDefault="00907499" w:rsidP="00C440EC">
      <w:pPr>
        <w:rPr>
          <w:b/>
          <w:bCs/>
          <w:sz w:val="24"/>
          <w:szCs w:val="24"/>
          <w:u w:val="single"/>
          <w:rtl/>
        </w:rPr>
      </w:pPr>
      <w:r w:rsidRPr="002D58F1">
        <w:rPr>
          <w:rFonts w:hint="cs"/>
          <w:b/>
          <w:bCs/>
          <w:sz w:val="24"/>
          <w:szCs w:val="24"/>
          <w:u w:val="single"/>
          <w:rtl/>
        </w:rPr>
        <w:t xml:space="preserve">סיכום סוגיית השיהוי </w:t>
      </w:r>
      <w:r w:rsidR="00D12A56" w:rsidRPr="002D58F1">
        <w:rPr>
          <w:rFonts w:hint="cs"/>
          <w:b/>
          <w:bCs/>
          <w:sz w:val="24"/>
          <w:szCs w:val="24"/>
          <w:u w:val="single"/>
          <w:rtl/>
        </w:rPr>
        <w:t>וההתיישנות</w:t>
      </w:r>
    </w:p>
    <w:p w14:paraId="6ED1E2C7" w14:textId="1D37F876" w:rsidR="001E2E49" w:rsidRPr="002D58F1" w:rsidRDefault="001E2E49" w:rsidP="00907499">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לכל אורך הדרך ראו הצדדים בשומה המוסכמת את השומה היחידה המחייבת ואף הסכימו ביניהם במסגרת כתב התחייבות כי דרישת התשלום משנת 2011 </w:t>
      </w:r>
      <w:r w:rsidR="005F4F55" w:rsidRPr="002D58F1">
        <w:rPr>
          <w:rFonts w:hint="cs"/>
          <w:sz w:val="22"/>
          <w:rtl/>
        </w:rPr>
        <w:t>מ</w:t>
      </w:r>
      <w:r w:rsidRPr="002D58F1">
        <w:rPr>
          <w:rFonts w:hint="cs"/>
          <w:sz w:val="22"/>
          <w:rtl/>
        </w:rPr>
        <w:t>הווה את השומה מושא התכנית.</w:t>
      </w:r>
    </w:p>
    <w:p w14:paraId="3D27DC50" w14:textId="5F8AAA46" w:rsidR="004D2634" w:rsidRPr="002D58F1" w:rsidRDefault="004D2634"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מהדברים האמורים עולה כי </w:t>
      </w:r>
      <w:r w:rsidR="00C673DC" w:rsidRPr="002D58F1">
        <w:rPr>
          <w:rFonts w:hint="cs"/>
          <w:sz w:val="22"/>
          <w:rtl/>
        </w:rPr>
        <w:t xml:space="preserve">אכן דרך המלך, גם לפי שיטת הוועדה המקומית היא לבחון את הנושא בסמוך לאחר אישור התכנית </w:t>
      </w:r>
      <w:r w:rsidR="00907499" w:rsidRPr="002D58F1">
        <w:rPr>
          <w:rFonts w:hint="cs"/>
          <w:sz w:val="22"/>
          <w:rtl/>
        </w:rPr>
        <w:t>וכפי שהובהר במהלך הדיון בפנינו</w:t>
      </w:r>
      <w:r w:rsidR="00C673DC" w:rsidRPr="002D58F1">
        <w:rPr>
          <w:rFonts w:hint="cs"/>
          <w:sz w:val="22"/>
          <w:rtl/>
        </w:rPr>
        <w:t>: "אבל אם היינו בוחנים את הנושא אחרי שאושרה התכנית, אף אחד לא היה חולק ולא היה מעלה את השאלה של ההשלמה הנדרשת לשומה המוסכמת, כי השומה המוסכמת מניחה את זה בעצמה. השאלה פחות אם נכון לעשות את זה אלא אולי יותר על הזמן שלקח לעשות את זה"</w:t>
      </w:r>
      <w:r w:rsidR="00D03052" w:rsidRPr="002D58F1">
        <w:rPr>
          <w:rFonts w:hint="cs"/>
          <w:sz w:val="22"/>
          <w:rtl/>
        </w:rPr>
        <w:t>.</w:t>
      </w:r>
    </w:p>
    <w:p w14:paraId="75EB4E3B" w14:textId="074397B8" w:rsidR="00D03052" w:rsidRPr="002D58F1" w:rsidRDefault="00D03052"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lastRenderedPageBreak/>
        <w:t xml:space="preserve">יחד עם זאת, הוועדה המקומית המשיכה </w:t>
      </w:r>
      <w:r w:rsidR="005F4F55" w:rsidRPr="002D58F1">
        <w:rPr>
          <w:rFonts w:hint="cs"/>
          <w:sz w:val="22"/>
          <w:rtl/>
        </w:rPr>
        <w:t>ל</w:t>
      </w:r>
      <w:r w:rsidR="00730205" w:rsidRPr="002D58F1">
        <w:rPr>
          <w:rFonts w:hint="cs"/>
          <w:sz w:val="22"/>
          <w:rtl/>
        </w:rPr>
        <w:t xml:space="preserve">התנהל במשך יותר מעשור על בסיס ההנחה כי השומה המוסכמת היא שומה סופית. כך </w:t>
      </w:r>
      <w:r w:rsidR="00E23CD8" w:rsidRPr="002D58F1">
        <w:rPr>
          <w:rFonts w:hint="cs"/>
          <w:sz w:val="22"/>
          <w:rtl/>
        </w:rPr>
        <w:t>הופקה דרישת תשלום</w:t>
      </w:r>
      <w:r w:rsidR="004C21CB" w:rsidRPr="002D58F1">
        <w:rPr>
          <w:rFonts w:hint="cs"/>
          <w:sz w:val="22"/>
          <w:rtl/>
        </w:rPr>
        <w:t>,</w:t>
      </w:r>
      <w:r w:rsidR="00E23CD8" w:rsidRPr="002D58F1">
        <w:rPr>
          <w:rFonts w:hint="cs"/>
          <w:sz w:val="22"/>
          <w:rtl/>
        </w:rPr>
        <w:t xml:space="preserve"> אושרו </w:t>
      </w:r>
      <w:r w:rsidRPr="002D58F1">
        <w:rPr>
          <w:rFonts w:hint="cs"/>
          <w:sz w:val="22"/>
          <w:rtl/>
        </w:rPr>
        <w:t>היתרי בניה</w:t>
      </w:r>
      <w:r w:rsidR="00536674" w:rsidRPr="002D58F1">
        <w:rPr>
          <w:rFonts w:hint="cs"/>
          <w:sz w:val="22"/>
          <w:rtl/>
        </w:rPr>
        <w:t xml:space="preserve">, </w:t>
      </w:r>
      <w:r w:rsidR="00E23CD8" w:rsidRPr="002D58F1">
        <w:rPr>
          <w:rFonts w:hint="cs"/>
          <w:sz w:val="22"/>
          <w:rtl/>
        </w:rPr>
        <w:t>הוחתם</w:t>
      </w:r>
      <w:r w:rsidR="00536674" w:rsidRPr="002D58F1">
        <w:rPr>
          <w:rFonts w:hint="cs"/>
          <w:sz w:val="22"/>
          <w:rtl/>
        </w:rPr>
        <w:t xml:space="preserve"> כתב התחייבות </w:t>
      </w:r>
      <w:r w:rsidR="00E23CD8" w:rsidRPr="002D58F1">
        <w:rPr>
          <w:rFonts w:hint="cs"/>
          <w:sz w:val="22"/>
          <w:rtl/>
        </w:rPr>
        <w:t>ובוסס</w:t>
      </w:r>
      <w:r w:rsidR="00536674" w:rsidRPr="002D58F1">
        <w:rPr>
          <w:rFonts w:hint="cs"/>
          <w:sz w:val="22"/>
          <w:rtl/>
        </w:rPr>
        <w:t xml:space="preserve"> הליך בוררות</w:t>
      </w:r>
      <w:r w:rsidRPr="002D58F1">
        <w:rPr>
          <w:rFonts w:hint="cs"/>
          <w:sz w:val="22"/>
          <w:rtl/>
        </w:rPr>
        <w:t xml:space="preserve"> </w:t>
      </w:r>
      <w:r w:rsidR="00536674" w:rsidRPr="002D58F1">
        <w:rPr>
          <w:sz w:val="22"/>
          <w:rtl/>
        </w:rPr>
        <w:t>–</w:t>
      </w:r>
      <w:r w:rsidR="00536674" w:rsidRPr="002D58F1">
        <w:rPr>
          <w:rFonts w:hint="cs"/>
          <w:sz w:val="22"/>
          <w:rtl/>
        </w:rPr>
        <w:t xml:space="preserve"> כל זאת תוך הסתמכות מוחלטת על השומה המוסכמת.</w:t>
      </w:r>
    </w:p>
    <w:p w14:paraId="26C32A02" w14:textId="27DAB5A2" w:rsidR="001E2E49" w:rsidRPr="002D58F1" w:rsidRDefault="000B0B5A" w:rsidP="00730205">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על כן אנו סבורים כי בעניינו חלפה תקופת ההתיישנות ולכל הפחות </w:t>
      </w:r>
      <w:r w:rsidR="00730205" w:rsidRPr="002D58F1">
        <w:rPr>
          <w:rFonts w:hint="cs"/>
          <w:sz w:val="22"/>
          <w:rtl/>
        </w:rPr>
        <w:t xml:space="preserve">מתקיים </w:t>
      </w:r>
      <w:r w:rsidR="00FE4E08" w:rsidRPr="002D58F1">
        <w:rPr>
          <w:rFonts w:hint="cs"/>
          <w:sz w:val="22"/>
          <w:rtl/>
        </w:rPr>
        <w:t>בענייננו</w:t>
      </w:r>
      <w:r w:rsidR="00730205" w:rsidRPr="002D58F1">
        <w:rPr>
          <w:rFonts w:hint="cs"/>
          <w:sz w:val="22"/>
          <w:rtl/>
        </w:rPr>
        <w:t xml:space="preserve"> שיהוי שדי בו כדי לאסור את תיקון השומה בשלב זה.</w:t>
      </w:r>
    </w:p>
    <w:p w14:paraId="0C76D9FA" w14:textId="5C78AF50" w:rsidR="006375A6" w:rsidRPr="002D58F1" w:rsidRDefault="006375A6" w:rsidP="005234F8">
      <w:pPr>
        <w:rPr>
          <w:b/>
          <w:bCs/>
          <w:sz w:val="28"/>
          <w:szCs w:val="28"/>
          <w:u w:val="single"/>
        </w:rPr>
      </w:pPr>
      <w:r w:rsidRPr="002D58F1">
        <w:rPr>
          <w:rFonts w:hint="cs"/>
          <w:b/>
          <w:bCs/>
          <w:sz w:val="28"/>
          <w:szCs w:val="28"/>
          <w:u w:val="single"/>
          <w:rtl/>
        </w:rPr>
        <w:t>אינטרס ההסתמכות</w:t>
      </w:r>
    </w:p>
    <w:p w14:paraId="22EA325F" w14:textId="61788CD5" w:rsidR="00554308" w:rsidRPr="002D58F1" w:rsidRDefault="006375A6" w:rsidP="00730205">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בהקשר זה של שיהוי והתיישנות יש להזכיר גם את העובדה כי העוררת הסתמכה על </w:t>
      </w:r>
      <w:r w:rsidR="00C4554B" w:rsidRPr="002D58F1">
        <w:rPr>
          <w:rFonts w:hint="cs"/>
          <w:sz w:val="22"/>
          <w:rtl/>
        </w:rPr>
        <w:t>השומה</w:t>
      </w:r>
      <w:r w:rsidRPr="002D58F1">
        <w:rPr>
          <w:rFonts w:hint="cs"/>
          <w:sz w:val="22"/>
          <w:rtl/>
        </w:rPr>
        <w:t xml:space="preserve"> המוס</w:t>
      </w:r>
      <w:r w:rsidR="00F60EEB" w:rsidRPr="002D58F1">
        <w:rPr>
          <w:rFonts w:hint="cs"/>
          <w:sz w:val="22"/>
          <w:rtl/>
        </w:rPr>
        <w:t>כ</w:t>
      </w:r>
      <w:r w:rsidRPr="002D58F1">
        <w:rPr>
          <w:rFonts w:hint="cs"/>
          <w:sz w:val="22"/>
          <w:rtl/>
        </w:rPr>
        <w:t xml:space="preserve">מת משך 12 שנים. גם אם נתייחס לדרישת התשלום שהומצאה לה ב </w:t>
      </w:r>
      <w:r w:rsidRPr="002D58F1">
        <w:rPr>
          <w:sz w:val="22"/>
          <w:rtl/>
        </w:rPr>
        <w:t>–</w:t>
      </w:r>
      <w:r w:rsidRPr="002D58F1">
        <w:rPr>
          <w:rFonts w:hint="cs"/>
          <w:sz w:val="22"/>
          <w:rtl/>
        </w:rPr>
        <w:t xml:space="preserve"> 1.3.12 כמועד המצאת השומה, הרי שגם אז עסקינן בתקופה ארוכה בה הסתמכה העוררת על </w:t>
      </w:r>
      <w:r w:rsidR="00554308" w:rsidRPr="002D58F1">
        <w:rPr>
          <w:rFonts w:hint="cs"/>
          <w:sz w:val="22"/>
          <w:rtl/>
        </w:rPr>
        <w:t>השומה המוסכמת,</w:t>
      </w:r>
      <w:r w:rsidR="00F60EEB" w:rsidRPr="002D58F1">
        <w:rPr>
          <w:rFonts w:hint="cs"/>
          <w:sz w:val="22"/>
          <w:rtl/>
        </w:rPr>
        <w:t xml:space="preserve"> קידמה והפיקה היתרי בניה, </w:t>
      </w:r>
      <w:r w:rsidR="00554308" w:rsidRPr="002D58F1">
        <w:rPr>
          <w:rFonts w:hint="cs"/>
          <w:sz w:val="22"/>
          <w:rtl/>
        </w:rPr>
        <w:t xml:space="preserve">שילמה את היטל ההשבחה בהתאם </w:t>
      </w:r>
      <w:r w:rsidR="00F60EEB" w:rsidRPr="002D58F1">
        <w:rPr>
          <w:rFonts w:hint="cs"/>
          <w:sz w:val="22"/>
          <w:rtl/>
        </w:rPr>
        <w:t>לשומה</w:t>
      </w:r>
      <w:r w:rsidR="00554308" w:rsidRPr="002D58F1">
        <w:rPr>
          <w:rFonts w:hint="cs"/>
          <w:sz w:val="22"/>
          <w:rtl/>
        </w:rPr>
        <w:t xml:space="preserve"> זו ואף ניהלה הליך בוררות ביחס להליך הריבית והכל בהתאם לשומה המוסכמת.</w:t>
      </w:r>
      <w:r w:rsidR="00F60EEB" w:rsidRPr="002D58F1">
        <w:rPr>
          <w:rFonts w:hint="cs"/>
          <w:sz w:val="22"/>
          <w:rtl/>
        </w:rPr>
        <w:t xml:space="preserve"> והכל כמפורט לעיל.</w:t>
      </w:r>
    </w:p>
    <w:p w14:paraId="4A849B2D" w14:textId="09B04CFC" w:rsidR="006375A6" w:rsidRPr="002D58F1" w:rsidRDefault="00554308" w:rsidP="00F60EEB">
      <w:pPr>
        <w:pStyle w:val="ListParagraph"/>
        <w:numPr>
          <w:ilvl w:val="0"/>
          <w:numId w:val="4"/>
        </w:numPr>
        <w:spacing w:before="0" w:after="160" w:line="360" w:lineRule="auto"/>
        <w:ind w:left="226" w:hanging="425"/>
        <w:contextualSpacing w:val="0"/>
        <w:rPr>
          <w:sz w:val="22"/>
        </w:rPr>
      </w:pPr>
      <w:r w:rsidRPr="002D58F1">
        <w:rPr>
          <w:rFonts w:hint="cs"/>
          <w:sz w:val="22"/>
          <w:rtl/>
        </w:rPr>
        <w:t>בהקשר זה נפנה לקביעתו</w:t>
      </w:r>
      <w:r w:rsidR="006375A6" w:rsidRPr="002D58F1">
        <w:rPr>
          <w:rFonts w:hint="cs"/>
          <w:sz w:val="22"/>
          <w:rtl/>
        </w:rPr>
        <w:t xml:space="preserve"> של בית המשפט העליון שקבע בנסיבות דומות (אך לא זהות</w:t>
      </w:r>
      <w:r w:rsidR="00352435" w:rsidRPr="002D58F1">
        <w:rPr>
          <w:rFonts w:hint="cs"/>
          <w:sz w:val="22"/>
          <w:rtl/>
        </w:rPr>
        <w:t xml:space="preserve"> לחלוטין</w:t>
      </w:r>
      <w:r w:rsidR="006375A6" w:rsidRPr="002D58F1">
        <w:rPr>
          <w:rFonts w:hint="cs"/>
          <w:sz w:val="22"/>
          <w:rtl/>
        </w:rPr>
        <w:t xml:space="preserve">) כי </w:t>
      </w:r>
      <w:r w:rsidR="00A85FB5" w:rsidRPr="002D58F1">
        <w:rPr>
          <w:rFonts w:hint="cs"/>
          <w:sz w:val="22"/>
          <w:rtl/>
        </w:rPr>
        <w:t>אף אם נפלו שגגות</w:t>
      </w:r>
      <w:r w:rsidR="00352435" w:rsidRPr="002D58F1">
        <w:rPr>
          <w:rFonts w:hint="cs"/>
          <w:sz w:val="22"/>
          <w:rtl/>
        </w:rPr>
        <w:t xml:space="preserve"> בשומה מוסכמת, </w:t>
      </w:r>
      <w:r w:rsidR="00A85FB5" w:rsidRPr="002D58F1">
        <w:rPr>
          <w:rFonts w:hint="cs"/>
          <w:sz w:val="22"/>
          <w:rtl/>
        </w:rPr>
        <w:t>אין בכך כדי להצדיק</w:t>
      </w:r>
      <w:r w:rsidR="00352435" w:rsidRPr="002D58F1">
        <w:rPr>
          <w:rFonts w:hint="cs"/>
          <w:sz w:val="22"/>
          <w:rtl/>
        </w:rPr>
        <w:t xml:space="preserve"> עריכת שומה מתקנת</w:t>
      </w:r>
      <w:r w:rsidR="00A85FB5" w:rsidRPr="002D58F1">
        <w:rPr>
          <w:rFonts w:hint="cs"/>
          <w:sz w:val="22"/>
          <w:rtl/>
        </w:rPr>
        <w:t xml:space="preserve"> חדשה</w:t>
      </w:r>
      <w:r w:rsidR="00352435" w:rsidRPr="002D58F1">
        <w:rPr>
          <w:rFonts w:hint="cs"/>
          <w:sz w:val="22"/>
          <w:rtl/>
        </w:rPr>
        <w:t xml:space="preserve"> </w:t>
      </w:r>
      <w:r w:rsidR="006375A6" w:rsidRPr="002D58F1">
        <w:rPr>
          <w:rFonts w:hint="cs"/>
          <w:sz w:val="22"/>
          <w:rtl/>
        </w:rPr>
        <w:t xml:space="preserve">לאחר </w:t>
      </w:r>
      <w:r w:rsidRPr="002D58F1">
        <w:rPr>
          <w:rFonts w:hint="cs"/>
          <w:sz w:val="22"/>
          <w:rtl/>
        </w:rPr>
        <w:t>מימוש הזכויות ותשלום ההיטל. כך נקבע ב</w:t>
      </w:r>
      <w:r w:rsidR="006375A6" w:rsidRPr="002D58F1">
        <w:rPr>
          <w:sz w:val="22"/>
          <w:rtl/>
        </w:rPr>
        <w:t>עעמ 8401/17 ‏</w:t>
      </w:r>
      <w:r w:rsidR="006375A6" w:rsidRPr="002D58F1">
        <w:rPr>
          <w:b/>
          <w:bCs/>
          <w:sz w:val="22"/>
          <w:rtl/>
        </w:rPr>
        <w:t>המועצה המקומית תל-מונד נ' משה אברבוך ז"ל</w:t>
      </w:r>
      <w:r w:rsidR="00F60EEB" w:rsidRPr="002D58F1">
        <w:rPr>
          <w:rFonts w:hint="cs"/>
          <w:sz w:val="22"/>
          <w:rtl/>
        </w:rPr>
        <w:t xml:space="preserve"> (נבו):</w:t>
      </w:r>
    </w:p>
    <w:p w14:paraId="49283DE1" w14:textId="33209DC9" w:rsidR="006375A6" w:rsidRPr="002D58F1" w:rsidRDefault="006375A6" w:rsidP="00B4427B">
      <w:pPr>
        <w:pStyle w:val="ListParagraph"/>
        <w:spacing w:line="240" w:lineRule="auto"/>
        <w:ind w:left="804"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tl/>
        </w:rPr>
        <w:t>סופו של יום, ענייננו בתיקון שומות מוסכמות, והמערערות לא הראו כי יש מקום לתיקון כאמור. לכן, ועל אף שהדעת אינה נוחה ממה שנחזה לכאורה כ"מחטף" שנעשה לפני תיקון החוק, הרי שבהינתן הזמן שחלף; בהינתן שאין לפסק הדין</w:t>
      </w:r>
      <w:r w:rsidR="00B4427B" w:rsidRPr="002D58F1">
        <w:rPr>
          <w:rFonts w:asciiTheme="minorBidi" w:hAnsiTheme="minorBidi" w:cstheme="minorBidi" w:hint="cs"/>
          <w:color w:val="000000"/>
          <w:sz w:val="22"/>
          <w:szCs w:val="22"/>
          <w:rtl/>
        </w:rPr>
        <w:t xml:space="preserve"> </w:t>
      </w:r>
      <w:r w:rsidRPr="002D58F1">
        <w:rPr>
          <w:rFonts w:asciiTheme="minorBidi" w:hAnsiTheme="minorBidi" w:cstheme="minorBidi"/>
          <w:color w:val="000000"/>
          <w:sz w:val="22"/>
          <w:szCs w:val="22"/>
          <w:rtl/>
        </w:rPr>
        <w:t>השלכות רוחב נוכח תיקון החוק; בהינתן ש</w:t>
      </w:r>
      <w:bookmarkStart w:id="11" w:name="Seif4"/>
      <w:r w:rsidRPr="002D58F1">
        <w:rPr>
          <w:rFonts w:asciiTheme="minorBidi" w:hAnsiTheme="minorBidi" w:cstheme="minorBidi"/>
          <w:color w:val="000000"/>
          <w:sz w:val="22"/>
          <w:szCs w:val="22"/>
          <w:rtl/>
        </w:rPr>
        <w:t>חלק לא </w:t>
      </w:r>
      <w:bookmarkEnd w:id="11"/>
      <w:r w:rsidRPr="002D58F1">
        <w:rPr>
          <w:rFonts w:asciiTheme="minorBidi" w:hAnsiTheme="minorBidi" w:cstheme="minorBidi"/>
          <w:color w:val="000000"/>
          <w:sz w:val="22"/>
          <w:szCs w:val="22"/>
          <w:rtl/>
        </w:rPr>
        <w:t>מבוטל מבעלי המקרקעין כבר מימש את זכויותיו ושילם את היטל ההשבחה על פי השומות המוסכמות; בהינתן אינטרס ההסתמכות של המשיבים גם לגבי אותן חלקות או יחידות דיור שטרם מומשו; בהינתן שלא הוכח כי קיים פער של ממש אשר מצדיק את פתיחת השומות; ובהיעדר ראיה לפגיעה בטוהר המידות במסגרת האיזון בין אינטרס ההסתמכות לפגמים שנפלו, ככל שנפלו, בהליך הוצאת השומות המוסכמות – בהינתן כל אלה, מצאנו לאמץ את התוצאה אליה הגיע בית המשפט קמא ולהותיר את פסק הדין על כנו.</w:t>
      </w:r>
    </w:p>
    <w:p w14:paraId="4DA44992" w14:textId="77777777" w:rsidR="00560B9C" w:rsidRPr="002D58F1" w:rsidRDefault="00560B9C" w:rsidP="00E213FD">
      <w:pPr>
        <w:pStyle w:val="ListParagraph"/>
        <w:spacing w:before="0" w:after="160" w:line="360" w:lineRule="auto"/>
        <w:ind w:left="226" w:firstLine="0"/>
        <w:contextualSpacing w:val="0"/>
        <w:rPr>
          <w:sz w:val="22"/>
        </w:rPr>
      </w:pPr>
    </w:p>
    <w:p w14:paraId="49C2A018" w14:textId="55D81EE0" w:rsidR="006375A6" w:rsidRPr="002D58F1" w:rsidRDefault="00C952C0" w:rsidP="00560B9C">
      <w:pPr>
        <w:pStyle w:val="ListParagraph"/>
        <w:numPr>
          <w:ilvl w:val="0"/>
          <w:numId w:val="4"/>
        </w:numPr>
        <w:spacing w:before="0" w:after="160" w:line="360" w:lineRule="auto"/>
        <w:ind w:left="226" w:hanging="425"/>
        <w:contextualSpacing w:val="0"/>
        <w:rPr>
          <w:sz w:val="22"/>
        </w:rPr>
      </w:pPr>
      <w:r w:rsidRPr="002D58F1">
        <w:rPr>
          <w:rFonts w:hint="cs"/>
          <w:sz w:val="22"/>
          <w:rtl/>
        </w:rPr>
        <w:t>דברים אלו מדברים בעד עצמם ומהווים חיזוק נוסף להחלטתנו בדבר הותרת השומה המוסכמת על כנה.</w:t>
      </w:r>
    </w:p>
    <w:p w14:paraId="5F256E22" w14:textId="6351623C" w:rsidR="00A95523" w:rsidRPr="002D58F1" w:rsidRDefault="00A95523" w:rsidP="00A95523">
      <w:pPr>
        <w:spacing w:before="0" w:after="160" w:line="360" w:lineRule="auto"/>
        <w:ind w:hanging="369"/>
        <w:rPr>
          <w:sz w:val="22"/>
          <w:rtl/>
        </w:rPr>
      </w:pPr>
    </w:p>
    <w:p w14:paraId="44328C3C" w14:textId="623ABDF9" w:rsidR="00A95523" w:rsidRPr="002D58F1" w:rsidRDefault="00A95523" w:rsidP="00A95523">
      <w:pPr>
        <w:spacing w:before="0" w:after="160" w:line="360" w:lineRule="auto"/>
        <w:ind w:hanging="369"/>
        <w:rPr>
          <w:sz w:val="22"/>
          <w:rtl/>
        </w:rPr>
      </w:pPr>
    </w:p>
    <w:p w14:paraId="0296F40B" w14:textId="741D03C3" w:rsidR="00A95523" w:rsidRPr="002D58F1" w:rsidRDefault="00A95523" w:rsidP="00A95523">
      <w:pPr>
        <w:spacing w:before="0" w:after="160" w:line="360" w:lineRule="auto"/>
        <w:ind w:hanging="369"/>
        <w:rPr>
          <w:sz w:val="22"/>
          <w:rtl/>
        </w:rPr>
      </w:pPr>
    </w:p>
    <w:p w14:paraId="182651C5" w14:textId="77777777" w:rsidR="00A95523" w:rsidRPr="002D58F1" w:rsidRDefault="00A95523" w:rsidP="00A95523">
      <w:pPr>
        <w:spacing w:before="0" w:after="160" w:line="360" w:lineRule="auto"/>
        <w:ind w:hanging="369"/>
        <w:rPr>
          <w:sz w:val="22"/>
          <w:rtl/>
        </w:rPr>
      </w:pPr>
    </w:p>
    <w:p w14:paraId="2E3EBCF4" w14:textId="390F97D2" w:rsidR="0090295D" w:rsidRPr="002D58F1" w:rsidRDefault="0090295D" w:rsidP="00C440EC">
      <w:pPr>
        <w:rPr>
          <w:b/>
          <w:bCs/>
          <w:sz w:val="28"/>
          <w:szCs w:val="28"/>
          <w:u w:val="single"/>
          <w:rtl/>
        </w:rPr>
      </w:pPr>
      <w:r w:rsidRPr="002D58F1">
        <w:rPr>
          <w:rFonts w:hint="cs"/>
          <w:b/>
          <w:bCs/>
          <w:sz w:val="28"/>
          <w:szCs w:val="28"/>
          <w:u w:val="single"/>
          <w:rtl/>
        </w:rPr>
        <w:lastRenderedPageBreak/>
        <w:t>טרם חתימה</w:t>
      </w:r>
    </w:p>
    <w:p w14:paraId="3D9041F0" w14:textId="77777777" w:rsidR="00FE4E08" w:rsidRPr="002D58F1" w:rsidRDefault="00FE4E08" w:rsidP="001652CA">
      <w:pPr>
        <w:pStyle w:val="ListParagraph"/>
        <w:numPr>
          <w:ilvl w:val="0"/>
          <w:numId w:val="4"/>
        </w:numPr>
        <w:spacing w:before="0" w:after="160" w:line="360" w:lineRule="auto"/>
        <w:ind w:left="226" w:hanging="425"/>
        <w:contextualSpacing w:val="0"/>
        <w:rPr>
          <w:sz w:val="22"/>
        </w:rPr>
      </w:pPr>
      <w:r w:rsidRPr="002D58F1">
        <w:rPr>
          <w:rFonts w:hint="cs"/>
          <w:sz w:val="22"/>
          <w:rtl/>
        </w:rPr>
        <w:t>התנהלות הוועדה המקומית אינה חפה מקשיים.</w:t>
      </w:r>
    </w:p>
    <w:p w14:paraId="1426C574" w14:textId="6E9977E3" w:rsidR="00FE4E08" w:rsidRPr="002D58F1" w:rsidRDefault="00FE4E08" w:rsidP="001652CA">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כך כאמור ניתן לתהות בדבר עיתוי העלאת בחינת השומה המוסכמת בשנת 2017 בסמוך למחלוקת בעניין </w:t>
      </w:r>
      <w:r w:rsidR="007B781E" w:rsidRPr="002D58F1">
        <w:rPr>
          <w:rFonts w:hint="cs"/>
          <w:sz w:val="22"/>
          <w:rtl/>
        </w:rPr>
        <w:t xml:space="preserve">הריבית במסגרת </w:t>
      </w:r>
      <w:r w:rsidRPr="002D58F1">
        <w:rPr>
          <w:rFonts w:hint="cs"/>
          <w:sz w:val="22"/>
          <w:rtl/>
        </w:rPr>
        <w:t>הבוררות ובסמוך להתג</w:t>
      </w:r>
      <w:r w:rsidR="004C21CB" w:rsidRPr="002D58F1">
        <w:rPr>
          <w:rFonts w:hint="cs"/>
          <w:sz w:val="22"/>
          <w:rtl/>
        </w:rPr>
        <w:t>לע</w:t>
      </w:r>
      <w:r w:rsidRPr="002D58F1">
        <w:rPr>
          <w:rFonts w:hint="cs"/>
          <w:sz w:val="22"/>
          <w:rtl/>
        </w:rPr>
        <w:t xml:space="preserve">ות המחלוקת המשפטית בין </w:t>
      </w:r>
      <w:r w:rsidR="004C21CB" w:rsidRPr="002D58F1">
        <w:rPr>
          <w:rFonts w:hint="cs"/>
          <w:sz w:val="22"/>
          <w:rtl/>
        </w:rPr>
        <w:t>ה</w:t>
      </w:r>
      <w:r w:rsidRPr="002D58F1">
        <w:rPr>
          <w:rFonts w:hint="cs"/>
          <w:sz w:val="22"/>
          <w:rtl/>
        </w:rPr>
        <w:t xml:space="preserve">צדדים ביחס לשטחי הציבור. </w:t>
      </w:r>
      <w:r w:rsidR="00F72648" w:rsidRPr="002D58F1">
        <w:rPr>
          <w:rFonts w:hint="cs"/>
          <w:sz w:val="22"/>
          <w:rtl/>
        </w:rPr>
        <w:t xml:space="preserve">בעניין זה </w:t>
      </w:r>
      <w:r w:rsidR="00574A7E" w:rsidRPr="002D58F1">
        <w:rPr>
          <w:rFonts w:hint="cs"/>
          <w:sz w:val="22"/>
          <w:rtl/>
        </w:rPr>
        <w:t>הבהרנו</w:t>
      </w:r>
      <w:r w:rsidR="00F72648" w:rsidRPr="002D58F1">
        <w:rPr>
          <w:rFonts w:hint="cs"/>
          <w:sz w:val="22"/>
          <w:rtl/>
        </w:rPr>
        <w:t xml:space="preserve"> את עמדתנו ותמיהתנו</w:t>
      </w:r>
      <w:r w:rsidR="004F10FB" w:rsidRPr="002D58F1">
        <w:rPr>
          <w:rFonts w:hint="cs"/>
          <w:sz w:val="22"/>
          <w:rtl/>
        </w:rPr>
        <w:t xml:space="preserve"> לעיל</w:t>
      </w:r>
      <w:r w:rsidR="00F72648" w:rsidRPr="002D58F1">
        <w:rPr>
          <w:rFonts w:hint="cs"/>
          <w:sz w:val="22"/>
          <w:rtl/>
        </w:rPr>
        <w:t>.</w:t>
      </w:r>
    </w:p>
    <w:p w14:paraId="1379ACF4" w14:textId="4915D3A8" w:rsidR="00574A7E" w:rsidRPr="002D58F1" w:rsidRDefault="00574A7E" w:rsidP="001652CA">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אך גם בלא תמיהות אלו </w:t>
      </w:r>
      <w:r w:rsidR="009E365A" w:rsidRPr="002D58F1">
        <w:rPr>
          <w:rFonts w:hint="cs"/>
          <w:sz w:val="22"/>
          <w:rtl/>
        </w:rPr>
        <w:t>מוקשה האם התנהלות הוועדה המקומית</w:t>
      </w:r>
      <w:r w:rsidRPr="002D58F1">
        <w:rPr>
          <w:rFonts w:hint="cs"/>
          <w:sz w:val="22"/>
          <w:rtl/>
        </w:rPr>
        <w:t xml:space="preserve">, </w:t>
      </w:r>
      <w:r w:rsidR="001D52B8" w:rsidRPr="002D58F1">
        <w:rPr>
          <w:rFonts w:hint="cs"/>
          <w:sz w:val="22"/>
          <w:rtl/>
        </w:rPr>
        <w:t>(</w:t>
      </w:r>
      <w:r w:rsidR="009E365A" w:rsidRPr="002D58F1">
        <w:rPr>
          <w:rFonts w:hint="cs"/>
          <w:sz w:val="22"/>
          <w:rtl/>
        </w:rPr>
        <w:t>במסגרתה</w:t>
      </w:r>
      <w:r w:rsidRPr="002D58F1">
        <w:rPr>
          <w:rFonts w:hint="cs"/>
          <w:sz w:val="22"/>
          <w:rtl/>
        </w:rPr>
        <w:t xml:space="preserve"> לכל אורך הדרך הסתמכו הצדדים על השומה המוסכמת והמסמכים שבאו מכוחה</w:t>
      </w:r>
      <w:r w:rsidR="001D52B8" w:rsidRPr="002D58F1">
        <w:rPr>
          <w:rFonts w:hint="cs"/>
          <w:sz w:val="22"/>
          <w:rtl/>
        </w:rPr>
        <w:t>)</w:t>
      </w:r>
      <w:r w:rsidRPr="002D58F1">
        <w:rPr>
          <w:rFonts w:hint="cs"/>
          <w:sz w:val="22"/>
          <w:rtl/>
        </w:rPr>
        <w:t xml:space="preserve">, </w:t>
      </w:r>
      <w:r w:rsidR="009E365A" w:rsidRPr="002D58F1">
        <w:rPr>
          <w:rFonts w:hint="cs"/>
          <w:sz w:val="22"/>
          <w:rtl/>
        </w:rPr>
        <w:t>הינה בגדר תום הלב בו מחוייבת הרשות</w:t>
      </w:r>
      <w:r w:rsidR="001F3679" w:rsidRPr="002D58F1">
        <w:rPr>
          <w:rFonts w:hint="cs"/>
          <w:sz w:val="22"/>
          <w:rtl/>
        </w:rPr>
        <w:t xml:space="preserve">. </w:t>
      </w:r>
    </w:p>
    <w:p w14:paraId="26401C92" w14:textId="34D5599B" w:rsidR="0090295D" w:rsidRPr="002D58F1" w:rsidRDefault="00B07483" w:rsidP="001652CA">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נציין כי </w:t>
      </w:r>
      <w:r w:rsidR="00AE13A5" w:rsidRPr="002D58F1">
        <w:rPr>
          <w:rFonts w:hint="cs"/>
          <w:sz w:val="22"/>
          <w:rtl/>
        </w:rPr>
        <w:t xml:space="preserve">דרך התנהלות זו </w:t>
      </w:r>
      <w:r w:rsidR="000A7F13" w:rsidRPr="002D58F1">
        <w:rPr>
          <w:rFonts w:hint="cs"/>
          <w:sz w:val="22"/>
          <w:rtl/>
        </w:rPr>
        <w:t>אינה זרה</w:t>
      </w:r>
      <w:r w:rsidR="00AE13A5" w:rsidRPr="002D58F1">
        <w:rPr>
          <w:rFonts w:hint="cs"/>
          <w:sz w:val="22"/>
          <w:rtl/>
        </w:rPr>
        <w:t xml:space="preserve"> וכבר הוער </w:t>
      </w:r>
      <w:r w:rsidR="0015121B" w:rsidRPr="002D58F1">
        <w:rPr>
          <w:rFonts w:hint="cs"/>
          <w:sz w:val="22"/>
          <w:rtl/>
        </w:rPr>
        <w:t>לוועדה המקומית</w:t>
      </w:r>
      <w:r w:rsidR="00AE13A5" w:rsidRPr="002D58F1">
        <w:rPr>
          <w:rFonts w:hint="cs"/>
          <w:sz w:val="22"/>
          <w:rtl/>
        </w:rPr>
        <w:t xml:space="preserve"> על כך במקרים אחרים.</w:t>
      </w:r>
    </w:p>
    <w:p w14:paraId="59F5F338" w14:textId="0C4320B6" w:rsidR="00CA0BE7" w:rsidRPr="002D58F1" w:rsidRDefault="00AE13A5" w:rsidP="00624003">
      <w:pPr>
        <w:pStyle w:val="ListParagraph"/>
        <w:numPr>
          <w:ilvl w:val="0"/>
          <w:numId w:val="4"/>
        </w:numPr>
        <w:spacing w:before="0" w:after="160" w:line="360" w:lineRule="auto"/>
        <w:ind w:left="226" w:hanging="425"/>
        <w:contextualSpacing w:val="0"/>
        <w:rPr>
          <w:sz w:val="22"/>
          <w:rtl/>
        </w:rPr>
      </w:pPr>
      <w:r w:rsidRPr="002D58F1">
        <w:rPr>
          <w:rFonts w:hint="cs"/>
          <w:sz w:val="22"/>
          <w:rtl/>
        </w:rPr>
        <w:t xml:space="preserve">על כן, ראינו לנכון להזכיר </w:t>
      </w:r>
      <w:r w:rsidR="00CA0BE7" w:rsidRPr="002D58F1">
        <w:rPr>
          <w:rFonts w:hint="cs"/>
          <w:sz w:val="22"/>
          <w:rtl/>
        </w:rPr>
        <w:t>מושכלות יסוד</w:t>
      </w:r>
      <w:r w:rsidRPr="002D58F1">
        <w:rPr>
          <w:rFonts w:hint="cs"/>
          <w:sz w:val="22"/>
          <w:rtl/>
        </w:rPr>
        <w:t xml:space="preserve"> כפי שנקבעו</w:t>
      </w:r>
      <w:r w:rsidR="00844A2D" w:rsidRPr="002D58F1">
        <w:rPr>
          <w:rFonts w:hint="cs"/>
          <w:sz w:val="22"/>
          <w:rtl/>
        </w:rPr>
        <w:t xml:space="preserve"> </w:t>
      </w:r>
      <w:r w:rsidRPr="002D58F1">
        <w:rPr>
          <w:rFonts w:hint="cs"/>
          <w:sz w:val="22"/>
          <w:rtl/>
        </w:rPr>
        <w:t>ב</w:t>
      </w:r>
      <w:r w:rsidR="00844A2D" w:rsidRPr="002D58F1">
        <w:rPr>
          <w:sz w:val="22"/>
          <w:rtl/>
        </w:rPr>
        <w:t xml:space="preserve">ע"א 3277/19 </w:t>
      </w:r>
      <w:r w:rsidR="00844A2D" w:rsidRPr="002D58F1">
        <w:rPr>
          <w:b/>
          <w:bCs/>
          <w:sz w:val="22"/>
          <w:rtl/>
        </w:rPr>
        <w:t>פקיד שומה ירושלים נ' אפרים סקמסק</w:t>
      </w:r>
      <w:r w:rsidR="00E7779F" w:rsidRPr="002D58F1">
        <w:rPr>
          <w:rFonts w:hint="cs"/>
          <w:b/>
          <w:bCs/>
          <w:sz w:val="22"/>
          <w:rtl/>
        </w:rPr>
        <w:t xml:space="preserve"> </w:t>
      </w:r>
      <w:r w:rsidR="00E7779F" w:rsidRPr="002D58F1">
        <w:rPr>
          <w:rFonts w:hint="cs"/>
          <w:sz w:val="22"/>
          <w:rtl/>
        </w:rPr>
        <w:t>(נבו):</w:t>
      </w:r>
    </w:p>
    <w:p w14:paraId="2473A586" w14:textId="064A9F4B" w:rsidR="00CA0BE7" w:rsidRPr="002D58F1" w:rsidRDefault="00CA0BE7" w:rsidP="00344293">
      <w:pPr>
        <w:pStyle w:val="ListParagraph"/>
        <w:spacing w:line="240" w:lineRule="auto"/>
        <w:ind w:left="804"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Pr>
        <w:t>"</w:t>
      </w:r>
      <w:r w:rsidRPr="002D58F1">
        <w:rPr>
          <w:rFonts w:asciiTheme="minorBidi" w:hAnsiTheme="minorBidi" w:cstheme="minorBidi"/>
          <w:color w:val="000000"/>
          <w:sz w:val="22"/>
          <w:szCs w:val="22"/>
          <w:rtl/>
        </w:rPr>
        <w:t>המטרה שצריכה לעמוד לנגד עיניהן של רשויות המס אינה לפלס לעצמן את הנתיב הפרשני המוביל לגביית מס בשיעור הגבוה ביותר האפשרי, אלא לחתור לגביית מס אמת על פי לשונן של הוראות החוק ותכליתן</w:t>
      </w:r>
      <w:r w:rsidRPr="002D58F1">
        <w:rPr>
          <w:rFonts w:asciiTheme="minorBidi" w:hAnsiTheme="minorBidi" w:cstheme="minorBidi"/>
          <w:color w:val="000000"/>
          <w:sz w:val="22"/>
          <w:szCs w:val="22"/>
        </w:rPr>
        <w:t>".</w:t>
      </w:r>
    </w:p>
    <w:p w14:paraId="77CDA40F" w14:textId="77777777" w:rsidR="00E7779F" w:rsidRPr="002D58F1" w:rsidRDefault="00E7779F" w:rsidP="00344293">
      <w:pPr>
        <w:pStyle w:val="ListParagraph"/>
        <w:spacing w:line="240" w:lineRule="auto"/>
        <w:ind w:left="804" w:right="284" w:firstLine="0"/>
        <w:rPr>
          <w:rFonts w:asciiTheme="minorBidi" w:hAnsiTheme="minorBidi" w:cstheme="minorBidi"/>
          <w:color w:val="000000"/>
          <w:sz w:val="22"/>
          <w:szCs w:val="22"/>
          <w:rtl/>
        </w:rPr>
      </w:pPr>
    </w:p>
    <w:p w14:paraId="5A875622" w14:textId="1D6CA093" w:rsidR="000140A6" w:rsidRPr="002D58F1" w:rsidRDefault="00E613DD" w:rsidP="00624003">
      <w:pPr>
        <w:pStyle w:val="ListParagraph"/>
        <w:numPr>
          <w:ilvl w:val="0"/>
          <w:numId w:val="4"/>
        </w:numPr>
        <w:spacing w:before="0" w:after="160" w:line="360" w:lineRule="auto"/>
        <w:ind w:left="226" w:hanging="425"/>
        <w:contextualSpacing w:val="0"/>
        <w:rPr>
          <w:sz w:val="22"/>
          <w:rtl/>
        </w:rPr>
      </w:pPr>
      <w:r w:rsidRPr="002D58F1">
        <w:rPr>
          <w:rFonts w:hint="cs"/>
          <w:sz w:val="22"/>
          <w:rtl/>
        </w:rPr>
        <w:t>בהקשר זה נפנה גם ל</w:t>
      </w:r>
      <w:r w:rsidR="00126BEC" w:rsidRPr="002D58F1">
        <w:rPr>
          <w:rFonts w:hint="cs"/>
          <w:sz w:val="22"/>
          <w:rtl/>
        </w:rPr>
        <w:t xml:space="preserve">קביעתו של כבוד השופט סולברג בעניין בר"מ </w:t>
      </w:r>
      <w:r w:rsidR="00126BEC" w:rsidRPr="002D58F1">
        <w:rPr>
          <w:rFonts w:hint="cs"/>
          <w:b/>
          <w:bCs/>
          <w:sz w:val="22"/>
          <w:rtl/>
        </w:rPr>
        <w:t>בר יהודה</w:t>
      </w:r>
      <w:r w:rsidR="00126BEC" w:rsidRPr="002D58F1">
        <w:rPr>
          <w:rFonts w:hint="cs"/>
          <w:sz w:val="22"/>
          <w:rtl/>
        </w:rPr>
        <w:t xml:space="preserve"> ה</w:t>
      </w:r>
      <w:r w:rsidR="00402458" w:rsidRPr="002D58F1">
        <w:rPr>
          <w:rFonts w:hint="cs"/>
          <w:sz w:val="22"/>
          <w:rtl/>
        </w:rPr>
        <w:t>יפים גם לענייננו:</w:t>
      </w:r>
    </w:p>
    <w:p w14:paraId="4F184AC9" w14:textId="5F54E41B" w:rsidR="00126BEC" w:rsidRPr="002D58F1" w:rsidRDefault="00126BEC" w:rsidP="00344293">
      <w:pPr>
        <w:pStyle w:val="ListParagraph"/>
        <w:spacing w:line="240" w:lineRule="auto"/>
        <w:ind w:left="804" w:right="284" w:firstLine="0"/>
        <w:rPr>
          <w:rFonts w:asciiTheme="minorBidi" w:hAnsiTheme="minorBidi" w:cstheme="minorBidi"/>
          <w:color w:val="000000"/>
          <w:sz w:val="22"/>
          <w:szCs w:val="22"/>
          <w:rtl/>
        </w:rPr>
      </w:pPr>
      <w:r w:rsidRPr="002D58F1">
        <w:rPr>
          <w:rFonts w:asciiTheme="minorBidi" w:hAnsiTheme="minorBidi" w:cstheme="minorBidi"/>
          <w:color w:val="000000"/>
          <w:sz w:val="22"/>
          <w:szCs w:val="22"/>
        </w:rPr>
        <w:t>"</w:t>
      </w:r>
      <w:r w:rsidRPr="002D58F1">
        <w:rPr>
          <w:rFonts w:asciiTheme="minorBidi" w:hAnsiTheme="minorBidi" w:cstheme="minorBidi"/>
          <w:color w:val="000000"/>
          <w:sz w:val="22"/>
          <w:szCs w:val="22"/>
          <w:rtl/>
        </w:rPr>
        <w:t>טרם סיום אציין, תוך פניה לוועדה המרחבית, כי האמור בסעיף 60 לתגובת החברה לבקשת רשות הערעור של הוועדה המרחבית – בדגש על הנספחים שצורפו לתמיכה בטענה המועלית שם – מטריד; מטריד מאוד. על הוועדה המרחבית חלה חובה להוציא שומת היטל השבחה בהתבסס על תשתית עובדתית הולמת, תוך שאיפה כנה להעריך את שווי ההשבחה האמיתי שנוצר כתוצאה מאישור התכנית</w:t>
      </w:r>
      <w:r w:rsidRPr="002D58F1">
        <w:rPr>
          <w:rFonts w:asciiTheme="minorBidi" w:hAnsiTheme="minorBidi" w:cstheme="minorBidi"/>
          <w:color w:val="000000"/>
          <w:sz w:val="22"/>
          <w:szCs w:val="22"/>
        </w:rPr>
        <w:t>. "</w:t>
      </w:r>
      <w:r w:rsidRPr="002D58F1">
        <w:rPr>
          <w:rFonts w:asciiTheme="minorBidi" w:hAnsiTheme="minorBidi" w:cstheme="minorBidi"/>
          <w:color w:val="000000"/>
          <w:sz w:val="22"/>
          <w:szCs w:val="22"/>
          <w:rtl/>
        </w:rPr>
        <w:t>אין לאפשר גביית היטל השבחה ביתר. צדו השני של המטבע הוא כי גבייה כאמור מובילה להתעשרות הרשות שלא כדין. התעשרות כאמור נוגדת את חובת ההגינות הבסיסית של הרשות ואינה יכולה לעמוד. [...] אך מובן הוא כי יש להימנע מגביית היטל השבחה בנסיבות שבהן ברור וגלוי כי מדובר בהיטל יתר שיעשיר את קופת הרשות שלא כדין</w:t>
      </w:r>
      <w:r w:rsidRPr="002D58F1">
        <w:rPr>
          <w:rFonts w:asciiTheme="minorBidi" w:hAnsiTheme="minorBidi" w:cstheme="minorBidi"/>
          <w:color w:val="000000"/>
          <w:sz w:val="22"/>
          <w:szCs w:val="22"/>
        </w:rPr>
        <w:t>" (</w:t>
      </w:r>
      <w:hyperlink r:id="rId47" w:history="1">
        <w:r w:rsidRPr="002D58F1">
          <w:rPr>
            <w:rFonts w:asciiTheme="minorBidi" w:hAnsiTheme="minorBidi" w:cstheme="minorBidi"/>
            <w:color w:val="000000"/>
            <w:sz w:val="22"/>
            <w:szCs w:val="22"/>
            <w:rtl/>
          </w:rPr>
          <w:t>בר"מ 4367/16</w:t>
        </w:r>
      </w:hyperlink>
      <w:r w:rsidRPr="002D58F1">
        <w:rPr>
          <w:rFonts w:asciiTheme="minorBidi" w:hAnsiTheme="minorBidi" w:cstheme="minorBidi"/>
          <w:color w:val="000000"/>
          <w:sz w:val="22"/>
          <w:szCs w:val="22"/>
        </w:rPr>
        <w:t> </w:t>
      </w:r>
      <w:r w:rsidRPr="002D58F1">
        <w:rPr>
          <w:rFonts w:asciiTheme="minorBidi" w:hAnsiTheme="minorBidi" w:cstheme="minorBidi"/>
          <w:color w:val="000000"/>
          <w:sz w:val="22"/>
          <w:szCs w:val="22"/>
          <w:rtl/>
        </w:rPr>
        <w:t>מאיר נ' הוועדה המרחבית לתכנון ולבנייה הוד השרון</w:t>
      </w:r>
      <w:r w:rsidRPr="002D58F1">
        <w:rPr>
          <w:rFonts w:asciiTheme="minorBidi" w:hAnsiTheme="minorBidi" w:cstheme="minorBidi"/>
          <w:color w:val="000000"/>
          <w:sz w:val="22"/>
          <w:szCs w:val="22"/>
        </w:rPr>
        <w:t xml:space="preserve">, </w:t>
      </w:r>
      <w:r w:rsidRPr="002D58F1">
        <w:rPr>
          <w:rFonts w:asciiTheme="minorBidi" w:hAnsiTheme="minorBidi" w:cstheme="minorBidi"/>
          <w:color w:val="000000"/>
          <w:sz w:val="22"/>
          <w:szCs w:val="22"/>
          <w:rtl/>
        </w:rPr>
        <w:t>פסקה 16 </w:t>
      </w:r>
      <w:r w:rsidRPr="002D58F1">
        <w:rPr>
          <w:rFonts w:asciiTheme="minorBidi" w:hAnsiTheme="minorBidi" w:cstheme="minorBidi"/>
          <w:color w:val="000000"/>
          <w:sz w:val="22"/>
          <w:szCs w:val="22"/>
        </w:rPr>
        <w:t>[</w:t>
      </w:r>
      <w:r w:rsidRPr="002D58F1">
        <w:rPr>
          <w:rFonts w:asciiTheme="minorBidi" w:hAnsiTheme="minorBidi" w:cstheme="minorBidi"/>
          <w:color w:val="000000"/>
          <w:sz w:val="22"/>
          <w:szCs w:val="22"/>
          <w:rtl/>
        </w:rPr>
        <w:t>נבו</w:t>
      </w:r>
      <w:r w:rsidRPr="002D58F1">
        <w:rPr>
          <w:rFonts w:asciiTheme="minorBidi" w:hAnsiTheme="minorBidi" w:cstheme="minorBidi"/>
          <w:color w:val="000000"/>
          <w:sz w:val="22"/>
          <w:szCs w:val="22"/>
        </w:rPr>
        <w:t xml:space="preserve">] (25.3.2018)). </w:t>
      </w:r>
      <w:r w:rsidRPr="002D58F1">
        <w:rPr>
          <w:rFonts w:asciiTheme="minorBidi" w:hAnsiTheme="minorBidi" w:cstheme="minorBidi"/>
          <w:color w:val="000000"/>
          <w:sz w:val="22"/>
          <w:szCs w:val="22"/>
          <w:rtl/>
        </w:rPr>
        <w:t>הדברים נכונים תמיד, אולם יפים ביתר שאת, מקום בו הוועדה המרחבית מבקשת לבסס את טענותיה, באותו הקשר ממש, על העקרון של גביית מס אמת. לא ארחיב מעבר לכך; די לחכימא ברמיזא</w:t>
      </w:r>
      <w:r w:rsidRPr="002D58F1">
        <w:rPr>
          <w:rFonts w:asciiTheme="minorBidi" w:hAnsiTheme="minorBidi" w:cstheme="minorBidi"/>
          <w:color w:val="000000"/>
          <w:sz w:val="22"/>
          <w:szCs w:val="22"/>
        </w:rPr>
        <w:t>.</w:t>
      </w:r>
      <w:r w:rsidRPr="002D58F1">
        <w:rPr>
          <w:rFonts w:asciiTheme="minorBidi" w:hAnsiTheme="minorBidi" w:cstheme="minorBidi" w:hint="cs"/>
          <w:color w:val="000000"/>
          <w:sz w:val="22"/>
          <w:szCs w:val="22"/>
          <w:rtl/>
        </w:rPr>
        <w:t>"</w:t>
      </w:r>
    </w:p>
    <w:p w14:paraId="14A68274" w14:textId="77777777" w:rsidR="00C96329" w:rsidRPr="002D58F1" w:rsidRDefault="00C96329" w:rsidP="00C96329">
      <w:pPr>
        <w:pStyle w:val="ListParagraph"/>
        <w:spacing w:before="0" w:after="160" w:line="360" w:lineRule="auto"/>
        <w:ind w:left="226" w:firstLine="0"/>
        <w:contextualSpacing w:val="0"/>
        <w:rPr>
          <w:sz w:val="22"/>
        </w:rPr>
      </w:pPr>
    </w:p>
    <w:p w14:paraId="4DA33AF3" w14:textId="4AB189CB" w:rsidR="00E613DD" w:rsidRPr="002D58F1" w:rsidRDefault="00D857BA" w:rsidP="00E558C2">
      <w:pPr>
        <w:pStyle w:val="ListParagraph"/>
        <w:numPr>
          <w:ilvl w:val="0"/>
          <w:numId w:val="4"/>
        </w:numPr>
        <w:spacing w:before="0" w:after="160" w:line="360" w:lineRule="auto"/>
        <w:ind w:left="226" w:hanging="425"/>
        <w:contextualSpacing w:val="0"/>
        <w:rPr>
          <w:sz w:val="22"/>
        </w:rPr>
      </w:pPr>
      <w:r w:rsidRPr="002D58F1">
        <w:rPr>
          <w:rFonts w:hint="cs"/>
          <w:sz w:val="22"/>
          <w:rtl/>
        </w:rPr>
        <w:t>ואכן, די בכך.</w:t>
      </w:r>
    </w:p>
    <w:p w14:paraId="56724C8B" w14:textId="6B58EDAF" w:rsidR="00E558C2" w:rsidRPr="002D58F1" w:rsidRDefault="00AE13A5" w:rsidP="00E558C2">
      <w:pPr>
        <w:pStyle w:val="ListParagraph"/>
        <w:numPr>
          <w:ilvl w:val="0"/>
          <w:numId w:val="4"/>
        </w:numPr>
        <w:spacing w:before="0" w:after="160" w:line="360" w:lineRule="auto"/>
        <w:ind w:left="226" w:hanging="425"/>
        <w:contextualSpacing w:val="0"/>
        <w:rPr>
          <w:sz w:val="22"/>
        </w:rPr>
      </w:pPr>
      <w:r w:rsidRPr="002D58F1">
        <w:rPr>
          <w:rFonts w:hint="cs"/>
          <w:sz w:val="22"/>
          <w:rtl/>
        </w:rPr>
        <w:t xml:space="preserve">עוד </w:t>
      </w:r>
      <w:r w:rsidR="005A292E" w:rsidRPr="002D58F1">
        <w:rPr>
          <w:rFonts w:hint="cs"/>
          <w:sz w:val="22"/>
          <w:rtl/>
        </w:rPr>
        <w:t>נציין גם כי בהתאם לאמור על ידי הוועדה המקומית את סוגיית הריבית היא הכריעה במסגרת פסק דין בורר. אף בעניין זה נהגה הוועדה המקומית בניגוד לקביעת הוראות החוק לאחר תיקון 84</w:t>
      </w:r>
      <w:r w:rsidR="00266EC3" w:rsidRPr="002D58F1">
        <w:rPr>
          <w:rFonts w:hint="cs"/>
          <w:sz w:val="22"/>
          <w:rtl/>
        </w:rPr>
        <w:t xml:space="preserve"> האוסר הסכמות חיצוניות </w:t>
      </w:r>
      <w:r w:rsidR="00C40907" w:rsidRPr="002D58F1">
        <w:rPr>
          <w:rFonts w:hint="cs"/>
          <w:sz w:val="22"/>
          <w:rtl/>
        </w:rPr>
        <w:t>ביחס לחיובי היטל השבחה, פרט למנגנון הקבוע בחוק</w:t>
      </w:r>
      <w:r w:rsidR="005A292E" w:rsidRPr="002D58F1">
        <w:rPr>
          <w:rFonts w:hint="cs"/>
          <w:sz w:val="22"/>
          <w:rtl/>
        </w:rPr>
        <w:t xml:space="preserve">. </w:t>
      </w:r>
      <w:r w:rsidR="005D213A" w:rsidRPr="002D58F1">
        <w:rPr>
          <w:rFonts w:hint="cs"/>
          <w:sz w:val="22"/>
          <w:rtl/>
        </w:rPr>
        <w:t>ביחס להתנהלות מעין זו,</w:t>
      </w:r>
      <w:r w:rsidR="005A292E" w:rsidRPr="002D58F1">
        <w:rPr>
          <w:rFonts w:hint="cs"/>
          <w:sz w:val="22"/>
          <w:rtl/>
        </w:rPr>
        <w:t xml:space="preserve"> כבר הערנו לוועדה המקומית ב</w:t>
      </w:r>
      <w:r w:rsidR="00E558C2" w:rsidRPr="002D58F1">
        <w:rPr>
          <w:sz w:val="22"/>
          <w:rtl/>
        </w:rPr>
        <w:t>בל"מ (תל אביב-יפו) 86010-06-23 </w:t>
      </w:r>
      <w:r w:rsidR="00E558C2" w:rsidRPr="002D58F1">
        <w:rPr>
          <w:b/>
          <w:bCs/>
          <w:sz w:val="22"/>
          <w:rtl/>
        </w:rPr>
        <w:t>חלום בים בע"מ נ</w:t>
      </w:r>
      <w:r w:rsidR="007508BD" w:rsidRPr="002D58F1">
        <w:rPr>
          <w:rFonts w:hint="cs"/>
          <w:b/>
          <w:bCs/>
          <w:sz w:val="22"/>
          <w:rtl/>
        </w:rPr>
        <w:t xml:space="preserve">' </w:t>
      </w:r>
      <w:r w:rsidR="00E558C2" w:rsidRPr="002D58F1">
        <w:rPr>
          <w:b/>
          <w:bCs/>
          <w:sz w:val="22"/>
          <w:rtl/>
        </w:rPr>
        <w:t>הוועדה המקומית לתכנון ובניה בת ים</w:t>
      </w:r>
      <w:r w:rsidR="00E558C2" w:rsidRPr="002D58F1">
        <w:rPr>
          <w:rFonts w:hint="cs"/>
          <w:sz w:val="22"/>
          <w:rtl/>
        </w:rPr>
        <w:t xml:space="preserve"> (נבו). </w:t>
      </w:r>
      <w:r w:rsidRPr="002D58F1">
        <w:rPr>
          <w:rFonts w:hint="cs"/>
          <w:sz w:val="22"/>
          <w:rtl/>
        </w:rPr>
        <w:t>גם בעניין זה מוטב יהיה כי הוועדה המקומית</w:t>
      </w:r>
      <w:r w:rsidR="00412222" w:rsidRPr="002D58F1">
        <w:rPr>
          <w:rFonts w:hint="cs"/>
          <w:sz w:val="22"/>
          <w:rtl/>
        </w:rPr>
        <w:t xml:space="preserve"> </w:t>
      </w:r>
      <w:r w:rsidR="001D50B3" w:rsidRPr="002D58F1">
        <w:rPr>
          <w:rFonts w:hint="cs"/>
          <w:sz w:val="22"/>
          <w:rtl/>
        </w:rPr>
        <w:t xml:space="preserve">תנהג </w:t>
      </w:r>
      <w:r w:rsidR="00D724B4" w:rsidRPr="002D58F1">
        <w:rPr>
          <w:rFonts w:hint="cs"/>
          <w:sz w:val="22"/>
          <w:rtl/>
        </w:rPr>
        <w:t>כמצוות המחוקק</w:t>
      </w:r>
      <w:r w:rsidR="001D50B3" w:rsidRPr="002D58F1">
        <w:rPr>
          <w:rFonts w:hint="cs"/>
          <w:sz w:val="22"/>
          <w:rtl/>
        </w:rPr>
        <w:t>.</w:t>
      </w:r>
    </w:p>
    <w:p w14:paraId="187C6890" w14:textId="52A58F85" w:rsidR="00DB3578" w:rsidRPr="002D58F1" w:rsidRDefault="00B07483" w:rsidP="00405C8D">
      <w:pPr>
        <w:rPr>
          <w:b/>
          <w:bCs/>
          <w:sz w:val="28"/>
          <w:szCs w:val="28"/>
          <w:u w:val="single"/>
          <w:rtl/>
        </w:rPr>
      </w:pPr>
      <w:r w:rsidRPr="002D58F1">
        <w:rPr>
          <w:rFonts w:hint="cs"/>
          <w:b/>
          <w:bCs/>
          <w:sz w:val="28"/>
          <w:szCs w:val="28"/>
          <w:u w:val="single"/>
          <w:rtl/>
        </w:rPr>
        <w:lastRenderedPageBreak/>
        <w:t>סוף דבר</w:t>
      </w:r>
    </w:p>
    <w:p w14:paraId="347FBDA1" w14:textId="44285421" w:rsidR="00B07483" w:rsidRPr="002D58F1" w:rsidRDefault="00B07483" w:rsidP="00764E18">
      <w:pPr>
        <w:pStyle w:val="ListParagraph"/>
        <w:numPr>
          <w:ilvl w:val="0"/>
          <w:numId w:val="4"/>
        </w:numPr>
        <w:spacing w:before="0" w:after="160" w:line="360" w:lineRule="auto"/>
        <w:ind w:left="226" w:hanging="425"/>
        <w:contextualSpacing w:val="0"/>
        <w:rPr>
          <w:sz w:val="22"/>
          <w:rtl/>
        </w:rPr>
      </w:pPr>
      <w:r w:rsidRPr="002D58F1">
        <w:rPr>
          <w:rFonts w:hint="cs"/>
          <w:sz w:val="22"/>
          <w:rtl/>
        </w:rPr>
        <w:t>הערר מתקב</w:t>
      </w:r>
      <w:r w:rsidR="00B60D4E" w:rsidRPr="002D58F1">
        <w:rPr>
          <w:rFonts w:hint="cs"/>
          <w:sz w:val="22"/>
          <w:rtl/>
        </w:rPr>
        <w:t xml:space="preserve">ל: השומה המוסכמת תמשיך ותעמוד על כנה. השומה המתקנת/המשלימה </w:t>
      </w:r>
      <w:r w:rsidR="00B60D4E" w:rsidRPr="002D58F1">
        <w:rPr>
          <w:sz w:val="22"/>
          <w:rtl/>
        </w:rPr>
        <w:t>–</w:t>
      </w:r>
      <w:r w:rsidR="00B60D4E" w:rsidRPr="002D58F1">
        <w:rPr>
          <w:rFonts w:hint="cs"/>
          <w:sz w:val="22"/>
          <w:rtl/>
        </w:rPr>
        <w:t xml:space="preserve"> תבוטל.</w:t>
      </w:r>
      <w:r w:rsidR="00025E6E" w:rsidRPr="002D58F1">
        <w:rPr>
          <w:rFonts w:hint="cs"/>
          <w:sz w:val="22"/>
          <w:rtl/>
        </w:rPr>
        <w:t xml:space="preserve"> </w:t>
      </w:r>
    </w:p>
    <w:p w14:paraId="46E3514D" w14:textId="4289C402" w:rsidR="000B3CA0" w:rsidRPr="002D58F1" w:rsidRDefault="00CF7414" w:rsidP="00C12A7D">
      <w:pPr>
        <w:pStyle w:val="ListParagraph"/>
        <w:numPr>
          <w:ilvl w:val="0"/>
          <w:numId w:val="4"/>
        </w:numPr>
        <w:spacing w:before="0" w:after="160" w:line="360" w:lineRule="auto"/>
        <w:ind w:left="226" w:hanging="425"/>
        <w:contextualSpacing w:val="0"/>
      </w:pPr>
      <w:r w:rsidRPr="002D58F1">
        <w:rPr>
          <w:rFonts w:hint="cs"/>
          <w:sz w:val="22"/>
          <w:rtl/>
        </w:rPr>
        <w:t>הוועדה המקומית תישא בהוצאות העוררת על סך 2</w:t>
      </w:r>
      <w:r w:rsidR="00526A6A" w:rsidRPr="002D58F1">
        <w:rPr>
          <w:rFonts w:hint="cs"/>
          <w:sz w:val="22"/>
          <w:rtl/>
        </w:rPr>
        <w:t>0</w:t>
      </w:r>
      <w:r w:rsidRPr="002D58F1">
        <w:rPr>
          <w:rFonts w:hint="cs"/>
          <w:sz w:val="22"/>
          <w:rtl/>
        </w:rPr>
        <w:t>,000 ₪.</w:t>
      </w:r>
      <w:r w:rsidR="00764E18" w:rsidRPr="002D58F1">
        <w:rPr>
          <w:rFonts w:hint="cs"/>
          <w:sz w:val="22"/>
          <w:rtl/>
        </w:rPr>
        <w:t xml:space="preserve"> הסכום האמור ישולם בתוך 30 יום ולאחר מכן יישא ריבית והצמדה כדין.</w:t>
      </w:r>
      <w:r w:rsidR="00A62CF7" w:rsidRPr="002D58F1">
        <w:rPr>
          <w:rtl/>
        </w:rPr>
        <w:t xml:space="preserve"> </w:t>
      </w:r>
    </w:p>
    <w:p w14:paraId="3A316668" w14:textId="77777777" w:rsidR="008225F4" w:rsidRPr="002D58F1" w:rsidRDefault="008225F4" w:rsidP="008225F4">
      <w:pPr>
        <w:pStyle w:val="ListParagraph"/>
        <w:spacing w:before="0" w:after="160" w:line="360" w:lineRule="auto"/>
        <w:ind w:left="226" w:firstLine="0"/>
        <w:contextualSpacing w:val="0"/>
      </w:pPr>
    </w:p>
    <w:p w14:paraId="6E45E12B" w14:textId="09DC1726" w:rsidR="00C82191" w:rsidRPr="002D58F1" w:rsidRDefault="00C82191" w:rsidP="00C82191">
      <w:pPr>
        <w:pStyle w:val="ListParagraph"/>
        <w:spacing w:before="0" w:after="160" w:line="360" w:lineRule="auto"/>
        <w:ind w:left="226" w:firstLine="0"/>
        <w:contextualSpacing w:val="0"/>
        <w:rPr>
          <w:rtl/>
        </w:rPr>
      </w:pPr>
    </w:p>
    <w:p w14:paraId="248FE590" w14:textId="0348B6F9" w:rsidR="00C82191" w:rsidRPr="002D58F1" w:rsidRDefault="00C82191" w:rsidP="00C82191">
      <w:pPr>
        <w:spacing w:before="120" w:after="0" w:line="360" w:lineRule="auto"/>
        <w:ind w:right="567" w:hanging="199"/>
        <w:rPr>
          <w:b/>
          <w:bCs/>
          <w:sz w:val="28"/>
          <w:szCs w:val="28"/>
          <w:rtl/>
        </w:rPr>
      </w:pPr>
      <w:r w:rsidRPr="002D58F1">
        <w:rPr>
          <w:rFonts w:hint="cs"/>
          <w:b/>
          <w:bCs/>
          <w:sz w:val="28"/>
          <w:szCs w:val="28"/>
          <w:rtl/>
        </w:rPr>
        <w:t xml:space="preserve">    </w:t>
      </w:r>
      <w:r w:rsidRPr="002D58F1">
        <w:rPr>
          <w:b/>
          <w:bCs/>
          <w:sz w:val="28"/>
          <w:szCs w:val="28"/>
          <w:rtl/>
        </w:rPr>
        <w:t>ניתנה ביום</w:t>
      </w:r>
      <w:r w:rsidR="008225F4" w:rsidRPr="002D58F1">
        <w:rPr>
          <w:rFonts w:hint="cs"/>
          <w:b/>
          <w:bCs/>
          <w:sz w:val="28"/>
          <w:szCs w:val="28"/>
          <w:rtl/>
        </w:rPr>
        <w:t xml:space="preserve"> ראשון, כ"ג באדר תשפ"ה, 23.03.2025.</w:t>
      </w:r>
      <w:r w:rsidRPr="002D58F1">
        <w:rPr>
          <w:rFonts w:hint="cs"/>
          <w:b/>
          <w:bCs/>
          <w:sz w:val="28"/>
          <w:szCs w:val="28"/>
          <w:rtl/>
        </w:rPr>
        <w:t xml:space="preserve">  </w:t>
      </w:r>
    </w:p>
    <w:p w14:paraId="3F668347" w14:textId="77777777" w:rsidR="00C82191" w:rsidRPr="002D58F1" w:rsidRDefault="00C82191" w:rsidP="00C82191">
      <w:pPr>
        <w:tabs>
          <w:tab w:val="left" w:pos="3276"/>
        </w:tabs>
        <w:ind w:left="86"/>
        <w:rPr>
          <w:b/>
          <w:bCs/>
          <w:rtl/>
        </w:rPr>
      </w:pPr>
      <w:r w:rsidRPr="002D58F1">
        <w:rPr>
          <w:rFonts w:hint="cs"/>
          <w:noProof/>
          <w:color w:val="222222"/>
          <w:rtl/>
        </w:rPr>
        <w:t xml:space="preserve">                                                                    </w:t>
      </w:r>
    </w:p>
    <w:p w14:paraId="5AC71CF3" w14:textId="0FDE53DB" w:rsidR="00C82191" w:rsidRPr="002D58F1" w:rsidRDefault="00C82191" w:rsidP="00C82191">
      <w:pPr>
        <w:spacing w:before="120" w:after="120"/>
        <w:contextualSpacing/>
        <w:jc w:val="center"/>
        <w:rPr>
          <w:b/>
          <w:bCs/>
          <w:sz w:val="28"/>
          <w:szCs w:val="28"/>
          <w:rtl/>
        </w:rPr>
      </w:pPr>
      <w:r w:rsidRPr="002D58F1">
        <w:rPr>
          <w:b/>
          <w:bCs/>
          <w:sz w:val="28"/>
          <w:szCs w:val="28"/>
          <w:rtl/>
        </w:rPr>
        <w:t>_______________</w:t>
      </w:r>
      <w:r w:rsidRPr="002D58F1">
        <w:rPr>
          <w:rFonts w:hint="cs"/>
          <w:b/>
          <w:bCs/>
          <w:sz w:val="28"/>
          <w:szCs w:val="28"/>
          <w:rtl/>
        </w:rPr>
        <w:t xml:space="preserve">  </w:t>
      </w:r>
      <w:r w:rsidRPr="002D58F1">
        <w:rPr>
          <w:b/>
          <w:bCs/>
          <w:sz w:val="28"/>
          <w:szCs w:val="28"/>
          <w:rtl/>
        </w:rPr>
        <w:t xml:space="preserve">                                 </w:t>
      </w:r>
      <w:r w:rsidRPr="002D58F1">
        <w:rPr>
          <w:rFonts w:hint="cs"/>
          <w:b/>
          <w:bCs/>
          <w:sz w:val="28"/>
          <w:szCs w:val="28"/>
          <w:rtl/>
        </w:rPr>
        <w:t xml:space="preserve">    </w:t>
      </w:r>
      <w:r w:rsidRPr="002D58F1">
        <w:rPr>
          <w:b/>
          <w:bCs/>
          <w:sz w:val="28"/>
          <w:szCs w:val="28"/>
          <w:rtl/>
        </w:rPr>
        <w:t xml:space="preserve">       ______________</w:t>
      </w:r>
    </w:p>
    <w:p w14:paraId="23AE6E2C" w14:textId="5FE1E93C" w:rsidR="00C82191" w:rsidRPr="002D58F1" w:rsidRDefault="00C82191" w:rsidP="00C82191">
      <w:pPr>
        <w:tabs>
          <w:tab w:val="left" w:pos="5706"/>
        </w:tabs>
        <w:spacing w:before="120" w:after="120"/>
        <w:contextualSpacing/>
        <w:jc w:val="center"/>
        <w:rPr>
          <w:b/>
          <w:bCs/>
          <w:sz w:val="28"/>
          <w:szCs w:val="28"/>
          <w:rtl/>
        </w:rPr>
      </w:pPr>
      <w:r w:rsidRPr="002D58F1">
        <w:rPr>
          <w:b/>
          <w:bCs/>
          <w:sz w:val="28"/>
          <w:szCs w:val="28"/>
          <w:rtl/>
        </w:rPr>
        <w:t>רונית עמיאל, עו"ד                                                   הלל גלקופ, עו"ד</w:t>
      </w:r>
    </w:p>
    <w:p w14:paraId="75C543EE" w14:textId="77777777" w:rsidR="00C82191" w:rsidRPr="002D58F1" w:rsidRDefault="00C82191" w:rsidP="00C82191">
      <w:pPr>
        <w:tabs>
          <w:tab w:val="left" w:pos="5706"/>
        </w:tabs>
        <w:spacing w:before="120" w:after="120"/>
        <w:contextualSpacing/>
        <w:jc w:val="center"/>
        <w:rPr>
          <w:b/>
          <w:bCs/>
          <w:sz w:val="28"/>
          <w:szCs w:val="28"/>
          <w:rtl/>
        </w:rPr>
      </w:pPr>
      <w:r w:rsidRPr="002D58F1">
        <w:rPr>
          <w:b/>
          <w:bCs/>
          <w:sz w:val="28"/>
          <w:szCs w:val="28"/>
          <w:rtl/>
        </w:rPr>
        <w:t>מזכירת ועדת הערר                                                  יו"ר ועדת הערר</w:t>
      </w:r>
    </w:p>
    <w:p w14:paraId="2BCBF946" w14:textId="77777777" w:rsidR="00C82191" w:rsidRPr="00C82191" w:rsidRDefault="00C82191" w:rsidP="00C82191">
      <w:pPr>
        <w:spacing w:before="120" w:after="120"/>
        <w:contextualSpacing/>
        <w:jc w:val="center"/>
        <w:rPr>
          <w:b/>
          <w:bCs/>
          <w:sz w:val="28"/>
          <w:szCs w:val="28"/>
          <w:rtl/>
        </w:rPr>
      </w:pPr>
      <w:r w:rsidRPr="002D58F1">
        <w:rPr>
          <w:b/>
          <w:bCs/>
          <w:sz w:val="28"/>
          <w:szCs w:val="28"/>
          <w:rtl/>
        </w:rPr>
        <w:t>מחוז תל-אביב                                                          מחוז תל-אביב</w:t>
      </w:r>
    </w:p>
    <w:p w14:paraId="4B26B6FD" w14:textId="77777777" w:rsidR="00C82191" w:rsidRPr="00C82191" w:rsidRDefault="00C82191" w:rsidP="00C82191">
      <w:pPr>
        <w:jc w:val="center"/>
        <w:rPr>
          <w:sz w:val="28"/>
          <w:szCs w:val="28"/>
        </w:rPr>
      </w:pPr>
    </w:p>
    <w:p w14:paraId="640B6789" w14:textId="77777777" w:rsidR="00C82191" w:rsidRPr="00C82191" w:rsidRDefault="00C82191" w:rsidP="00C82191">
      <w:pPr>
        <w:pStyle w:val="ListParagraph"/>
        <w:spacing w:before="0" w:after="160" w:line="360" w:lineRule="auto"/>
        <w:ind w:left="226" w:firstLine="0"/>
        <w:contextualSpacing w:val="0"/>
        <w:rPr>
          <w:rtl/>
        </w:rPr>
      </w:pPr>
    </w:p>
    <w:sectPr w:rsidR="00C82191" w:rsidRPr="00C82191" w:rsidSect="001A299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87750"/>
    <w:multiLevelType w:val="multilevel"/>
    <w:tmpl w:val="13ACEBE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1D415A"/>
    <w:multiLevelType w:val="hybridMultilevel"/>
    <w:tmpl w:val="4F0CDD8C"/>
    <w:lvl w:ilvl="0" w:tplc="5C222066">
      <w:start w:val="1"/>
      <w:numFmt w:val="hebrew1"/>
      <w:lvlText w:val="(%1)"/>
      <w:lvlJc w:val="left"/>
      <w:pPr>
        <w:ind w:left="372" w:hanging="570"/>
      </w:pPr>
      <w:rPr>
        <w:rFonts w:ascii="Times New Roman" w:hAnsi="Times New Roman" w:cs="FrankRuehl" w:hint="default"/>
        <w:sz w:val="26"/>
      </w:rPr>
    </w:lvl>
    <w:lvl w:ilvl="1" w:tplc="04090019" w:tentative="1">
      <w:start w:val="1"/>
      <w:numFmt w:val="lowerLetter"/>
      <w:lvlText w:val="%2."/>
      <w:lvlJc w:val="left"/>
      <w:pPr>
        <w:ind w:left="882" w:hanging="360"/>
      </w:pPr>
    </w:lvl>
    <w:lvl w:ilvl="2" w:tplc="0409001B" w:tentative="1">
      <w:start w:val="1"/>
      <w:numFmt w:val="lowerRoman"/>
      <w:lvlText w:val="%3."/>
      <w:lvlJc w:val="right"/>
      <w:pPr>
        <w:ind w:left="1602" w:hanging="180"/>
      </w:pPr>
    </w:lvl>
    <w:lvl w:ilvl="3" w:tplc="0409000F" w:tentative="1">
      <w:start w:val="1"/>
      <w:numFmt w:val="decimal"/>
      <w:lvlText w:val="%4."/>
      <w:lvlJc w:val="left"/>
      <w:pPr>
        <w:ind w:left="2322" w:hanging="360"/>
      </w:pPr>
    </w:lvl>
    <w:lvl w:ilvl="4" w:tplc="04090019" w:tentative="1">
      <w:start w:val="1"/>
      <w:numFmt w:val="lowerLetter"/>
      <w:lvlText w:val="%5."/>
      <w:lvlJc w:val="left"/>
      <w:pPr>
        <w:ind w:left="3042" w:hanging="360"/>
      </w:pPr>
    </w:lvl>
    <w:lvl w:ilvl="5" w:tplc="0409001B" w:tentative="1">
      <w:start w:val="1"/>
      <w:numFmt w:val="lowerRoman"/>
      <w:lvlText w:val="%6."/>
      <w:lvlJc w:val="right"/>
      <w:pPr>
        <w:ind w:left="3762" w:hanging="180"/>
      </w:pPr>
    </w:lvl>
    <w:lvl w:ilvl="6" w:tplc="0409000F" w:tentative="1">
      <w:start w:val="1"/>
      <w:numFmt w:val="decimal"/>
      <w:lvlText w:val="%7."/>
      <w:lvlJc w:val="left"/>
      <w:pPr>
        <w:ind w:left="4482" w:hanging="360"/>
      </w:pPr>
    </w:lvl>
    <w:lvl w:ilvl="7" w:tplc="04090019" w:tentative="1">
      <w:start w:val="1"/>
      <w:numFmt w:val="lowerLetter"/>
      <w:lvlText w:val="%8."/>
      <w:lvlJc w:val="left"/>
      <w:pPr>
        <w:ind w:left="5202" w:hanging="360"/>
      </w:pPr>
    </w:lvl>
    <w:lvl w:ilvl="8" w:tplc="0409001B" w:tentative="1">
      <w:start w:val="1"/>
      <w:numFmt w:val="lowerRoman"/>
      <w:lvlText w:val="%9."/>
      <w:lvlJc w:val="right"/>
      <w:pPr>
        <w:ind w:left="5922" w:hanging="180"/>
      </w:pPr>
    </w:lvl>
  </w:abstractNum>
  <w:abstractNum w:abstractNumId="2" w15:restartNumberingAfterBreak="0">
    <w:nsid w:val="28A57860"/>
    <w:multiLevelType w:val="hybridMultilevel"/>
    <w:tmpl w:val="BDF4C40C"/>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 w15:restartNumberingAfterBreak="0">
    <w:nsid w:val="7EEE43D1"/>
    <w:multiLevelType w:val="multilevel"/>
    <w:tmpl w:val="EA32355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0249081">
    <w:abstractNumId w:val="1"/>
  </w:num>
  <w:num w:numId="2" w16cid:durableId="1683699823">
    <w:abstractNumId w:val="3"/>
  </w:num>
  <w:num w:numId="3" w16cid:durableId="1475102680">
    <w:abstractNumId w:val="0"/>
  </w:num>
  <w:num w:numId="4" w16cid:durableId="1425690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390"/>
    <w:rsid w:val="00000FEC"/>
    <w:rsid w:val="0001269E"/>
    <w:rsid w:val="000140A6"/>
    <w:rsid w:val="00014D91"/>
    <w:rsid w:val="00021276"/>
    <w:rsid w:val="00025A00"/>
    <w:rsid w:val="00025B89"/>
    <w:rsid w:val="00025E6E"/>
    <w:rsid w:val="00032428"/>
    <w:rsid w:val="00033909"/>
    <w:rsid w:val="000340A4"/>
    <w:rsid w:val="00043435"/>
    <w:rsid w:val="0004672A"/>
    <w:rsid w:val="00050520"/>
    <w:rsid w:val="00055281"/>
    <w:rsid w:val="0006412C"/>
    <w:rsid w:val="0008105F"/>
    <w:rsid w:val="0009120C"/>
    <w:rsid w:val="00094866"/>
    <w:rsid w:val="00096309"/>
    <w:rsid w:val="00096BB0"/>
    <w:rsid w:val="0009749D"/>
    <w:rsid w:val="000A6BB0"/>
    <w:rsid w:val="000A7F13"/>
    <w:rsid w:val="000B0B5A"/>
    <w:rsid w:val="000B3CA0"/>
    <w:rsid w:val="000B47EA"/>
    <w:rsid w:val="000C2E7B"/>
    <w:rsid w:val="000C4C44"/>
    <w:rsid w:val="000C6920"/>
    <w:rsid w:val="000C6A0A"/>
    <w:rsid w:val="000C6FE0"/>
    <w:rsid w:val="000C74ED"/>
    <w:rsid w:val="000D0604"/>
    <w:rsid w:val="000D1963"/>
    <w:rsid w:val="000D46F3"/>
    <w:rsid w:val="000D516A"/>
    <w:rsid w:val="000D53C6"/>
    <w:rsid w:val="000E6B41"/>
    <w:rsid w:val="000F18BD"/>
    <w:rsid w:val="000F3067"/>
    <w:rsid w:val="000F7BC1"/>
    <w:rsid w:val="001010DA"/>
    <w:rsid w:val="00102174"/>
    <w:rsid w:val="00110F62"/>
    <w:rsid w:val="0011367E"/>
    <w:rsid w:val="00113E54"/>
    <w:rsid w:val="00116458"/>
    <w:rsid w:val="0011678A"/>
    <w:rsid w:val="00117282"/>
    <w:rsid w:val="00126BEC"/>
    <w:rsid w:val="00136069"/>
    <w:rsid w:val="001415A7"/>
    <w:rsid w:val="001420E0"/>
    <w:rsid w:val="0015121B"/>
    <w:rsid w:val="00154AE4"/>
    <w:rsid w:val="00155592"/>
    <w:rsid w:val="001579EB"/>
    <w:rsid w:val="001652CA"/>
    <w:rsid w:val="00170D0F"/>
    <w:rsid w:val="00174F12"/>
    <w:rsid w:val="00175931"/>
    <w:rsid w:val="00176E48"/>
    <w:rsid w:val="00183277"/>
    <w:rsid w:val="00185151"/>
    <w:rsid w:val="001861E8"/>
    <w:rsid w:val="0019587D"/>
    <w:rsid w:val="001A2992"/>
    <w:rsid w:val="001A5990"/>
    <w:rsid w:val="001B30D2"/>
    <w:rsid w:val="001B5028"/>
    <w:rsid w:val="001B7F87"/>
    <w:rsid w:val="001B7FB1"/>
    <w:rsid w:val="001C74AC"/>
    <w:rsid w:val="001D50B3"/>
    <w:rsid w:val="001D52B8"/>
    <w:rsid w:val="001E2E49"/>
    <w:rsid w:val="001F3679"/>
    <w:rsid w:val="00201EF9"/>
    <w:rsid w:val="00206D90"/>
    <w:rsid w:val="00211422"/>
    <w:rsid w:val="00211CC3"/>
    <w:rsid w:val="00213D48"/>
    <w:rsid w:val="00213DE3"/>
    <w:rsid w:val="00215233"/>
    <w:rsid w:val="0022190F"/>
    <w:rsid w:val="00225AF3"/>
    <w:rsid w:val="00226049"/>
    <w:rsid w:val="00226992"/>
    <w:rsid w:val="00244449"/>
    <w:rsid w:val="00254B20"/>
    <w:rsid w:val="0025504E"/>
    <w:rsid w:val="0025603B"/>
    <w:rsid w:val="00266EC3"/>
    <w:rsid w:val="0028165C"/>
    <w:rsid w:val="002901A9"/>
    <w:rsid w:val="00293DB8"/>
    <w:rsid w:val="00296C9B"/>
    <w:rsid w:val="002A2946"/>
    <w:rsid w:val="002A37B0"/>
    <w:rsid w:val="002B0A65"/>
    <w:rsid w:val="002B53A5"/>
    <w:rsid w:val="002C1988"/>
    <w:rsid w:val="002C4ACB"/>
    <w:rsid w:val="002D58F1"/>
    <w:rsid w:val="002D5B59"/>
    <w:rsid w:val="002D5C0F"/>
    <w:rsid w:val="002D7652"/>
    <w:rsid w:val="002F1573"/>
    <w:rsid w:val="002F332F"/>
    <w:rsid w:val="002F35CA"/>
    <w:rsid w:val="002F3F30"/>
    <w:rsid w:val="002F68CF"/>
    <w:rsid w:val="00303448"/>
    <w:rsid w:val="00313734"/>
    <w:rsid w:val="00334462"/>
    <w:rsid w:val="003405A7"/>
    <w:rsid w:val="003408DC"/>
    <w:rsid w:val="0034115E"/>
    <w:rsid w:val="00344293"/>
    <w:rsid w:val="00345099"/>
    <w:rsid w:val="0035050D"/>
    <w:rsid w:val="00351130"/>
    <w:rsid w:val="00352435"/>
    <w:rsid w:val="0035609A"/>
    <w:rsid w:val="00356F7D"/>
    <w:rsid w:val="00360CF3"/>
    <w:rsid w:val="003636A5"/>
    <w:rsid w:val="00370FD0"/>
    <w:rsid w:val="00374036"/>
    <w:rsid w:val="003758BF"/>
    <w:rsid w:val="00380B09"/>
    <w:rsid w:val="00386154"/>
    <w:rsid w:val="003864D2"/>
    <w:rsid w:val="003A4A51"/>
    <w:rsid w:val="003B079A"/>
    <w:rsid w:val="003B5148"/>
    <w:rsid w:val="003C763E"/>
    <w:rsid w:val="003C7FD4"/>
    <w:rsid w:val="003D0040"/>
    <w:rsid w:val="003D054C"/>
    <w:rsid w:val="003D1C26"/>
    <w:rsid w:val="003D3C12"/>
    <w:rsid w:val="003D48B0"/>
    <w:rsid w:val="003E2593"/>
    <w:rsid w:val="003E26F7"/>
    <w:rsid w:val="003E4808"/>
    <w:rsid w:val="00400A34"/>
    <w:rsid w:val="00402458"/>
    <w:rsid w:val="00405C8D"/>
    <w:rsid w:val="00411E80"/>
    <w:rsid w:val="00412039"/>
    <w:rsid w:val="00412222"/>
    <w:rsid w:val="004164CD"/>
    <w:rsid w:val="00417232"/>
    <w:rsid w:val="00421F5F"/>
    <w:rsid w:val="004224E4"/>
    <w:rsid w:val="00423470"/>
    <w:rsid w:val="00425B83"/>
    <w:rsid w:val="00436CC9"/>
    <w:rsid w:val="00437637"/>
    <w:rsid w:val="004563F0"/>
    <w:rsid w:val="0048027C"/>
    <w:rsid w:val="00484FA9"/>
    <w:rsid w:val="004933FF"/>
    <w:rsid w:val="00496763"/>
    <w:rsid w:val="004A1B14"/>
    <w:rsid w:val="004A1FEA"/>
    <w:rsid w:val="004A4966"/>
    <w:rsid w:val="004A6378"/>
    <w:rsid w:val="004C21CB"/>
    <w:rsid w:val="004C2C99"/>
    <w:rsid w:val="004C4F21"/>
    <w:rsid w:val="004C5186"/>
    <w:rsid w:val="004C6206"/>
    <w:rsid w:val="004C6992"/>
    <w:rsid w:val="004C7CCD"/>
    <w:rsid w:val="004D07F1"/>
    <w:rsid w:val="004D2634"/>
    <w:rsid w:val="004D3259"/>
    <w:rsid w:val="004D7241"/>
    <w:rsid w:val="004E2B97"/>
    <w:rsid w:val="004E2E82"/>
    <w:rsid w:val="004E7FCA"/>
    <w:rsid w:val="004F10FB"/>
    <w:rsid w:val="004F58F8"/>
    <w:rsid w:val="004F5B41"/>
    <w:rsid w:val="00506D45"/>
    <w:rsid w:val="005113EB"/>
    <w:rsid w:val="00511910"/>
    <w:rsid w:val="00513F80"/>
    <w:rsid w:val="005157FC"/>
    <w:rsid w:val="00517965"/>
    <w:rsid w:val="005234F8"/>
    <w:rsid w:val="00526A6A"/>
    <w:rsid w:val="00530A97"/>
    <w:rsid w:val="005329BE"/>
    <w:rsid w:val="00533714"/>
    <w:rsid w:val="00536674"/>
    <w:rsid w:val="0055088E"/>
    <w:rsid w:val="00554308"/>
    <w:rsid w:val="00557D4B"/>
    <w:rsid w:val="00560B9C"/>
    <w:rsid w:val="005614CC"/>
    <w:rsid w:val="0057439D"/>
    <w:rsid w:val="00574A7E"/>
    <w:rsid w:val="0059171A"/>
    <w:rsid w:val="00591BB6"/>
    <w:rsid w:val="00591E66"/>
    <w:rsid w:val="005A07BB"/>
    <w:rsid w:val="005A292E"/>
    <w:rsid w:val="005A6323"/>
    <w:rsid w:val="005A7097"/>
    <w:rsid w:val="005C79F8"/>
    <w:rsid w:val="005D1AEF"/>
    <w:rsid w:val="005D213A"/>
    <w:rsid w:val="005D387B"/>
    <w:rsid w:val="005F4F55"/>
    <w:rsid w:val="00612CD6"/>
    <w:rsid w:val="00614A8E"/>
    <w:rsid w:val="00614C06"/>
    <w:rsid w:val="00615CF1"/>
    <w:rsid w:val="00623ADC"/>
    <w:rsid w:val="00623EAF"/>
    <w:rsid w:val="00624003"/>
    <w:rsid w:val="00631276"/>
    <w:rsid w:val="00635675"/>
    <w:rsid w:val="006375A6"/>
    <w:rsid w:val="00642D08"/>
    <w:rsid w:val="00644183"/>
    <w:rsid w:val="00644B69"/>
    <w:rsid w:val="00651A30"/>
    <w:rsid w:val="00657197"/>
    <w:rsid w:val="006626F9"/>
    <w:rsid w:val="00670EB3"/>
    <w:rsid w:val="00673CFC"/>
    <w:rsid w:val="00674C1C"/>
    <w:rsid w:val="006770D7"/>
    <w:rsid w:val="0068443C"/>
    <w:rsid w:val="00685B90"/>
    <w:rsid w:val="00687078"/>
    <w:rsid w:val="00687588"/>
    <w:rsid w:val="0069355F"/>
    <w:rsid w:val="00693DED"/>
    <w:rsid w:val="00695C2F"/>
    <w:rsid w:val="006A67D6"/>
    <w:rsid w:val="006A6C48"/>
    <w:rsid w:val="006A7976"/>
    <w:rsid w:val="006B3FFD"/>
    <w:rsid w:val="006C693C"/>
    <w:rsid w:val="006D2579"/>
    <w:rsid w:val="006E35AF"/>
    <w:rsid w:val="006F2EDF"/>
    <w:rsid w:val="006F5D32"/>
    <w:rsid w:val="007004BC"/>
    <w:rsid w:val="00700CD6"/>
    <w:rsid w:val="00706FA5"/>
    <w:rsid w:val="00717ABD"/>
    <w:rsid w:val="00721536"/>
    <w:rsid w:val="00730205"/>
    <w:rsid w:val="00740755"/>
    <w:rsid w:val="00740E37"/>
    <w:rsid w:val="007454FB"/>
    <w:rsid w:val="00746D03"/>
    <w:rsid w:val="007508BD"/>
    <w:rsid w:val="007511EE"/>
    <w:rsid w:val="00752307"/>
    <w:rsid w:val="007525E0"/>
    <w:rsid w:val="0075491E"/>
    <w:rsid w:val="00760160"/>
    <w:rsid w:val="00761DEE"/>
    <w:rsid w:val="00764E18"/>
    <w:rsid w:val="00773C58"/>
    <w:rsid w:val="007774B7"/>
    <w:rsid w:val="00780334"/>
    <w:rsid w:val="00780573"/>
    <w:rsid w:val="00783BE5"/>
    <w:rsid w:val="007A09DE"/>
    <w:rsid w:val="007B01F5"/>
    <w:rsid w:val="007B464A"/>
    <w:rsid w:val="007B5EFE"/>
    <w:rsid w:val="007B781E"/>
    <w:rsid w:val="007C190B"/>
    <w:rsid w:val="007D153E"/>
    <w:rsid w:val="007D36CB"/>
    <w:rsid w:val="007D60CB"/>
    <w:rsid w:val="007E56FA"/>
    <w:rsid w:val="007E633E"/>
    <w:rsid w:val="007F2210"/>
    <w:rsid w:val="007F2B12"/>
    <w:rsid w:val="007F3D57"/>
    <w:rsid w:val="008061BB"/>
    <w:rsid w:val="008133E4"/>
    <w:rsid w:val="00820A13"/>
    <w:rsid w:val="008225D8"/>
    <w:rsid w:val="008225F4"/>
    <w:rsid w:val="00824075"/>
    <w:rsid w:val="00832459"/>
    <w:rsid w:val="008343F4"/>
    <w:rsid w:val="00834D13"/>
    <w:rsid w:val="00836D6E"/>
    <w:rsid w:val="00844A2D"/>
    <w:rsid w:val="00845943"/>
    <w:rsid w:val="008540AA"/>
    <w:rsid w:val="0085429E"/>
    <w:rsid w:val="008616A8"/>
    <w:rsid w:val="00891BC8"/>
    <w:rsid w:val="008978FE"/>
    <w:rsid w:val="008A2BA1"/>
    <w:rsid w:val="008A5CF7"/>
    <w:rsid w:val="008A6E7C"/>
    <w:rsid w:val="008B4C50"/>
    <w:rsid w:val="008B4CD3"/>
    <w:rsid w:val="008D7A57"/>
    <w:rsid w:val="008F3FF3"/>
    <w:rsid w:val="008F7440"/>
    <w:rsid w:val="0090295D"/>
    <w:rsid w:val="00907499"/>
    <w:rsid w:val="00911037"/>
    <w:rsid w:val="00911CD2"/>
    <w:rsid w:val="009124CC"/>
    <w:rsid w:val="00916152"/>
    <w:rsid w:val="00916367"/>
    <w:rsid w:val="0091785F"/>
    <w:rsid w:val="00932775"/>
    <w:rsid w:val="00937689"/>
    <w:rsid w:val="0094351C"/>
    <w:rsid w:val="0094486B"/>
    <w:rsid w:val="00952233"/>
    <w:rsid w:val="0095626C"/>
    <w:rsid w:val="00962418"/>
    <w:rsid w:val="009727D2"/>
    <w:rsid w:val="00974DCA"/>
    <w:rsid w:val="00976FE1"/>
    <w:rsid w:val="0098779A"/>
    <w:rsid w:val="00997CC4"/>
    <w:rsid w:val="00997D0B"/>
    <w:rsid w:val="009A3DFB"/>
    <w:rsid w:val="009C11DF"/>
    <w:rsid w:val="009C6D43"/>
    <w:rsid w:val="009E365A"/>
    <w:rsid w:val="009E69A5"/>
    <w:rsid w:val="009E6D74"/>
    <w:rsid w:val="009E72BE"/>
    <w:rsid w:val="009F3B2E"/>
    <w:rsid w:val="009F6391"/>
    <w:rsid w:val="009F71C1"/>
    <w:rsid w:val="00A02577"/>
    <w:rsid w:val="00A05BB4"/>
    <w:rsid w:val="00A07078"/>
    <w:rsid w:val="00A1268D"/>
    <w:rsid w:val="00A13366"/>
    <w:rsid w:val="00A13D59"/>
    <w:rsid w:val="00A207DC"/>
    <w:rsid w:val="00A310C5"/>
    <w:rsid w:val="00A33AD8"/>
    <w:rsid w:val="00A377FB"/>
    <w:rsid w:val="00A5125D"/>
    <w:rsid w:val="00A539C4"/>
    <w:rsid w:val="00A55C33"/>
    <w:rsid w:val="00A579A8"/>
    <w:rsid w:val="00A62CF7"/>
    <w:rsid w:val="00A63ABD"/>
    <w:rsid w:val="00A71062"/>
    <w:rsid w:val="00A75B90"/>
    <w:rsid w:val="00A77A12"/>
    <w:rsid w:val="00A80600"/>
    <w:rsid w:val="00A85FB5"/>
    <w:rsid w:val="00A94BC8"/>
    <w:rsid w:val="00A95523"/>
    <w:rsid w:val="00A97D14"/>
    <w:rsid w:val="00AA1069"/>
    <w:rsid w:val="00AA573A"/>
    <w:rsid w:val="00AB7EA5"/>
    <w:rsid w:val="00AC283A"/>
    <w:rsid w:val="00AC46C8"/>
    <w:rsid w:val="00AC5E75"/>
    <w:rsid w:val="00AD4C5F"/>
    <w:rsid w:val="00AD5B22"/>
    <w:rsid w:val="00AE13A5"/>
    <w:rsid w:val="00AF213B"/>
    <w:rsid w:val="00AF4A6C"/>
    <w:rsid w:val="00B0316E"/>
    <w:rsid w:val="00B049B5"/>
    <w:rsid w:val="00B06D8B"/>
    <w:rsid w:val="00B07483"/>
    <w:rsid w:val="00B161A6"/>
    <w:rsid w:val="00B4024F"/>
    <w:rsid w:val="00B41D00"/>
    <w:rsid w:val="00B43479"/>
    <w:rsid w:val="00B4427B"/>
    <w:rsid w:val="00B45922"/>
    <w:rsid w:val="00B46882"/>
    <w:rsid w:val="00B50EB0"/>
    <w:rsid w:val="00B547F6"/>
    <w:rsid w:val="00B60D4E"/>
    <w:rsid w:val="00B6345B"/>
    <w:rsid w:val="00B65850"/>
    <w:rsid w:val="00B70389"/>
    <w:rsid w:val="00B73537"/>
    <w:rsid w:val="00B8028B"/>
    <w:rsid w:val="00B83B3F"/>
    <w:rsid w:val="00B861AA"/>
    <w:rsid w:val="00B91B94"/>
    <w:rsid w:val="00B91FCD"/>
    <w:rsid w:val="00B94CF5"/>
    <w:rsid w:val="00B94D97"/>
    <w:rsid w:val="00B950D8"/>
    <w:rsid w:val="00B9523D"/>
    <w:rsid w:val="00B95D19"/>
    <w:rsid w:val="00B96E79"/>
    <w:rsid w:val="00BA327E"/>
    <w:rsid w:val="00BA5286"/>
    <w:rsid w:val="00BB41C1"/>
    <w:rsid w:val="00BB5032"/>
    <w:rsid w:val="00BC65D6"/>
    <w:rsid w:val="00BD5D5F"/>
    <w:rsid w:val="00BD6BEA"/>
    <w:rsid w:val="00BE0F16"/>
    <w:rsid w:val="00BE11F5"/>
    <w:rsid w:val="00BE25AC"/>
    <w:rsid w:val="00BF1029"/>
    <w:rsid w:val="00BF151E"/>
    <w:rsid w:val="00BF5238"/>
    <w:rsid w:val="00C033A5"/>
    <w:rsid w:val="00C10FD8"/>
    <w:rsid w:val="00C14B6E"/>
    <w:rsid w:val="00C3173A"/>
    <w:rsid w:val="00C40907"/>
    <w:rsid w:val="00C41DEE"/>
    <w:rsid w:val="00C440EC"/>
    <w:rsid w:val="00C4554B"/>
    <w:rsid w:val="00C5130A"/>
    <w:rsid w:val="00C5148C"/>
    <w:rsid w:val="00C5270C"/>
    <w:rsid w:val="00C619B2"/>
    <w:rsid w:val="00C62B8D"/>
    <w:rsid w:val="00C66A69"/>
    <w:rsid w:val="00C673DC"/>
    <w:rsid w:val="00C70574"/>
    <w:rsid w:val="00C718B6"/>
    <w:rsid w:val="00C7609F"/>
    <w:rsid w:val="00C77947"/>
    <w:rsid w:val="00C80FC7"/>
    <w:rsid w:val="00C82191"/>
    <w:rsid w:val="00C84015"/>
    <w:rsid w:val="00C85DD2"/>
    <w:rsid w:val="00C86EBC"/>
    <w:rsid w:val="00C91A03"/>
    <w:rsid w:val="00C952C0"/>
    <w:rsid w:val="00C95390"/>
    <w:rsid w:val="00C96329"/>
    <w:rsid w:val="00CA0BE7"/>
    <w:rsid w:val="00CA1302"/>
    <w:rsid w:val="00CA2B7D"/>
    <w:rsid w:val="00CB4B81"/>
    <w:rsid w:val="00CB68BC"/>
    <w:rsid w:val="00CC1AD5"/>
    <w:rsid w:val="00CC28B9"/>
    <w:rsid w:val="00CC7708"/>
    <w:rsid w:val="00CD09C6"/>
    <w:rsid w:val="00CD2137"/>
    <w:rsid w:val="00CD562F"/>
    <w:rsid w:val="00CD6639"/>
    <w:rsid w:val="00CE1374"/>
    <w:rsid w:val="00CF0C39"/>
    <w:rsid w:val="00CF280C"/>
    <w:rsid w:val="00CF3113"/>
    <w:rsid w:val="00CF7414"/>
    <w:rsid w:val="00D00148"/>
    <w:rsid w:val="00D03052"/>
    <w:rsid w:val="00D11FC8"/>
    <w:rsid w:val="00D12A56"/>
    <w:rsid w:val="00D138EB"/>
    <w:rsid w:val="00D2045C"/>
    <w:rsid w:val="00D21214"/>
    <w:rsid w:val="00D222CD"/>
    <w:rsid w:val="00D253AA"/>
    <w:rsid w:val="00D31D00"/>
    <w:rsid w:val="00D404C0"/>
    <w:rsid w:val="00D40BA1"/>
    <w:rsid w:val="00D42A53"/>
    <w:rsid w:val="00D46AC3"/>
    <w:rsid w:val="00D50E10"/>
    <w:rsid w:val="00D51C56"/>
    <w:rsid w:val="00D550DF"/>
    <w:rsid w:val="00D62D43"/>
    <w:rsid w:val="00D67EC4"/>
    <w:rsid w:val="00D724B4"/>
    <w:rsid w:val="00D72A64"/>
    <w:rsid w:val="00D7795F"/>
    <w:rsid w:val="00D77F47"/>
    <w:rsid w:val="00D810D4"/>
    <w:rsid w:val="00D81AC9"/>
    <w:rsid w:val="00D831CE"/>
    <w:rsid w:val="00D84162"/>
    <w:rsid w:val="00D857BA"/>
    <w:rsid w:val="00D879AE"/>
    <w:rsid w:val="00D9179E"/>
    <w:rsid w:val="00D9324D"/>
    <w:rsid w:val="00D954B2"/>
    <w:rsid w:val="00DA1A13"/>
    <w:rsid w:val="00DA3AF9"/>
    <w:rsid w:val="00DA4F72"/>
    <w:rsid w:val="00DA66A1"/>
    <w:rsid w:val="00DA7092"/>
    <w:rsid w:val="00DB05F1"/>
    <w:rsid w:val="00DB3488"/>
    <w:rsid w:val="00DB3578"/>
    <w:rsid w:val="00DB6C66"/>
    <w:rsid w:val="00DC208B"/>
    <w:rsid w:val="00DC5ABD"/>
    <w:rsid w:val="00DC794E"/>
    <w:rsid w:val="00DD0304"/>
    <w:rsid w:val="00DD1009"/>
    <w:rsid w:val="00DE03AA"/>
    <w:rsid w:val="00DE12D6"/>
    <w:rsid w:val="00DE3FB3"/>
    <w:rsid w:val="00DF456A"/>
    <w:rsid w:val="00DF5C8C"/>
    <w:rsid w:val="00DF7078"/>
    <w:rsid w:val="00DF7128"/>
    <w:rsid w:val="00E04993"/>
    <w:rsid w:val="00E07BAB"/>
    <w:rsid w:val="00E139C6"/>
    <w:rsid w:val="00E144E2"/>
    <w:rsid w:val="00E15960"/>
    <w:rsid w:val="00E16BB6"/>
    <w:rsid w:val="00E213FD"/>
    <w:rsid w:val="00E22C21"/>
    <w:rsid w:val="00E237CB"/>
    <w:rsid w:val="00E23CD8"/>
    <w:rsid w:val="00E2412B"/>
    <w:rsid w:val="00E30E54"/>
    <w:rsid w:val="00E321F5"/>
    <w:rsid w:val="00E35132"/>
    <w:rsid w:val="00E37C61"/>
    <w:rsid w:val="00E43AD7"/>
    <w:rsid w:val="00E47100"/>
    <w:rsid w:val="00E51B0F"/>
    <w:rsid w:val="00E558C2"/>
    <w:rsid w:val="00E57E08"/>
    <w:rsid w:val="00E613DD"/>
    <w:rsid w:val="00E647CB"/>
    <w:rsid w:val="00E67174"/>
    <w:rsid w:val="00E72355"/>
    <w:rsid w:val="00E76B3B"/>
    <w:rsid w:val="00E7779F"/>
    <w:rsid w:val="00E800F0"/>
    <w:rsid w:val="00E8081D"/>
    <w:rsid w:val="00E8113E"/>
    <w:rsid w:val="00E82A1C"/>
    <w:rsid w:val="00E91A78"/>
    <w:rsid w:val="00E92A13"/>
    <w:rsid w:val="00E95160"/>
    <w:rsid w:val="00E95A30"/>
    <w:rsid w:val="00E9745F"/>
    <w:rsid w:val="00EA13C4"/>
    <w:rsid w:val="00EA67AB"/>
    <w:rsid w:val="00EB1B5D"/>
    <w:rsid w:val="00EB4B61"/>
    <w:rsid w:val="00EC2EB1"/>
    <w:rsid w:val="00ED0ABC"/>
    <w:rsid w:val="00ED5FB7"/>
    <w:rsid w:val="00ED7A56"/>
    <w:rsid w:val="00EF3686"/>
    <w:rsid w:val="00EF5C35"/>
    <w:rsid w:val="00F06A4F"/>
    <w:rsid w:val="00F10C32"/>
    <w:rsid w:val="00F10CA9"/>
    <w:rsid w:val="00F14728"/>
    <w:rsid w:val="00F16BDF"/>
    <w:rsid w:val="00F234D4"/>
    <w:rsid w:val="00F24FA8"/>
    <w:rsid w:val="00F40807"/>
    <w:rsid w:val="00F40A49"/>
    <w:rsid w:val="00F50171"/>
    <w:rsid w:val="00F55EF6"/>
    <w:rsid w:val="00F56DDA"/>
    <w:rsid w:val="00F609FC"/>
    <w:rsid w:val="00F60EEB"/>
    <w:rsid w:val="00F65298"/>
    <w:rsid w:val="00F66CCD"/>
    <w:rsid w:val="00F72648"/>
    <w:rsid w:val="00F72AAA"/>
    <w:rsid w:val="00F73089"/>
    <w:rsid w:val="00F82F13"/>
    <w:rsid w:val="00F83F08"/>
    <w:rsid w:val="00F84D23"/>
    <w:rsid w:val="00F8536F"/>
    <w:rsid w:val="00F85C42"/>
    <w:rsid w:val="00FA55B7"/>
    <w:rsid w:val="00FC1A4A"/>
    <w:rsid w:val="00FC534C"/>
    <w:rsid w:val="00FD230C"/>
    <w:rsid w:val="00FE4320"/>
    <w:rsid w:val="00FE4E08"/>
    <w:rsid w:val="00FE71F1"/>
    <w:rsid w:val="00FF2FE5"/>
    <w:rsid w:val="00FF6ACA"/>
    <w:rsid w:val="00FF79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FFFA5"/>
  <w15:docId w15:val="{34A92DDC-977C-4418-9A37-CB830E294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vid" w:eastAsiaTheme="minorHAnsi" w:hAnsi="David" w:cs="David"/>
        <w:sz w:val="26"/>
        <w:szCs w:val="26"/>
        <w:lang w:val="en-US" w:eastAsia="en-US" w:bidi="he-IL"/>
      </w:rPr>
    </w:rPrDefault>
    <w:pPrDefault>
      <w:pPr>
        <w:bidi/>
        <w:spacing w:before="240" w:after="240" w:line="330" w:lineRule="atLeast"/>
        <w:ind w:left="369" w:hanging="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706FA5"/>
    <w:pPr>
      <w:bidi w:val="0"/>
      <w:spacing w:before="100" w:beforeAutospacing="1" w:after="100" w:afterAutospacing="1" w:line="240" w:lineRule="auto"/>
      <w:ind w:left="0" w:firstLine="0"/>
      <w:jc w:val="left"/>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99"/>
    <w:qFormat/>
    <w:rsid w:val="003636A5"/>
    <w:pPr>
      <w:spacing w:before="0" w:line="300" w:lineRule="auto"/>
      <w:ind w:left="0" w:right="567" w:firstLine="0"/>
    </w:pPr>
    <w:rPr>
      <w:rFonts w:ascii="Times New Roman" w:hAnsi="Times New Roman" w:cs="Arial"/>
      <w:color w:val="000000" w:themeColor="text1"/>
      <w:sz w:val="20"/>
      <w:szCs w:val="22"/>
    </w:rPr>
  </w:style>
  <w:style w:type="character" w:customStyle="1" w:styleId="QuoteChar">
    <w:name w:val="Quote Char"/>
    <w:basedOn w:val="DefaultParagraphFont"/>
    <w:link w:val="Quote"/>
    <w:uiPriority w:val="99"/>
    <w:rsid w:val="003636A5"/>
    <w:rPr>
      <w:rFonts w:ascii="Times New Roman" w:hAnsi="Times New Roman" w:cs="Arial"/>
      <w:color w:val="000000" w:themeColor="text1"/>
      <w:sz w:val="20"/>
      <w:szCs w:val="22"/>
    </w:rPr>
  </w:style>
  <w:style w:type="character" w:customStyle="1" w:styleId="default">
    <w:name w:val="default"/>
    <w:rsid w:val="004C6992"/>
    <w:rPr>
      <w:rFonts w:ascii="Times New Roman" w:hAnsi="Times New Roman" w:cs="Times New Roman"/>
      <w:sz w:val="26"/>
      <w:szCs w:val="26"/>
    </w:rPr>
  </w:style>
  <w:style w:type="paragraph" w:styleId="ListParagraph">
    <w:name w:val="List Paragraph"/>
    <w:basedOn w:val="Normal"/>
    <w:uiPriority w:val="34"/>
    <w:qFormat/>
    <w:rsid w:val="004C5186"/>
    <w:pPr>
      <w:ind w:left="720"/>
      <w:contextualSpacing/>
    </w:pPr>
  </w:style>
  <w:style w:type="paragraph" w:customStyle="1" w:styleId="p00">
    <w:name w:val="p00"/>
    <w:basedOn w:val="Normal"/>
    <w:rsid w:val="00AC5E75"/>
    <w:pPr>
      <w:bidi w:val="0"/>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big-number">
    <w:name w:val="big-number"/>
    <w:basedOn w:val="DefaultParagraphFont"/>
    <w:rsid w:val="00AC5E75"/>
  </w:style>
  <w:style w:type="paragraph" w:customStyle="1" w:styleId="a0">
    <w:name w:val="a0"/>
    <w:basedOn w:val="Normal"/>
    <w:rsid w:val="008B4C50"/>
    <w:pPr>
      <w:bidi w:val="0"/>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customStyle="1" w:styleId="a">
    <w:name w:val="a"/>
    <w:basedOn w:val="Normal"/>
    <w:rsid w:val="008B4C50"/>
    <w:pPr>
      <w:bidi w:val="0"/>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customStyle="1" w:styleId="listparagraph0">
    <w:name w:val="listparagraph"/>
    <w:basedOn w:val="Normal"/>
    <w:rsid w:val="00A13366"/>
    <w:pPr>
      <w:bidi w:val="0"/>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3366"/>
    <w:rPr>
      <w:color w:val="0000FF"/>
      <w:u w:val="single"/>
    </w:rPr>
  </w:style>
  <w:style w:type="paragraph" w:styleId="Header">
    <w:name w:val="header"/>
    <w:basedOn w:val="Normal"/>
    <w:link w:val="HeaderChar"/>
    <w:uiPriority w:val="99"/>
    <w:semiHidden/>
    <w:unhideWhenUsed/>
    <w:rsid w:val="00820A13"/>
    <w:pPr>
      <w:bidi w:val="0"/>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820A13"/>
    <w:rPr>
      <w:rFonts w:ascii="Times New Roman" w:eastAsia="Times New Roman" w:hAnsi="Times New Roman" w:cs="Times New Roman"/>
      <w:sz w:val="24"/>
      <w:szCs w:val="24"/>
    </w:rPr>
  </w:style>
  <w:style w:type="paragraph" w:customStyle="1" w:styleId="filenumber0">
    <w:name w:val="filenumber0"/>
    <w:basedOn w:val="Normal"/>
    <w:rsid w:val="00A02577"/>
    <w:pPr>
      <w:bidi w:val="0"/>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1">
    <w:name w:val="אזכור לא מזוהה1"/>
    <w:basedOn w:val="DefaultParagraphFont"/>
    <w:uiPriority w:val="99"/>
    <w:semiHidden/>
    <w:unhideWhenUsed/>
    <w:rsid w:val="00F65298"/>
    <w:rPr>
      <w:color w:val="605E5C"/>
      <w:shd w:val="clear" w:color="auto" w:fill="E1DFDD"/>
    </w:rPr>
  </w:style>
  <w:style w:type="character" w:styleId="FollowedHyperlink">
    <w:name w:val="FollowedHyperlink"/>
    <w:basedOn w:val="DefaultParagraphFont"/>
    <w:uiPriority w:val="99"/>
    <w:semiHidden/>
    <w:unhideWhenUsed/>
    <w:rsid w:val="0090295D"/>
    <w:rPr>
      <w:color w:val="954F72" w:themeColor="followedHyperlink"/>
      <w:u w:val="single"/>
    </w:rPr>
  </w:style>
  <w:style w:type="character" w:customStyle="1" w:styleId="Heading5Char">
    <w:name w:val="Heading 5 Char"/>
    <w:basedOn w:val="DefaultParagraphFont"/>
    <w:link w:val="Heading5"/>
    <w:uiPriority w:val="9"/>
    <w:rsid w:val="00706FA5"/>
    <w:rPr>
      <w:rFonts w:ascii="Times New Roman" w:eastAsia="Times New Roman" w:hAnsi="Times New Roman" w:cs="Times New Roman"/>
      <w:b/>
      <w:bCs/>
      <w:sz w:val="20"/>
      <w:szCs w:val="20"/>
    </w:rPr>
  </w:style>
  <w:style w:type="paragraph" w:customStyle="1" w:styleId="10">
    <w:name w:val="10"/>
    <w:basedOn w:val="Normal"/>
    <w:rsid w:val="00DB3578"/>
    <w:pPr>
      <w:bidi w:val="0"/>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86EBC"/>
    <w:pPr>
      <w:bidi w:val="0"/>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78FE"/>
    <w:pPr>
      <w:spacing w:before="0"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978FE"/>
    <w:rPr>
      <w:rFonts w:ascii="Tahoma" w:hAnsi="Tahoma" w:cs="Tahoma"/>
      <w:sz w:val="18"/>
      <w:szCs w:val="18"/>
    </w:rPr>
  </w:style>
  <w:style w:type="paragraph" w:customStyle="1" w:styleId="ruller4">
    <w:name w:val="ruller4"/>
    <w:basedOn w:val="Normal"/>
    <w:rsid w:val="006375A6"/>
    <w:pPr>
      <w:bidi w:val="0"/>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43479"/>
    <w:rPr>
      <w:sz w:val="16"/>
      <w:szCs w:val="16"/>
    </w:rPr>
  </w:style>
  <w:style w:type="paragraph" w:styleId="CommentText">
    <w:name w:val="annotation text"/>
    <w:basedOn w:val="Normal"/>
    <w:link w:val="CommentTextChar"/>
    <w:uiPriority w:val="99"/>
    <w:semiHidden/>
    <w:unhideWhenUsed/>
    <w:rsid w:val="00B43479"/>
    <w:pPr>
      <w:spacing w:line="240" w:lineRule="auto"/>
    </w:pPr>
    <w:rPr>
      <w:sz w:val="20"/>
      <w:szCs w:val="20"/>
    </w:rPr>
  </w:style>
  <w:style w:type="character" w:customStyle="1" w:styleId="CommentTextChar">
    <w:name w:val="Comment Text Char"/>
    <w:basedOn w:val="DefaultParagraphFont"/>
    <w:link w:val="CommentText"/>
    <w:uiPriority w:val="99"/>
    <w:semiHidden/>
    <w:rsid w:val="00B43479"/>
    <w:rPr>
      <w:sz w:val="20"/>
      <w:szCs w:val="20"/>
    </w:rPr>
  </w:style>
  <w:style w:type="paragraph" w:styleId="CommentSubject">
    <w:name w:val="annotation subject"/>
    <w:basedOn w:val="CommentText"/>
    <w:next w:val="CommentText"/>
    <w:link w:val="CommentSubjectChar"/>
    <w:uiPriority w:val="99"/>
    <w:semiHidden/>
    <w:unhideWhenUsed/>
    <w:rsid w:val="00B43479"/>
    <w:rPr>
      <w:b/>
      <w:bCs/>
    </w:rPr>
  </w:style>
  <w:style w:type="character" w:customStyle="1" w:styleId="CommentSubjectChar">
    <w:name w:val="Comment Subject Char"/>
    <w:basedOn w:val="CommentTextChar"/>
    <w:link w:val="CommentSubject"/>
    <w:uiPriority w:val="99"/>
    <w:semiHidden/>
    <w:rsid w:val="00B43479"/>
    <w:rPr>
      <w:b/>
      <w:bCs/>
      <w:sz w:val="20"/>
      <w:szCs w:val="20"/>
    </w:rPr>
  </w:style>
  <w:style w:type="paragraph" w:styleId="Title">
    <w:name w:val="Title"/>
    <w:basedOn w:val="Normal"/>
    <w:link w:val="TitleChar"/>
    <w:qFormat/>
    <w:rsid w:val="00673CFC"/>
    <w:pPr>
      <w:spacing w:before="0" w:after="0" w:line="240" w:lineRule="auto"/>
      <w:ind w:left="0" w:firstLine="0"/>
      <w:jc w:val="center"/>
    </w:pPr>
    <w:rPr>
      <w:rFonts w:ascii="Times New Roman" w:eastAsia="Times New Roman" w:hAnsi="Times New Roman" w:cs="Times New Roman"/>
      <w:b/>
      <w:bCs/>
      <w:sz w:val="32"/>
      <w:szCs w:val="32"/>
      <w:lang w:eastAsia="he-IL"/>
    </w:rPr>
  </w:style>
  <w:style w:type="character" w:customStyle="1" w:styleId="TitleChar">
    <w:name w:val="Title Char"/>
    <w:basedOn w:val="DefaultParagraphFont"/>
    <w:link w:val="Title"/>
    <w:rsid w:val="00673CFC"/>
    <w:rPr>
      <w:rFonts w:ascii="Times New Roman" w:eastAsia="Times New Roman" w:hAnsi="Times New Roman" w:cs="Times New Roman"/>
      <w:b/>
      <w:bCs/>
      <w:sz w:val="32"/>
      <w:szCs w:val="32"/>
      <w:lang w:eastAsia="he-IL"/>
    </w:rPr>
  </w:style>
  <w:style w:type="paragraph" w:styleId="BodyText">
    <w:name w:val="Body Text"/>
    <w:basedOn w:val="Normal"/>
    <w:link w:val="BodyTextChar"/>
    <w:rsid w:val="00673CFC"/>
    <w:pPr>
      <w:tabs>
        <w:tab w:val="left" w:pos="5650"/>
      </w:tabs>
      <w:spacing w:before="0" w:after="0" w:line="240" w:lineRule="auto"/>
      <w:ind w:left="0" w:firstLine="0"/>
      <w:jc w:val="left"/>
    </w:pPr>
    <w:rPr>
      <w:rFonts w:ascii="Times New Roman" w:eastAsia="Times New Roman" w:hAnsi="Times New Roman"/>
      <w:b/>
      <w:bCs/>
      <w:sz w:val="28"/>
      <w:szCs w:val="28"/>
      <w:lang w:eastAsia="he-IL"/>
    </w:rPr>
  </w:style>
  <w:style w:type="character" w:customStyle="1" w:styleId="BodyTextChar">
    <w:name w:val="Body Text Char"/>
    <w:basedOn w:val="DefaultParagraphFont"/>
    <w:link w:val="BodyText"/>
    <w:rsid w:val="00673CFC"/>
    <w:rPr>
      <w:rFonts w:ascii="Times New Roman" w:eastAsia="Times New Roman" w:hAnsi="Times New Roman"/>
      <w:b/>
      <w:bCs/>
      <w:sz w:val="28"/>
      <w:szCs w:val="2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81987">
      <w:bodyDiv w:val="1"/>
      <w:marLeft w:val="0"/>
      <w:marRight w:val="0"/>
      <w:marTop w:val="0"/>
      <w:marBottom w:val="0"/>
      <w:divBdr>
        <w:top w:val="none" w:sz="0" w:space="0" w:color="auto"/>
        <w:left w:val="none" w:sz="0" w:space="0" w:color="auto"/>
        <w:bottom w:val="none" w:sz="0" w:space="0" w:color="auto"/>
        <w:right w:val="none" w:sz="0" w:space="0" w:color="auto"/>
      </w:divBdr>
    </w:div>
    <w:div w:id="235434888">
      <w:bodyDiv w:val="1"/>
      <w:marLeft w:val="0"/>
      <w:marRight w:val="0"/>
      <w:marTop w:val="0"/>
      <w:marBottom w:val="0"/>
      <w:divBdr>
        <w:top w:val="none" w:sz="0" w:space="0" w:color="auto"/>
        <w:left w:val="none" w:sz="0" w:space="0" w:color="auto"/>
        <w:bottom w:val="none" w:sz="0" w:space="0" w:color="auto"/>
        <w:right w:val="none" w:sz="0" w:space="0" w:color="auto"/>
      </w:divBdr>
    </w:div>
    <w:div w:id="444891058">
      <w:bodyDiv w:val="1"/>
      <w:marLeft w:val="0"/>
      <w:marRight w:val="0"/>
      <w:marTop w:val="0"/>
      <w:marBottom w:val="0"/>
      <w:divBdr>
        <w:top w:val="none" w:sz="0" w:space="0" w:color="auto"/>
        <w:left w:val="none" w:sz="0" w:space="0" w:color="auto"/>
        <w:bottom w:val="none" w:sz="0" w:space="0" w:color="auto"/>
        <w:right w:val="none" w:sz="0" w:space="0" w:color="auto"/>
      </w:divBdr>
    </w:div>
    <w:div w:id="544102031">
      <w:bodyDiv w:val="1"/>
      <w:marLeft w:val="0"/>
      <w:marRight w:val="0"/>
      <w:marTop w:val="0"/>
      <w:marBottom w:val="0"/>
      <w:divBdr>
        <w:top w:val="none" w:sz="0" w:space="0" w:color="auto"/>
        <w:left w:val="none" w:sz="0" w:space="0" w:color="auto"/>
        <w:bottom w:val="none" w:sz="0" w:space="0" w:color="auto"/>
        <w:right w:val="none" w:sz="0" w:space="0" w:color="auto"/>
      </w:divBdr>
    </w:div>
    <w:div w:id="561604446">
      <w:bodyDiv w:val="1"/>
      <w:marLeft w:val="0"/>
      <w:marRight w:val="0"/>
      <w:marTop w:val="0"/>
      <w:marBottom w:val="0"/>
      <w:divBdr>
        <w:top w:val="none" w:sz="0" w:space="0" w:color="auto"/>
        <w:left w:val="none" w:sz="0" w:space="0" w:color="auto"/>
        <w:bottom w:val="none" w:sz="0" w:space="0" w:color="auto"/>
        <w:right w:val="none" w:sz="0" w:space="0" w:color="auto"/>
      </w:divBdr>
    </w:div>
    <w:div w:id="798497254">
      <w:bodyDiv w:val="1"/>
      <w:marLeft w:val="0"/>
      <w:marRight w:val="0"/>
      <w:marTop w:val="0"/>
      <w:marBottom w:val="0"/>
      <w:divBdr>
        <w:top w:val="none" w:sz="0" w:space="0" w:color="auto"/>
        <w:left w:val="none" w:sz="0" w:space="0" w:color="auto"/>
        <w:bottom w:val="none" w:sz="0" w:space="0" w:color="auto"/>
        <w:right w:val="none" w:sz="0" w:space="0" w:color="auto"/>
      </w:divBdr>
    </w:div>
    <w:div w:id="1290891350">
      <w:bodyDiv w:val="1"/>
      <w:marLeft w:val="0"/>
      <w:marRight w:val="0"/>
      <w:marTop w:val="0"/>
      <w:marBottom w:val="0"/>
      <w:divBdr>
        <w:top w:val="none" w:sz="0" w:space="0" w:color="auto"/>
        <w:left w:val="none" w:sz="0" w:space="0" w:color="auto"/>
        <w:bottom w:val="none" w:sz="0" w:space="0" w:color="auto"/>
        <w:right w:val="none" w:sz="0" w:space="0" w:color="auto"/>
      </w:divBdr>
    </w:div>
    <w:div w:id="1322469908">
      <w:bodyDiv w:val="1"/>
      <w:marLeft w:val="0"/>
      <w:marRight w:val="0"/>
      <w:marTop w:val="0"/>
      <w:marBottom w:val="0"/>
      <w:divBdr>
        <w:top w:val="none" w:sz="0" w:space="0" w:color="auto"/>
        <w:left w:val="none" w:sz="0" w:space="0" w:color="auto"/>
        <w:bottom w:val="none" w:sz="0" w:space="0" w:color="auto"/>
        <w:right w:val="none" w:sz="0" w:space="0" w:color="auto"/>
      </w:divBdr>
    </w:div>
    <w:div w:id="1346861082">
      <w:bodyDiv w:val="1"/>
      <w:marLeft w:val="0"/>
      <w:marRight w:val="0"/>
      <w:marTop w:val="0"/>
      <w:marBottom w:val="0"/>
      <w:divBdr>
        <w:top w:val="none" w:sz="0" w:space="0" w:color="auto"/>
        <w:left w:val="none" w:sz="0" w:space="0" w:color="auto"/>
        <w:bottom w:val="none" w:sz="0" w:space="0" w:color="auto"/>
        <w:right w:val="none" w:sz="0" w:space="0" w:color="auto"/>
      </w:divBdr>
    </w:div>
    <w:div w:id="135267916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377586045">
      <w:bodyDiv w:val="1"/>
      <w:marLeft w:val="0"/>
      <w:marRight w:val="0"/>
      <w:marTop w:val="0"/>
      <w:marBottom w:val="0"/>
      <w:divBdr>
        <w:top w:val="none" w:sz="0" w:space="0" w:color="auto"/>
        <w:left w:val="none" w:sz="0" w:space="0" w:color="auto"/>
        <w:bottom w:val="none" w:sz="0" w:space="0" w:color="auto"/>
        <w:right w:val="none" w:sz="0" w:space="0" w:color="auto"/>
      </w:divBdr>
    </w:div>
    <w:div w:id="1394308293">
      <w:bodyDiv w:val="1"/>
      <w:marLeft w:val="0"/>
      <w:marRight w:val="0"/>
      <w:marTop w:val="0"/>
      <w:marBottom w:val="0"/>
      <w:divBdr>
        <w:top w:val="none" w:sz="0" w:space="0" w:color="auto"/>
        <w:left w:val="none" w:sz="0" w:space="0" w:color="auto"/>
        <w:bottom w:val="none" w:sz="0" w:space="0" w:color="auto"/>
        <w:right w:val="none" w:sz="0" w:space="0" w:color="auto"/>
      </w:divBdr>
    </w:div>
    <w:div w:id="1591309514">
      <w:bodyDiv w:val="1"/>
      <w:marLeft w:val="0"/>
      <w:marRight w:val="0"/>
      <w:marTop w:val="0"/>
      <w:marBottom w:val="0"/>
      <w:divBdr>
        <w:top w:val="none" w:sz="0" w:space="0" w:color="auto"/>
        <w:left w:val="none" w:sz="0" w:space="0" w:color="auto"/>
        <w:bottom w:val="none" w:sz="0" w:space="0" w:color="auto"/>
        <w:right w:val="none" w:sz="0" w:space="0" w:color="auto"/>
      </w:divBdr>
    </w:div>
    <w:div w:id="1740595318">
      <w:bodyDiv w:val="1"/>
      <w:marLeft w:val="0"/>
      <w:marRight w:val="0"/>
      <w:marTop w:val="0"/>
      <w:marBottom w:val="0"/>
      <w:divBdr>
        <w:top w:val="none" w:sz="0" w:space="0" w:color="auto"/>
        <w:left w:val="none" w:sz="0" w:space="0" w:color="auto"/>
        <w:bottom w:val="none" w:sz="0" w:space="0" w:color="auto"/>
        <w:right w:val="none" w:sz="0" w:space="0" w:color="auto"/>
      </w:divBdr>
    </w:div>
    <w:div w:id="1758020233">
      <w:bodyDiv w:val="1"/>
      <w:marLeft w:val="0"/>
      <w:marRight w:val="0"/>
      <w:marTop w:val="0"/>
      <w:marBottom w:val="0"/>
      <w:divBdr>
        <w:top w:val="none" w:sz="0" w:space="0" w:color="auto"/>
        <w:left w:val="none" w:sz="0" w:space="0" w:color="auto"/>
        <w:bottom w:val="none" w:sz="0" w:space="0" w:color="auto"/>
        <w:right w:val="none" w:sz="0" w:space="0" w:color="auto"/>
      </w:divBdr>
    </w:div>
    <w:div w:id="1904488215">
      <w:bodyDiv w:val="1"/>
      <w:marLeft w:val="0"/>
      <w:marRight w:val="0"/>
      <w:marTop w:val="0"/>
      <w:marBottom w:val="0"/>
      <w:divBdr>
        <w:top w:val="none" w:sz="0" w:space="0" w:color="auto"/>
        <w:left w:val="none" w:sz="0" w:space="0" w:color="auto"/>
        <w:bottom w:val="none" w:sz="0" w:space="0" w:color="auto"/>
        <w:right w:val="none" w:sz="0" w:space="0" w:color="auto"/>
      </w:divBdr>
    </w:div>
    <w:div w:id="1958415563">
      <w:bodyDiv w:val="1"/>
      <w:marLeft w:val="0"/>
      <w:marRight w:val="0"/>
      <w:marTop w:val="0"/>
      <w:marBottom w:val="0"/>
      <w:divBdr>
        <w:top w:val="none" w:sz="0" w:space="0" w:color="auto"/>
        <w:left w:val="none" w:sz="0" w:space="0" w:color="auto"/>
        <w:bottom w:val="none" w:sz="0" w:space="0" w:color="auto"/>
        <w:right w:val="none" w:sz="0" w:space="0" w:color="auto"/>
      </w:divBdr>
    </w:div>
    <w:div w:id="209250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vo.co.il/law/91073/3T7.a" TargetMode="External"/><Relationship Id="rId18" Type="http://schemas.openxmlformats.org/officeDocument/2006/relationships/hyperlink" Target="http://www.nevo.co.il/law/91073/3T4.4" TargetMode="External"/><Relationship Id="rId26" Type="http://schemas.openxmlformats.org/officeDocument/2006/relationships/hyperlink" Target="http://www.nevo.co.il/law/91073/3T14.f" TargetMode="External"/><Relationship Id="rId39" Type="http://schemas.openxmlformats.org/officeDocument/2006/relationships/hyperlink" Target="http://www.nevo.co.il/case/18712147" TargetMode="External"/><Relationship Id="rId3" Type="http://schemas.openxmlformats.org/officeDocument/2006/relationships/styles" Target="styles.xml"/><Relationship Id="rId21" Type="http://schemas.openxmlformats.org/officeDocument/2006/relationships/hyperlink" Target="http://www.nevo.co.il/law/91073/3T14.f" TargetMode="External"/><Relationship Id="rId34" Type="http://schemas.openxmlformats.org/officeDocument/2006/relationships/image" Target="media/image7.emf"/><Relationship Id="rId42" Type="http://schemas.openxmlformats.org/officeDocument/2006/relationships/hyperlink" Target="http://www.nevo.co.il/case/25333950" TargetMode="External"/><Relationship Id="rId47" Type="http://schemas.openxmlformats.org/officeDocument/2006/relationships/hyperlink" Target="http://www.nevo.co.il/case/21474843" TargetMode="External"/><Relationship Id="rId7" Type="http://schemas.openxmlformats.org/officeDocument/2006/relationships/image" Target="media/image2.emf"/><Relationship Id="rId12" Type="http://schemas.openxmlformats.org/officeDocument/2006/relationships/hyperlink" Target="http://www.nevo.co.il/law/91073/3T4.1" TargetMode="External"/><Relationship Id="rId17" Type="http://schemas.openxmlformats.org/officeDocument/2006/relationships/hyperlink" Target="http://www.nevo.co.il/case/5915095" TargetMode="External"/><Relationship Id="rId25" Type="http://schemas.openxmlformats.org/officeDocument/2006/relationships/hyperlink" Target="http://www.nevo.co.il/law/91073/3T" TargetMode="External"/><Relationship Id="rId33" Type="http://schemas.openxmlformats.org/officeDocument/2006/relationships/image" Target="media/image6.png"/><Relationship Id="rId38" Type="http://schemas.openxmlformats.org/officeDocument/2006/relationships/hyperlink" Target="http://www.nevo.co.il/law/71809" TargetMode="External"/><Relationship Id="rId46"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nevo.co.il/law/91073/3T7.a" TargetMode="External"/><Relationship Id="rId20" Type="http://schemas.openxmlformats.org/officeDocument/2006/relationships/hyperlink" Target="http://www.nevo.co.il/law/91073/3T14.f" TargetMode="External"/><Relationship Id="rId29" Type="http://schemas.openxmlformats.org/officeDocument/2006/relationships/hyperlink" Target="http://www.nevo.co.il/case/25332941" TargetMode="External"/><Relationship Id="rId41" Type="http://schemas.openxmlformats.org/officeDocument/2006/relationships/hyperlink" Target="http://www.nevo.co.il/case/21475548"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nevo.co.il/law/91073/3T" TargetMode="External"/><Relationship Id="rId24" Type="http://schemas.openxmlformats.org/officeDocument/2006/relationships/hyperlink" Target="http://www.nevo.co.il/safrut/bookgroup/1227" TargetMode="External"/><Relationship Id="rId32" Type="http://schemas.openxmlformats.org/officeDocument/2006/relationships/hyperlink" Target="http://www.nevo.co.il/law/91073/14.e" TargetMode="External"/><Relationship Id="rId37" Type="http://schemas.openxmlformats.org/officeDocument/2006/relationships/hyperlink" Target="http://www.nevo.co.il/case/22303451" TargetMode="External"/><Relationship Id="rId40" Type="http://schemas.openxmlformats.org/officeDocument/2006/relationships/hyperlink" Target="http://www.nevo.co.il/case/25126226" TargetMode="External"/><Relationship Id="rId45"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www.nevo.co.il/law/91073/3T4.4" TargetMode="External"/><Relationship Id="rId23" Type="http://schemas.openxmlformats.org/officeDocument/2006/relationships/hyperlink" Target="http://www.nevo.co.il/law/91073/3T14.f" TargetMode="External"/><Relationship Id="rId28" Type="http://schemas.openxmlformats.org/officeDocument/2006/relationships/hyperlink" Target="http://www.nevo.co.il/law/91073/3T" TargetMode="External"/><Relationship Id="rId36" Type="http://schemas.openxmlformats.org/officeDocument/2006/relationships/hyperlink" Target="http://www.nevo.co.il/case/5610124" TargetMode="External"/><Relationship Id="rId49"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http://www.nevo.co.il/law/91073/3T14.f" TargetMode="External"/><Relationship Id="rId31" Type="http://schemas.openxmlformats.org/officeDocument/2006/relationships/hyperlink" Target="http://www.nevo.co.il/law/91073/3T14.f" TargetMode="External"/><Relationship Id="rId44" Type="http://schemas.openxmlformats.org/officeDocument/2006/relationships/hyperlink" Target="http://www.nevo.co.il/law/72762"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nevo.co.il/safrut/bookgroup/1227" TargetMode="External"/><Relationship Id="rId22" Type="http://schemas.openxmlformats.org/officeDocument/2006/relationships/hyperlink" Target="http://www.nevo.co.il/safrut/bookgroup/2057" TargetMode="External"/><Relationship Id="rId27" Type="http://schemas.openxmlformats.org/officeDocument/2006/relationships/hyperlink" Target="http://www.nevo.co.il/law/91073/3T14.f" TargetMode="External"/><Relationship Id="rId30" Type="http://schemas.openxmlformats.org/officeDocument/2006/relationships/hyperlink" Target="http://www.nevo.co.il/law/91073/14.e" TargetMode="External"/><Relationship Id="rId35" Type="http://schemas.openxmlformats.org/officeDocument/2006/relationships/hyperlink" Target="http://www.nevo.co.il/case/5750809" TargetMode="External"/><Relationship Id="rId43" Type="http://schemas.openxmlformats.org/officeDocument/2006/relationships/hyperlink" Target="http://www.nevo.co.il/law/72762" TargetMode="External"/><Relationship Id="rId48"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8C9BA-65AC-4200-8BF3-8B035B468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23</Pages>
  <Words>7404</Words>
  <Characters>37021</Characters>
  <Application>Microsoft Office Word</Application>
  <DocSecurity>0</DocSecurity>
  <Lines>308</Lines>
  <Paragraphs>88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IPLAN</Company>
  <LinksUpToDate>false</LinksUpToDate>
  <CharactersWithSpaces>44337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הלל גלקופ</dc:creator>
  <cp:lastModifiedBy>User</cp:lastModifiedBy>
  <cp:revision>55</cp:revision>
  <dcterms:created xsi:type="dcterms:W3CDTF">2025-03-22T23:46:00Z</dcterms:created>
  <dcterms:modified xsi:type="dcterms:W3CDTF">2025-04-08T06:42:00Z</dcterms:modified>
</cp:coreProperties>
</file>