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65B" w:rsidRDefault="0098265B" w:rsidP="0098265B">
      <w:pPr>
        <w:pStyle w:val="1"/>
        <w:keepNext w:val="0"/>
        <w:keepLines w:val="0"/>
      </w:pPr>
      <w:r>
        <w:rPr>
          <w:rtl/>
        </w:rPr>
        <w:t>טיוטת תקנות</w:t>
      </w:r>
    </w:p>
    <w:p w:rsidR="0098265B" w:rsidRDefault="0098265B" w:rsidP="0098265B">
      <w:pPr>
        <w:rPr>
          <w:rtl/>
        </w:rPr>
      </w:pPr>
    </w:p>
    <w:p w:rsidR="0098265B" w:rsidRDefault="0098265B" w:rsidP="0098265B">
      <w:pPr>
        <w:pStyle w:val="4"/>
        <w:rPr>
          <w:rtl/>
        </w:rPr>
      </w:pPr>
      <w:r>
        <w:rPr>
          <w:rFonts w:hint="cs"/>
          <w:rtl/>
        </w:rPr>
        <w:t>שם התקנות המוצעות</w:t>
      </w:r>
    </w:p>
    <w:p w:rsidR="0098265B" w:rsidRDefault="0098265B" w:rsidP="00273376">
      <w:r>
        <w:rPr>
          <w:rFonts w:hint="cs"/>
          <w:rtl/>
        </w:rPr>
        <w:t>תקנות ה</w:t>
      </w:r>
      <w:r w:rsidR="00273376">
        <w:rPr>
          <w:rFonts w:hint="cs"/>
          <w:rtl/>
        </w:rPr>
        <w:t>תכנון והבנייה (רישוי בנייה) (הוראת שעה), התשפ"ה-2025</w:t>
      </w:r>
    </w:p>
    <w:p w:rsidR="0098265B" w:rsidRDefault="0098265B" w:rsidP="0098265B">
      <w:pPr>
        <w:rPr>
          <w:rtl/>
        </w:rPr>
      </w:pPr>
    </w:p>
    <w:p w:rsidR="0098265B" w:rsidRDefault="0098265B" w:rsidP="0098265B">
      <w:pPr>
        <w:rPr>
          <w:rtl/>
        </w:rPr>
      </w:pPr>
    </w:p>
    <w:p w:rsidR="0098265B" w:rsidRDefault="0098265B" w:rsidP="0098265B">
      <w:pPr>
        <w:pStyle w:val="4"/>
        <w:rPr>
          <w:rtl/>
        </w:rPr>
      </w:pPr>
      <w:r>
        <w:rPr>
          <w:rFonts w:hint="cs"/>
          <w:rtl/>
        </w:rPr>
        <w:t xml:space="preserve">מטרת התקנות המוצעות והצורך בהן </w:t>
      </w:r>
      <w:r>
        <w:rPr>
          <w:rFonts w:hint="cs"/>
          <w:b w:val="0"/>
          <w:bCs w:val="0"/>
          <w:szCs w:val="24"/>
          <w:rtl/>
        </w:rPr>
        <w:t>[למילוי רק בעת הפצה להערות הציבור]</w:t>
      </w:r>
    </w:p>
    <w:p w:rsidR="0098265B" w:rsidRDefault="00803EEB" w:rsidP="00B31058">
      <w:pPr>
        <w:rPr>
          <w:rtl/>
        </w:rPr>
      </w:pPr>
      <w:r w:rsidRPr="00803EEB">
        <w:rPr>
          <w:rtl/>
        </w:rPr>
        <w:t xml:space="preserve">בשל המצב הביטחוני השורר ברחבי הארץ </w:t>
      </w:r>
      <w:r>
        <w:rPr>
          <w:rFonts w:hint="cs"/>
          <w:rtl/>
        </w:rPr>
        <w:t>מאז תחילת מבצע "עם כלביא"</w:t>
      </w:r>
      <w:r w:rsidRPr="00803EEB">
        <w:rPr>
          <w:rtl/>
        </w:rPr>
        <w:t>, ועל מנת לתת מענה מהיר ככל הניתן לצורך במבני מגורים הכוללים מרחבים מוגנים תקניים, מוצע לקבוע הוראה שעה המחייבת מתן תעודת גמר למבני מגורים חדשים, אף אם לא הושלמו כל התנאים שנקבעו בהיתר להוצאת תעודת גמר, וזאת במקרים העונים על התנאים המפורטים בתקנ</w:t>
      </w:r>
      <w:r w:rsidR="00B31058">
        <w:rPr>
          <w:rFonts w:hint="cs"/>
          <w:rtl/>
        </w:rPr>
        <w:t>ות המוצעות</w:t>
      </w:r>
      <w:r w:rsidRPr="00803EEB">
        <w:rPr>
          <w:rtl/>
        </w:rPr>
        <w:t>.</w:t>
      </w:r>
    </w:p>
    <w:p w:rsidR="0098265B" w:rsidRDefault="0098265B" w:rsidP="0098265B">
      <w:pPr>
        <w:rPr>
          <w:rtl/>
        </w:rPr>
      </w:pPr>
    </w:p>
    <w:p w:rsidR="0098265B" w:rsidRDefault="0098265B" w:rsidP="0098265B">
      <w:pPr>
        <w:pStyle w:val="4"/>
      </w:pPr>
      <w:r>
        <w:rPr>
          <w:rFonts w:hint="cs"/>
          <w:rtl/>
        </w:rPr>
        <w:t xml:space="preserve">להלן נוסח טיוטת התקנות המוצעות: </w:t>
      </w:r>
    </w:p>
    <w:p w:rsidR="0098265B" w:rsidRDefault="0098265B" w:rsidP="0098265B">
      <w:pPr>
        <w:bidi w:val="0"/>
      </w:pPr>
      <w:r>
        <w:rPr>
          <w:rtl/>
        </w:rPr>
        <w:br w:type="page"/>
      </w:r>
    </w:p>
    <w:p w:rsidR="0098265B" w:rsidRDefault="0098265B" w:rsidP="00F47FD9">
      <w:pPr>
        <w:pStyle w:val="HeadMitparsemetBaze"/>
        <w:keepNext w:val="0"/>
        <w:keepLines w:val="0"/>
        <w:pageBreakBefore w:val="0"/>
        <w:rPr>
          <w:rFonts w:hint="cs"/>
          <w:rtl/>
        </w:rPr>
      </w:pPr>
      <w:r>
        <w:rPr>
          <w:rtl/>
        </w:rPr>
        <w:lastRenderedPageBreak/>
        <w:t>טיוטת תקנות מטעם משרד</w:t>
      </w:r>
      <w:r w:rsidR="00F47FD9">
        <w:rPr>
          <w:rFonts w:hint="cs"/>
          <w:rtl/>
        </w:rPr>
        <w:t xml:space="preserve"> הפנים</w:t>
      </w:r>
      <w:r>
        <w:rPr>
          <w:rtl/>
        </w:rPr>
        <w:t xml:space="preserve">: </w:t>
      </w:r>
    </w:p>
    <w:p w:rsidR="0098265B" w:rsidRDefault="0098265B" w:rsidP="0078311C">
      <w:pPr>
        <w:pStyle w:val="HeadHatzaotHok"/>
        <w:keepNext w:val="0"/>
        <w:keepLines w:val="0"/>
        <w:rPr>
          <w:rtl/>
        </w:rPr>
      </w:pPr>
      <w:r>
        <w:rPr>
          <w:rtl/>
        </w:rPr>
        <w:t xml:space="preserve">טיוטת תקנות </w:t>
      </w:r>
      <w:r w:rsidR="0078311C">
        <w:rPr>
          <w:rFonts w:hint="cs"/>
          <w:rtl/>
        </w:rPr>
        <w:t>התכנון והבנייה (רישוי בנייה) (הוראת שעה), התשפ"ה-2025</w:t>
      </w:r>
    </w:p>
    <w:tbl>
      <w:tblPr>
        <w:bidiVisual/>
        <w:tblW w:w="0"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5898"/>
      </w:tblGrid>
      <w:tr w:rsidR="0098265B" w:rsidTr="0098265B">
        <w:trPr>
          <w:cantSplit/>
          <w:trHeight w:val="60"/>
        </w:trPr>
        <w:tc>
          <w:tcPr>
            <w:tcW w:w="1871" w:type="dxa"/>
          </w:tcPr>
          <w:p w:rsidR="0098265B" w:rsidRDefault="0098265B">
            <w:pPr>
              <w:pStyle w:val="TableSideHeading"/>
              <w:rPr>
                <w:rtl/>
              </w:rPr>
            </w:pPr>
          </w:p>
        </w:tc>
        <w:tc>
          <w:tcPr>
            <w:tcW w:w="624" w:type="dxa"/>
          </w:tcPr>
          <w:p w:rsidR="0098265B" w:rsidRDefault="0098265B">
            <w:pPr>
              <w:pStyle w:val="TableText"/>
            </w:pPr>
          </w:p>
        </w:tc>
        <w:tc>
          <w:tcPr>
            <w:tcW w:w="7146" w:type="dxa"/>
            <w:gridSpan w:val="3"/>
            <w:hideMark/>
          </w:tcPr>
          <w:p w:rsidR="0098265B" w:rsidRDefault="0098265B" w:rsidP="00FF5866">
            <w:pPr>
              <w:pStyle w:val="TableBlock"/>
            </w:pPr>
            <w:r>
              <w:rPr>
                <w:rtl/>
              </w:rPr>
              <w:t>בתוקף סמכותי לפי סעיפים</w:t>
            </w:r>
            <w:r w:rsidR="00EF1E43">
              <w:rPr>
                <w:rFonts w:hint="cs"/>
                <w:rtl/>
              </w:rPr>
              <w:t xml:space="preserve"> 1</w:t>
            </w:r>
            <w:r w:rsidR="00FF5866">
              <w:rPr>
                <w:rFonts w:hint="cs"/>
                <w:rtl/>
              </w:rPr>
              <w:t>57א</w:t>
            </w:r>
            <w:r w:rsidR="00EF1E43">
              <w:rPr>
                <w:rFonts w:hint="cs"/>
                <w:rtl/>
              </w:rPr>
              <w:t xml:space="preserve"> ו-265</w:t>
            </w:r>
            <w:r>
              <w:rPr>
                <w:rtl/>
              </w:rPr>
              <w:t xml:space="preserve"> </w:t>
            </w:r>
            <w:r w:rsidR="00EF1E43" w:rsidRPr="00EF1E43">
              <w:rPr>
                <w:rtl/>
              </w:rPr>
              <w:t>לחוק התכנון והבנייה, התשכ"ה-1965</w:t>
            </w:r>
            <w:r w:rsidR="00E171CE" w:rsidRPr="00412E72">
              <w:rPr>
                <w:rStyle w:val="a7"/>
                <w:sz w:val="24"/>
                <w:szCs w:val="24"/>
                <w:rtl/>
              </w:rPr>
              <w:footnoteReference w:id="1"/>
            </w:r>
            <w:r w:rsidR="00EF1E43" w:rsidRPr="00EF1E43">
              <w:rPr>
                <w:rtl/>
              </w:rPr>
              <w:t xml:space="preserve">  (להלן – החוק), ולאחר התייעצות עם המועצה הארצית לתכנון ולבנייה, אני מתקין תקנות אלה:</w:t>
            </w:r>
          </w:p>
        </w:tc>
      </w:tr>
      <w:tr w:rsidR="0098265B" w:rsidTr="0098265B">
        <w:trPr>
          <w:cantSplit/>
          <w:trHeight w:val="60"/>
        </w:trPr>
        <w:tc>
          <w:tcPr>
            <w:tcW w:w="1871" w:type="dxa"/>
          </w:tcPr>
          <w:p w:rsidR="0098265B" w:rsidRDefault="0098265B">
            <w:pPr>
              <w:pStyle w:val="TableSideHeading"/>
            </w:pPr>
          </w:p>
        </w:tc>
        <w:tc>
          <w:tcPr>
            <w:tcW w:w="624" w:type="dxa"/>
          </w:tcPr>
          <w:p w:rsidR="0098265B" w:rsidRDefault="0098265B">
            <w:pPr>
              <w:pStyle w:val="TableText"/>
            </w:pPr>
          </w:p>
        </w:tc>
        <w:tc>
          <w:tcPr>
            <w:tcW w:w="7146" w:type="dxa"/>
            <w:gridSpan w:val="3"/>
          </w:tcPr>
          <w:p w:rsidR="0098265B" w:rsidRPr="00CE2096" w:rsidRDefault="0098265B">
            <w:pPr>
              <w:pStyle w:val="TableHead"/>
            </w:pPr>
          </w:p>
        </w:tc>
      </w:tr>
      <w:tr w:rsidR="0098265B" w:rsidTr="0098265B">
        <w:trPr>
          <w:cantSplit/>
          <w:trHeight w:val="60"/>
        </w:trPr>
        <w:tc>
          <w:tcPr>
            <w:tcW w:w="1871" w:type="dxa"/>
          </w:tcPr>
          <w:p w:rsidR="0098265B" w:rsidRDefault="00FF5866">
            <w:pPr>
              <w:pStyle w:val="TableSideHeading"/>
            </w:pPr>
            <w:r>
              <w:rPr>
                <w:rFonts w:hint="cs"/>
                <w:rtl/>
              </w:rPr>
              <w:t>הוראת שעה</w:t>
            </w:r>
          </w:p>
        </w:tc>
        <w:tc>
          <w:tcPr>
            <w:tcW w:w="624" w:type="dxa"/>
          </w:tcPr>
          <w:p w:rsidR="0098265B" w:rsidRDefault="0098265B" w:rsidP="0098265B">
            <w:pPr>
              <w:pStyle w:val="TableText"/>
              <w:numPr>
                <w:ilvl w:val="0"/>
                <w:numId w:val="2"/>
              </w:numPr>
            </w:pPr>
          </w:p>
        </w:tc>
        <w:tc>
          <w:tcPr>
            <w:tcW w:w="7146" w:type="dxa"/>
            <w:gridSpan w:val="3"/>
          </w:tcPr>
          <w:p w:rsidR="0098265B" w:rsidRDefault="00FF5866" w:rsidP="00A002A2">
            <w:pPr>
              <w:pStyle w:val="TableBlock"/>
              <w:rPr>
                <w:rFonts w:hint="cs"/>
                <w:rtl/>
              </w:rPr>
            </w:pPr>
            <w:r>
              <w:rPr>
                <w:rFonts w:hint="cs"/>
                <w:rtl/>
              </w:rPr>
              <w:t>בתקופה של 90 יום מיום תחילתן של תקנות אלה, יראו כאילו בתקנות התכנון והבנייה (רישוי בנייה), התשע"ו-2016, בתקנה 99, אחרי תקנת משנה (א) בא:</w:t>
            </w:r>
          </w:p>
        </w:tc>
      </w:tr>
      <w:tr w:rsidR="00A002A2">
        <w:trPr>
          <w:cantSplit/>
          <w:trHeight w:val="60"/>
        </w:trPr>
        <w:tc>
          <w:tcPr>
            <w:tcW w:w="1871" w:type="dxa"/>
          </w:tcPr>
          <w:p w:rsidR="00A002A2" w:rsidRDefault="00A002A2">
            <w:pPr>
              <w:pStyle w:val="TableSideHeading"/>
            </w:pPr>
          </w:p>
        </w:tc>
        <w:tc>
          <w:tcPr>
            <w:tcW w:w="624" w:type="dxa"/>
          </w:tcPr>
          <w:p w:rsidR="00A002A2" w:rsidRDefault="00A002A2">
            <w:pPr>
              <w:pStyle w:val="TableText"/>
            </w:pPr>
          </w:p>
        </w:tc>
        <w:tc>
          <w:tcPr>
            <w:tcW w:w="624" w:type="dxa"/>
          </w:tcPr>
          <w:p w:rsidR="00A002A2" w:rsidRDefault="00A002A2">
            <w:pPr>
              <w:pStyle w:val="TableText"/>
            </w:pPr>
            <w:r>
              <w:rPr>
                <w:rFonts w:hint="cs"/>
                <w:rtl/>
              </w:rPr>
              <w:t>(א1)</w:t>
            </w:r>
          </w:p>
        </w:tc>
        <w:tc>
          <w:tcPr>
            <w:tcW w:w="6522" w:type="dxa"/>
            <w:gridSpan w:val="2"/>
          </w:tcPr>
          <w:p w:rsidR="00A002A2" w:rsidRDefault="00A002A2" w:rsidP="00251946">
            <w:pPr>
              <w:pStyle w:val="TableBlock"/>
            </w:pPr>
            <w:r>
              <w:rPr>
                <w:rFonts w:hint="cs"/>
                <w:rtl/>
              </w:rPr>
              <w:t xml:space="preserve">על אף האמור בתקנת משנה (א), רשות הרישוי תיתן תעודת </w:t>
            </w:r>
            <w:r w:rsidRPr="005204D7">
              <w:rPr>
                <w:rFonts w:hint="cs"/>
                <w:rtl/>
              </w:rPr>
              <w:t xml:space="preserve">גמר למבנה </w:t>
            </w:r>
            <w:r w:rsidR="00251946" w:rsidRPr="005204D7">
              <w:rPr>
                <w:rFonts w:hint="cs"/>
                <w:rtl/>
              </w:rPr>
              <w:t>חדש המיועד ל</w:t>
            </w:r>
            <w:r w:rsidRPr="005204D7">
              <w:rPr>
                <w:rFonts w:hint="cs"/>
                <w:rtl/>
              </w:rPr>
              <w:t>מגורים, אף אם לא הושלמו כל תנאי ההיתר ב</w:t>
            </w:r>
            <w:r>
              <w:rPr>
                <w:rFonts w:hint="cs"/>
                <w:rtl/>
              </w:rPr>
              <w:t>מועד הגשת הבקשה, ובלבד שהתקיימו כל אלה:</w:t>
            </w:r>
          </w:p>
        </w:tc>
      </w:tr>
      <w:tr w:rsidR="00A002A2">
        <w:trPr>
          <w:cantSplit/>
          <w:trHeight w:val="60"/>
        </w:trPr>
        <w:tc>
          <w:tcPr>
            <w:tcW w:w="1871" w:type="dxa"/>
          </w:tcPr>
          <w:p w:rsidR="00A002A2" w:rsidRDefault="00A002A2">
            <w:pPr>
              <w:pStyle w:val="TableSideHeading"/>
              <w:rPr>
                <w:rFonts w:hint="cs"/>
              </w:rPr>
            </w:pPr>
          </w:p>
        </w:tc>
        <w:tc>
          <w:tcPr>
            <w:tcW w:w="624" w:type="dxa"/>
          </w:tcPr>
          <w:p w:rsidR="00A002A2" w:rsidRDefault="00A002A2">
            <w:pPr>
              <w:pStyle w:val="TableText"/>
            </w:pPr>
          </w:p>
        </w:tc>
        <w:tc>
          <w:tcPr>
            <w:tcW w:w="624" w:type="dxa"/>
          </w:tcPr>
          <w:p w:rsidR="00A002A2" w:rsidRDefault="00A002A2">
            <w:pPr>
              <w:pStyle w:val="TableText"/>
            </w:pPr>
          </w:p>
        </w:tc>
        <w:tc>
          <w:tcPr>
            <w:tcW w:w="624" w:type="dxa"/>
          </w:tcPr>
          <w:p w:rsidR="00A002A2" w:rsidRDefault="00A002A2">
            <w:pPr>
              <w:pStyle w:val="TableText"/>
            </w:pPr>
            <w:r>
              <w:rPr>
                <w:rFonts w:hint="cs"/>
                <w:rtl/>
              </w:rPr>
              <w:t>(1)</w:t>
            </w:r>
          </w:p>
        </w:tc>
        <w:tc>
          <w:tcPr>
            <w:tcW w:w="5898" w:type="dxa"/>
          </w:tcPr>
          <w:p w:rsidR="00A002A2" w:rsidRDefault="00A002A2">
            <w:pPr>
              <w:pStyle w:val="TableBlock"/>
            </w:pPr>
            <w:r>
              <w:rPr>
                <w:rFonts w:hint="cs"/>
                <w:rtl/>
              </w:rPr>
              <w:t xml:space="preserve">הפרטים והתנאים </w:t>
            </w:r>
            <w:r w:rsidR="004B3BB5">
              <w:rPr>
                <w:rFonts w:hint="cs"/>
                <w:rtl/>
              </w:rPr>
              <w:t>שלא הושלמו אינם פוגמים ביציבות ובטיחות המבנה, ובבטיחות המשתמש;</w:t>
            </w:r>
          </w:p>
        </w:tc>
      </w:tr>
      <w:tr w:rsidR="004B3BB5">
        <w:trPr>
          <w:cantSplit/>
          <w:trHeight w:val="60"/>
        </w:trPr>
        <w:tc>
          <w:tcPr>
            <w:tcW w:w="1871" w:type="dxa"/>
          </w:tcPr>
          <w:p w:rsidR="004B3BB5" w:rsidRDefault="004B3BB5">
            <w:pPr>
              <w:pStyle w:val="TableSideHeading"/>
            </w:pPr>
          </w:p>
        </w:tc>
        <w:tc>
          <w:tcPr>
            <w:tcW w:w="624" w:type="dxa"/>
          </w:tcPr>
          <w:p w:rsidR="004B3BB5" w:rsidRDefault="004B3BB5" w:rsidP="004B3BB5">
            <w:pPr>
              <w:pStyle w:val="TableText"/>
            </w:pPr>
          </w:p>
        </w:tc>
        <w:tc>
          <w:tcPr>
            <w:tcW w:w="624" w:type="dxa"/>
          </w:tcPr>
          <w:p w:rsidR="004B3BB5" w:rsidRDefault="004B3BB5">
            <w:pPr>
              <w:pStyle w:val="TableText"/>
            </w:pPr>
          </w:p>
        </w:tc>
        <w:tc>
          <w:tcPr>
            <w:tcW w:w="624" w:type="dxa"/>
          </w:tcPr>
          <w:p w:rsidR="004B3BB5" w:rsidRDefault="004B3BB5">
            <w:pPr>
              <w:pStyle w:val="TableText"/>
              <w:rPr>
                <w:rFonts w:hint="cs"/>
                <w:rtl/>
              </w:rPr>
            </w:pPr>
            <w:r>
              <w:rPr>
                <w:rFonts w:hint="cs"/>
                <w:rtl/>
              </w:rPr>
              <w:t>(2)</w:t>
            </w:r>
          </w:p>
        </w:tc>
        <w:tc>
          <w:tcPr>
            <w:tcW w:w="5898" w:type="dxa"/>
          </w:tcPr>
          <w:p w:rsidR="004B3BB5" w:rsidRDefault="004B3BB5">
            <w:pPr>
              <w:pStyle w:val="TableBlock"/>
              <w:rPr>
                <w:rFonts w:hint="cs"/>
                <w:rtl/>
              </w:rPr>
            </w:pPr>
            <w:r>
              <w:rPr>
                <w:rFonts w:hint="cs"/>
                <w:rtl/>
              </w:rPr>
              <w:t>המבנה ראוי לשימוש גם לפני השלמת הפרטים והתנאים שלא הושלמו, ובכלל זה הוא מחובר לחשמל, מים וביוב;</w:t>
            </w:r>
          </w:p>
        </w:tc>
      </w:tr>
      <w:tr w:rsidR="00CF256E">
        <w:trPr>
          <w:cantSplit/>
          <w:trHeight w:val="60"/>
        </w:trPr>
        <w:tc>
          <w:tcPr>
            <w:tcW w:w="1871" w:type="dxa"/>
          </w:tcPr>
          <w:p w:rsidR="00CF256E" w:rsidRDefault="00CF256E">
            <w:pPr>
              <w:pStyle w:val="TableSideHeading"/>
            </w:pPr>
          </w:p>
        </w:tc>
        <w:tc>
          <w:tcPr>
            <w:tcW w:w="624" w:type="dxa"/>
          </w:tcPr>
          <w:p w:rsidR="00CF256E" w:rsidRDefault="00CF256E" w:rsidP="00CF256E">
            <w:pPr>
              <w:pStyle w:val="TableText"/>
            </w:pPr>
          </w:p>
        </w:tc>
        <w:tc>
          <w:tcPr>
            <w:tcW w:w="624" w:type="dxa"/>
          </w:tcPr>
          <w:p w:rsidR="00CF256E" w:rsidRDefault="00CF256E">
            <w:pPr>
              <w:pStyle w:val="TableText"/>
            </w:pPr>
          </w:p>
        </w:tc>
        <w:tc>
          <w:tcPr>
            <w:tcW w:w="624" w:type="dxa"/>
          </w:tcPr>
          <w:p w:rsidR="00CF256E" w:rsidRDefault="00CF256E">
            <w:pPr>
              <w:pStyle w:val="TableText"/>
              <w:rPr>
                <w:rFonts w:hint="cs"/>
                <w:rtl/>
              </w:rPr>
            </w:pPr>
            <w:r>
              <w:rPr>
                <w:rFonts w:hint="cs"/>
                <w:rtl/>
              </w:rPr>
              <w:t>(3)</w:t>
            </w:r>
          </w:p>
        </w:tc>
        <w:tc>
          <w:tcPr>
            <w:tcW w:w="5898" w:type="dxa"/>
          </w:tcPr>
          <w:p w:rsidR="00CF256E" w:rsidRDefault="00CF256E">
            <w:pPr>
              <w:pStyle w:val="TableBlock"/>
              <w:rPr>
                <w:rFonts w:hint="cs"/>
                <w:rtl/>
              </w:rPr>
            </w:pPr>
            <w:r>
              <w:rPr>
                <w:rFonts w:hint="cs"/>
                <w:rtl/>
              </w:rPr>
              <w:t>הפרטים והתנאים שלא הושלמו הם אחד או יותר מן המפורטים בתקנת משנה (א)(1), (2) ו-(4);</w:t>
            </w:r>
          </w:p>
        </w:tc>
      </w:tr>
      <w:tr w:rsidR="00CF256E">
        <w:trPr>
          <w:cantSplit/>
          <w:trHeight w:val="60"/>
        </w:trPr>
        <w:tc>
          <w:tcPr>
            <w:tcW w:w="1871" w:type="dxa"/>
          </w:tcPr>
          <w:p w:rsidR="00CF256E" w:rsidRDefault="00CF256E">
            <w:pPr>
              <w:pStyle w:val="TableSideHeading"/>
            </w:pPr>
          </w:p>
        </w:tc>
        <w:tc>
          <w:tcPr>
            <w:tcW w:w="624" w:type="dxa"/>
          </w:tcPr>
          <w:p w:rsidR="00CF256E" w:rsidRDefault="00CF256E" w:rsidP="00CF256E">
            <w:pPr>
              <w:pStyle w:val="TableText"/>
            </w:pPr>
          </w:p>
        </w:tc>
        <w:tc>
          <w:tcPr>
            <w:tcW w:w="624" w:type="dxa"/>
          </w:tcPr>
          <w:p w:rsidR="00CF256E" w:rsidRDefault="00CF256E">
            <w:pPr>
              <w:pStyle w:val="TableText"/>
            </w:pPr>
          </w:p>
        </w:tc>
        <w:tc>
          <w:tcPr>
            <w:tcW w:w="624" w:type="dxa"/>
          </w:tcPr>
          <w:p w:rsidR="00CF256E" w:rsidRDefault="00CF256E">
            <w:pPr>
              <w:pStyle w:val="TableText"/>
              <w:rPr>
                <w:rFonts w:hint="cs"/>
                <w:rtl/>
              </w:rPr>
            </w:pPr>
            <w:r>
              <w:rPr>
                <w:rFonts w:hint="cs"/>
                <w:rtl/>
              </w:rPr>
              <w:t>(4)</w:t>
            </w:r>
          </w:p>
        </w:tc>
        <w:tc>
          <w:tcPr>
            <w:tcW w:w="5898" w:type="dxa"/>
          </w:tcPr>
          <w:p w:rsidR="00CF256E" w:rsidRDefault="00CF256E">
            <w:pPr>
              <w:pStyle w:val="TableBlock"/>
              <w:rPr>
                <w:rFonts w:hint="cs"/>
                <w:rtl/>
              </w:rPr>
            </w:pPr>
            <w:r>
              <w:rPr>
                <w:rFonts w:hint="cs"/>
                <w:rtl/>
              </w:rPr>
              <w:t>אם ניתנה המלצת מכון בקרה בדבר פרטים הטעונים השלמה, כאמור בתקנה 95(א)(4), הפרטים האמורים עונים על האמור בפסקאות (1) עד (3).</w:t>
            </w:r>
          </w:p>
        </w:tc>
      </w:tr>
      <w:tr w:rsidR="00CF256E">
        <w:trPr>
          <w:cantSplit/>
          <w:trHeight w:val="60"/>
        </w:trPr>
        <w:tc>
          <w:tcPr>
            <w:tcW w:w="1871" w:type="dxa"/>
          </w:tcPr>
          <w:p w:rsidR="00CF256E" w:rsidRDefault="00CF256E">
            <w:pPr>
              <w:pStyle w:val="TableSideHeading"/>
              <w:rPr>
                <w:rFonts w:hint="cs"/>
              </w:rPr>
            </w:pPr>
          </w:p>
        </w:tc>
        <w:tc>
          <w:tcPr>
            <w:tcW w:w="624" w:type="dxa"/>
          </w:tcPr>
          <w:p w:rsidR="00CF256E" w:rsidRDefault="00CF256E">
            <w:pPr>
              <w:pStyle w:val="TableText"/>
            </w:pPr>
          </w:p>
        </w:tc>
        <w:tc>
          <w:tcPr>
            <w:tcW w:w="624" w:type="dxa"/>
          </w:tcPr>
          <w:p w:rsidR="00CF256E" w:rsidRDefault="00CF256E">
            <w:pPr>
              <w:pStyle w:val="TableText"/>
            </w:pPr>
          </w:p>
        </w:tc>
        <w:tc>
          <w:tcPr>
            <w:tcW w:w="6522" w:type="dxa"/>
            <w:gridSpan w:val="2"/>
          </w:tcPr>
          <w:p w:rsidR="00CF256E" w:rsidRDefault="00CF256E" w:rsidP="00AB6FFD">
            <w:pPr>
              <w:pStyle w:val="TableBlock"/>
            </w:pPr>
            <w:r w:rsidRPr="005204D7">
              <w:rPr>
                <w:rFonts w:hint="cs"/>
                <w:rtl/>
              </w:rPr>
              <w:t xml:space="preserve">בתקנה זו, </w:t>
            </w:r>
            <w:r w:rsidR="00AE0287" w:rsidRPr="005204D7">
              <w:rPr>
                <w:rFonts w:hint="cs"/>
                <w:rtl/>
              </w:rPr>
              <w:t>"</w:t>
            </w:r>
            <w:r w:rsidR="00251946" w:rsidRPr="005204D7">
              <w:rPr>
                <w:rFonts w:hint="cs"/>
                <w:rtl/>
              </w:rPr>
              <w:t>מיועד למגורים</w:t>
            </w:r>
            <w:r w:rsidR="00AE0287" w:rsidRPr="005204D7">
              <w:rPr>
                <w:rFonts w:hint="cs"/>
                <w:rtl/>
              </w:rPr>
              <w:t xml:space="preserve">" </w:t>
            </w:r>
            <w:r w:rsidR="00AE0287" w:rsidRPr="005204D7">
              <w:rPr>
                <w:rtl/>
              </w:rPr>
              <w:t>–</w:t>
            </w:r>
            <w:r w:rsidR="00AE0287" w:rsidRPr="005204D7">
              <w:rPr>
                <w:rFonts w:hint="cs"/>
                <w:rtl/>
              </w:rPr>
              <w:t xml:space="preserve"> </w:t>
            </w:r>
            <w:r w:rsidR="00251946" w:rsidRPr="005204D7">
              <w:rPr>
                <w:rFonts w:hint="cs"/>
                <w:rtl/>
              </w:rPr>
              <w:t xml:space="preserve">אם לפחות 80% משטחי הבנייה </w:t>
            </w:r>
            <w:r w:rsidR="00A27E8D" w:rsidRPr="005204D7">
              <w:rPr>
                <w:rFonts w:hint="cs"/>
                <w:rtl/>
              </w:rPr>
              <w:t xml:space="preserve">במבנה </w:t>
            </w:r>
            <w:r w:rsidR="00251946" w:rsidRPr="005204D7">
              <w:rPr>
                <w:rFonts w:hint="cs"/>
                <w:rtl/>
              </w:rPr>
              <w:t>מיועדים למגורים, ובכלל זה שטחי שירות המשרתים את המגורים</w:t>
            </w:r>
            <w:r w:rsidR="00251946">
              <w:rPr>
                <w:rFonts w:hint="cs"/>
                <w:rtl/>
              </w:rPr>
              <w:t>.</w:t>
            </w:r>
          </w:p>
        </w:tc>
      </w:tr>
    </w:tbl>
    <w:p w:rsidR="0098265B" w:rsidRPr="007A6BFC" w:rsidRDefault="0098265B" w:rsidP="0098265B"/>
    <w:p w:rsidR="0098265B" w:rsidRDefault="0098265B" w:rsidP="00862A4B">
      <w:pPr>
        <w:rPr>
          <w:rFonts w:eastAsia="Calibri"/>
          <w:rtl/>
        </w:rPr>
      </w:pPr>
      <w:r>
        <w:rPr>
          <w:rFonts w:eastAsia="Calibri" w:hint="cs"/>
          <w:rtl/>
        </w:rPr>
        <w:t xml:space="preserve">___ ב________ </w:t>
      </w:r>
      <w:proofErr w:type="spellStart"/>
      <w:r>
        <w:rPr>
          <w:rFonts w:eastAsia="Calibri" w:hint="cs"/>
          <w:rtl/>
        </w:rPr>
        <w:t>התש</w:t>
      </w:r>
      <w:r w:rsidR="00862A4B">
        <w:rPr>
          <w:rFonts w:eastAsia="Calibri" w:hint="cs"/>
          <w:rtl/>
        </w:rPr>
        <w:t>פ"ה</w:t>
      </w:r>
      <w:proofErr w:type="spellEnd"/>
      <w:r>
        <w:rPr>
          <w:rFonts w:eastAsia="Calibri" w:hint="cs"/>
          <w:rtl/>
        </w:rPr>
        <w:t xml:space="preserve"> (___ ב________ 20</w:t>
      </w:r>
      <w:r w:rsidR="00862A4B">
        <w:rPr>
          <w:rFonts w:eastAsia="Calibri" w:hint="cs"/>
          <w:rtl/>
        </w:rPr>
        <w:t>25</w:t>
      </w:r>
      <w:r>
        <w:rPr>
          <w:rFonts w:eastAsia="Calibri" w:hint="cs"/>
          <w:rtl/>
        </w:rPr>
        <w:t>)</w:t>
      </w:r>
    </w:p>
    <w:p w:rsidR="0098265B" w:rsidRDefault="0098265B" w:rsidP="0098265B">
      <w:pPr>
        <w:rPr>
          <w:rFonts w:eastAsia="Calibri"/>
          <w:rtl/>
        </w:rPr>
      </w:pPr>
      <w:r>
        <w:rPr>
          <w:rFonts w:eastAsia="Calibri" w:hint="cs"/>
          <w:rtl/>
        </w:rPr>
        <w:t>[תאריך עברי] ([תאריך לועזי])</w:t>
      </w:r>
    </w:p>
    <w:p w:rsidR="0098265B" w:rsidRDefault="0098265B" w:rsidP="0098265B">
      <w:pPr>
        <w:rPr>
          <w:rtl/>
        </w:rPr>
      </w:pPr>
      <w:r>
        <w:rPr>
          <w:rFonts w:hint="cs"/>
          <w:rtl/>
        </w:rPr>
        <w:t>(</w:t>
      </w:r>
      <w:proofErr w:type="spellStart"/>
      <w:r>
        <w:rPr>
          <w:rFonts w:hint="cs"/>
          <w:rtl/>
        </w:rPr>
        <w:t>חמ</w:t>
      </w:r>
      <w:proofErr w:type="spellEnd"/>
      <w:r>
        <w:rPr>
          <w:rFonts w:hint="cs"/>
          <w:rtl/>
        </w:rPr>
        <w:t xml:space="preserve"> _____-3)</w:t>
      </w:r>
    </w:p>
    <w:p w:rsidR="0098265B" w:rsidRDefault="0098265B" w:rsidP="0098265B">
      <w:pPr>
        <w:rPr>
          <w:rtl/>
        </w:rPr>
      </w:pPr>
    </w:p>
    <w:p w:rsidR="0098265B" w:rsidRDefault="0098265B" w:rsidP="00862A4B">
      <w:pPr>
        <w:ind w:left="5760"/>
        <w:jc w:val="center"/>
        <w:rPr>
          <w:rtl/>
        </w:rPr>
      </w:pPr>
      <w:r>
        <w:rPr>
          <w:rFonts w:hint="cs"/>
          <w:rtl/>
        </w:rPr>
        <w:t>__________________</w:t>
      </w:r>
    </w:p>
    <w:p w:rsidR="0098265B" w:rsidRDefault="00862A4B" w:rsidP="0098265B">
      <w:pPr>
        <w:ind w:left="5760"/>
        <w:jc w:val="center"/>
        <w:rPr>
          <w:rtl/>
        </w:rPr>
      </w:pPr>
      <w:r>
        <w:rPr>
          <w:rFonts w:hint="cs"/>
          <w:rtl/>
        </w:rPr>
        <w:t>משה ארבל</w:t>
      </w:r>
    </w:p>
    <w:p w:rsidR="0098265B" w:rsidRDefault="00862A4B" w:rsidP="0098265B">
      <w:pPr>
        <w:ind w:left="5760"/>
        <w:jc w:val="center"/>
        <w:rPr>
          <w:rtl/>
        </w:rPr>
      </w:pPr>
      <w:r>
        <w:rPr>
          <w:rFonts w:hint="cs"/>
          <w:rtl/>
        </w:rPr>
        <w:t>שר הפנים</w:t>
      </w:r>
    </w:p>
    <w:p w:rsidR="0098265B" w:rsidRDefault="0098265B" w:rsidP="0098265B">
      <w:pPr>
        <w:rPr>
          <w:rtl/>
        </w:rPr>
      </w:pPr>
    </w:p>
    <w:p w:rsidR="0098265B" w:rsidRDefault="0098265B" w:rsidP="0098265B">
      <w:pPr>
        <w:pStyle w:val="HeadDivreiHesber"/>
        <w:rPr>
          <w:rtl/>
        </w:rPr>
      </w:pPr>
      <w:r>
        <w:rPr>
          <w:rtl/>
        </w:rPr>
        <w:lastRenderedPageBreak/>
        <w:t>דברי הסבר</w:t>
      </w:r>
    </w:p>
    <w:p w:rsidR="0098265B" w:rsidRDefault="0098265B" w:rsidP="0098265B">
      <w:pPr>
        <w:pStyle w:val="Hesber1st"/>
        <w:tabs>
          <w:tab w:val="clear" w:pos="680"/>
        </w:tabs>
        <w:rPr>
          <w:rtl/>
        </w:rPr>
      </w:pPr>
    </w:p>
    <w:p w:rsidR="00025513" w:rsidRDefault="00025513" w:rsidP="00E82038">
      <w:pPr>
        <w:rPr>
          <w:rtl/>
        </w:rPr>
      </w:pPr>
      <w:r>
        <w:rPr>
          <w:rtl/>
        </w:rPr>
        <w:t xml:space="preserve">ביום כ"ג בסיוון </w:t>
      </w:r>
      <w:proofErr w:type="spellStart"/>
      <w:r>
        <w:rPr>
          <w:rtl/>
        </w:rPr>
        <w:t>התשפ"ה</w:t>
      </w:r>
      <w:proofErr w:type="spellEnd"/>
      <w:r>
        <w:rPr>
          <w:rtl/>
        </w:rPr>
        <w:t xml:space="preserve"> (13 ביוני 2025) פתחה מדינת ישראל במבצע "עם כלביא" והוכרז מצב מיוחד בעורף בכל רחבי המדינה. בסמוך לאחר תחילת המבצע, החלה איראן במתקפות ירי טילים על האוכלוסייה האזרחית, שהוביל</w:t>
      </w:r>
      <w:r w:rsidR="00E82038">
        <w:rPr>
          <w:rFonts w:hint="cs"/>
          <w:rtl/>
        </w:rPr>
        <w:t>ו</w:t>
      </w:r>
      <w:r>
        <w:rPr>
          <w:rtl/>
        </w:rPr>
        <w:t xml:space="preserve"> לפגיעות משמעותיות באזורי מגורים ובחיי אדם.   </w:t>
      </w:r>
    </w:p>
    <w:p w:rsidR="00025513" w:rsidRDefault="00025513" w:rsidP="007A6BFC">
      <w:pPr>
        <w:rPr>
          <w:rtl/>
        </w:rPr>
      </w:pPr>
      <w:r>
        <w:rPr>
          <w:rtl/>
        </w:rPr>
        <w:t>בשל המצב הביטחוני השורר ברחבי הארץ כאמור, ועל מנת לתת מענה מהיר ככל הניתן לצורך במבני מגורים</w:t>
      </w:r>
      <w:r w:rsidR="00E82038">
        <w:rPr>
          <w:rFonts w:hint="cs"/>
          <w:rtl/>
        </w:rPr>
        <w:t xml:space="preserve"> חדשים</w:t>
      </w:r>
      <w:r>
        <w:rPr>
          <w:rtl/>
        </w:rPr>
        <w:t xml:space="preserve"> הכוללים מרחבים מוגנים תקניים, מוצע לקבוע הוראה שעה </w:t>
      </w:r>
      <w:r w:rsidR="00E82038">
        <w:rPr>
          <w:rFonts w:hint="cs"/>
          <w:rtl/>
        </w:rPr>
        <w:t xml:space="preserve">ל-90 ימים, </w:t>
      </w:r>
      <w:r>
        <w:rPr>
          <w:rtl/>
        </w:rPr>
        <w:t>המחייבת מתן תעודת גמר למבני</w:t>
      </w:r>
      <w:r w:rsidR="0097416A">
        <w:rPr>
          <w:rFonts w:hint="cs"/>
          <w:rtl/>
        </w:rPr>
        <w:t>ם חדשים המיועדים</w:t>
      </w:r>
      <w:r>
        <w:rPr>
          <w:rtl/>
        </w:rPr>
        <w:t xml:space="preserve"> </w:t>
      </w:r>
      <w:r w:rsidR="0097416A">
        <w:rPr>
          <w:rFonts w:hint="cs"/>
          <w:rtl/>
        </w:rPr>
        <w:t>ל</w:t>
      </w:r>
      <w:r>
        <w:rPr>
          <w:rtl/>
        </w:rPr>
        <w:t>מגורים, אף אם לא הושלמו כל התנאים שנקבעו בהיתר להוצאת תעודת גמר, וזאת במקרים העונים על התנאים המפורטים ב</w:t>
      </w:r>
      <w:r w:rsidR="00E82038">
        <w:rPr>
          <w:rFonts w:hint="cs"/>
          <w:rtl/>
        </w:rPr>
        <w:t>הוראת השעה</w:t>
      </w:r>
      <w:r>
        <w:rPr>
          <w:rtl/>
        </w:rPr>
        <w:t xml:space="preserve">. בהתאם לתנאים המוצעים </w:t>
      </w:r>
      <w:r w:rsidR="00E82038">
        <w:rPr>
          <w:rFonts w:hint="cs"/>
          <w:rtl/>
        </w:rPr>
        <w:t>בהוראת השעה</w:t>
      </w:r>
      <w:r>
        <w:rPr>
          <w:rtl/>
        </w:rPr>
        <w:t>, חובת מתן תעודת גמר תחול במקרים בהם התנאים והפרטים שלא הושלמו אינם משפיעים על יציבות ובטיחות המבנה, המבנה ראוי לשימוש גם לפני השלמתם ובכלל ז</w:t>
      </w:r>
      <w:r w:rsidR="00E82038">
        <w:rPr>
          <w:rFonts w:hint="cs"/>
          <w:rtl/>
        </w:rPr>
        <w:t>ה</w:t>
      </w:r>
      <w:r>
        <w:rPr>
          <w:rtl/>
        </w:rPr>
        <w:t xml:space="preserve"> הוא מחובר לתשתיות מים חשמל וביוב, והתנאים והפרטים שלא הושלמו הם מהתנאים המפורטים בתקנה 99(א) פסקאות (1), (2) ו-(4). בנוסף, מוצע לקבוע כי אם ניתנה המלצת מכון בקרה בדבר פרטים הטעונים השלמה, כאמור בתקנה 95 (א)(4), ה</w:t>
      </w:r>
      <w:r w:rsidR="00E82038">
        <w:rPr>
          <w:rFonts w:hint="cs"/>
          <w:rtl/>
        </w:rPr>
        <w:t>פרטים</w:t>
      </w:r>
      <w:r>
        <w:rPr>
          <w:rtl/>
        </w:rPr>
        <w:t xml:space="preserve"> הטעונים השלמה עונים אף הם על האמור בפסקאות (1) עד (3) ל</w:t>
      </w:r>
      <w:r w:rsidR="0097416A">
        <w:rPr>
          <w:rFonts w:hint="cs"/>
          <w:rtl/>
        </w:rPr>
        <w:t xml:space="preserve">הוראת השעה </w:t>
      </w:r>
      <w:r>
        <w:rPr>
          <w:rtl/>
        </w:rPr>
        <w:t>המוצעת.</w:t>
      </w:r>
      <w:r w:rsidR="0097416A">
        <w:rPr>
          <w:rFonts w:hint="cs"/>
          <w:rtl/>
        </w:rPr>
        <w:t xml:space="preserve"> כן מוצע להגדיר בהוראת השעה כי </w:t>
      </w:r>
      <w:r w:rsidR="0097416A" w:rsidRPr="0097416A">
        <w:rPr>
          <w:rtl/>
        </w:rPr>
        <w:t xml:space="preserve">בתקנה זו, </w:t>
      </w:r>
      <w:r w:rsidR="005204D7">
        <w:rPr>
          <w:rFonts w:hint="cs"/>
          <w:rtl/>
        </w:rPr>
        <w:t xml:space="preserve">מבנה חדש </w:t>
      </w:r>
      <w:r w:rsidR="005204D7" w:rsidRPr="005204D7">
        <w:rPr>
          <w:rFonts w:hint="cs"/>
          <w:rtl/>
        </w:rPr>
        <w:t>"מיועד למגורים" אם לפחות 80% משטחי הבנייה במבנה מיועדים למגורים, ובכלל זה שטחי שירות המשרתים את המגורים</w:t>
      </w:r>
      <w:r w:rsidR="005204D7">
        <w:rPr>
          <w:rFonts w:hint="cs"/>
          <w:rtl/>
        </w:rPr>
        <w:t xml:space="preserve">. יוער כי מדובר בהגדרה מבהירה בלבד, מאחר שזו הפרשנות המקובלת למונח "מיועד למגורים". </w:t>
      </w:r>
      <w:bookmarkStart w:id="0" w:name="_GoBack"/>
      <w:bookmarkEnd w:id="0"/>
    </w:p>
    <w:p w:rsidR="0098265B" w:rsidRDefault="008B72BF" w:rsidP="008B72BF">
      <w:r>
        <w:rPr>
          <w:rFonts w:hint="cs"/>
          <w:rtl/>
        </w:rPr>
        <w:t xml:space="preserve">יצוין כי הוראת השעה המוצעת נועדה לקבוע חובת מתן </w:t>
      </w:r>
      <w:r w:rsidR="00025513">
        <w:rPr>
          <w:rtl/>
        </w:rPr>
        <w:t>תעודת גמר, בה</w:t>
      </w:r>
      <w:r w:rsidR="00E82038">
        <w:rPr>
          <w:rFonts w:hint="cs"/>
          <w:rtl/>
        </w:rPr>
        <w:t>תייחס למבני מגורים ובה</w:t>
      </w:r>
      <w:r w:rsidR="00025513">
        <w:rPr>
          <w:rtl/>
        </w:rPr>
        <w:t>תקיים התנאים המנויים בה, וזאת בנ</w:t>
      </w:r>
      <w:r>
        <w:rPr>
          <w:rFonts w:hint="cs"/>
          <w:rtl/>
        </w:rPr>
        <w:t>יגוד ל</w:t>
      </w:r>
      <w:r w:rsidR="00025513">
        <w:rPr>
          <w:rtl/>
        </w:rPr>
        <w:t xml:space="preserve">תקנה 99(א) לתקנות הרישוי, </w:t>
      </w:r>
      <w:r>
        <w:rPr>
          <w:rFonts w:hint="cs"/>
          <w:rtl/>
        </w:rPr>
        <w:t xml:space="preserve">אשר מותירה נושא זה לשיקול הדעת של רשות הרישוי. עוד </w:t>
      </w:r>
      <w:r>
        <w:rPr>
          <w:rtl/>
        </w:rPr>
        <w:t>יצוין כי ה</w:t>
      </w:r>
      <w:r>
        <w:rPr>
          <w:rFonts w:hint="cs"/>
          <w:rtl/>
        </w:rPr>
        <w:t xml:space="preserve">וראת השעה המוצעת משתלבת בהוראות תקנות הרישוי. </w:t>
      </w:r>
      <w:r>
        <w:rPr>
          <w:rFonts w:hint="cs"/>
          <w:rtl/>
        </w:rPr>
        <w:t>בהתאם לכ</w:t>
      </w:r>
      <w:r>
        <w:rPr>
          <w:rFonts w:hint="cs"/>
          <w:rtl/>
        </w:rPr>
        <w:t>ך,</w:t>
      </w:r>
      <w:r>
        <w:rPr>
          <w:rFonts w:hint="cs"/>
          <w:rtl/>
        </w:rPr>
        <w:t xml:space="preserve"> </w:t>
      </w:r>
      <w:r w:rsidR="00E82038">
        <w:rPr>
          <w:rFonts w:hint="cs"/>
          <w:rtl/>
        </w:rPr>
        <w:t xml:space="preserve">תחול תקנה 99(ב) לתקנות הרישוי, לפיה במקרה בו ניתנה תעודת גמר לפני השלמת כל התנאים והפרטים, יש לקבוע בה את המועד להשלמת הפרטים והתנאים. בנוסף, תחול הוראת </w:t>
      </w:r>
      <w:r w:rsidR="00025513">
        <w:rPr>
          <w:rtl/>
        </w:rPr>
        <w:t>תקנה 100</w:t>
      </w:r>
      <w:r w:rsidR="00E82038">
        <w:rPr>
          <w:rFonts w:hint="cs"/>
          <w:rtl/>
        </w:rPr>
        <w:t xml:space="preserve"> לתקנות הרישוי</w:t>
      </w:r>
      <w:r w:rsidR="00025513">
        <w:rPr>
          <w:rtl/>
        </w:rPr>
        <w:t>, הקובעת חובת המצאת ערבות בנקאית לשם הבטחת מילוי התנאים והפרטים הטעונים השלמה</w:t>
      </w:r>
      <w:r w:rsidR="00E82038">
        <w:rPr>
          <w:rFonts w:hint="cs"/>
          <w:rtl/>
        </w:rPr>
        <w:t>.</w:t>
      </w:r>
    </w:p>
    <w:sectPr w:rsidR="0098265B" w:rsidSect="0098265B">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6B" w:rsidRDefault="00D2226B" w:rsidP="00EF1E43">
      <w:pPr>
        <w:spacing w:line="240" w:lineRule="auto"/>
      </w:pPr>
      <w:r>
        <w:separator/>
      </w:r>
    </w:p>
  </w:endnote>
  <w:endnote w:type="continuationSeparator" w:id="0">
    <w:p w:rsidR="00D2226B" w:rsidRDefault="00D2226B" w:rsidP="00EF1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6B" w:rsidRDefault="00D2226B" w:rsidP="00EF1E43">
      <w:pPr>
        <w:spacing w:line="240" w:lineRule="auto"/>
      </w:pPr>
      <w:r>
        <w:separator/>
      </w:r>
    </w:p>
  </w:footnote>
  <w:footnote w:type="continuationSeparator" w:id="0">
    <w:p w:rsidR="00D2226B" w:rsidRDefault="00D2226B" w:rsidP="00EF1E43">
      <w:pPr>
        <w:spacing w:line="240" w:lineRule="auto"/>
      </w:pPr>
      <w:r>
        <w:continuationSeparator/>
      </w:r>
    </w:p>
  </w:footnote>
  <w:footnote w:id="1">
    <w:p w:rsidR="00E171CE" w:rsidRPr="00CE1827" w:rsidRDefault="00E171CE" w:rsidP="00A002A2">
      <w:pPr>
        <w:pStyle w:val="a5"/>
        <w:rPr>
          <w:rtl/>
        </w:rPr>
      </w:pPr>
      <w:r w:rsidRPr="00CE1827">
        <w:rPr>
          <w:rStyle w:val="a7"/>
        </w:rPr>
        <w:footnoteRef/>
      </w:r>
      <w:r w:rsidRPr="00CE1827">
        <w:rPr>
          <w:rtl/>
        </w:rPr>
        <w:t xml:space="preserve"> </w:t>
      </w:r>
      <w:r w:rsidRPr="00CE1827">
        <w:rPr>
          <w:rFonts w:hint="cs"/>
          <w:rtl/>
        </w:rPr>
        <w:t xml:space="preserve">ס"ח </w:t>
      </w:r>
      <w:proofErr w:type="spellStart"/>
      <w:r w:rsidR="00A002A2">
        <w:rPr>
          <w:rFonts w:hint="cs"/>
          <w:rtl/>
        </w:rPr>
        <w:t>התשכ"ה</w:t>
      </w:r>
      <w:proofErr w:type="spellEnd"/>
      <w:r w:rsidR="00A002A2">
        <w:rPr>
          <w:rFonts w:hint="cs"/>
          <w:rtl/>
        </w:rPr>
        <w:t xml:space="preserve"> עמ' 307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11"/>
  </w:num>
  <w:num w:numId="6">
    <w:abstractNumId w:val="15"/>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12"/>
    <w:lvlOverride w:ilvl="0">
      <w:startOverride w:val="1"/>
    </w:lvlOverride>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5B"/>
    <w:rsid w:val="00025513"/>
    <w:rsid w:val="00117460"/>
    <w:rsid w:val="00127DF1"/>
    <w:rsid w:val="00251946"/>
    <w:rsid w:val="00273376"/>
    <w:rsid w:val="004B3BB5"/>
    <w:rsid w:val="005204D7"/>
    <w:rsid w:val="006F1D23"/>
    <w:rsid w:val="0078311C"/>
    <w:rsid w:val="007A6BFC"/>
    <w:rsid w:val="007B4F02"/>
    <w:rsid w:val="00803EEB"/>
    <w:rsid w:val="00862A4B"/>
    <w:rsid w:val="008B72BF"/>
    <w:rsid w:val="0097416A"/>
    <w:rsid w:val="0098265B"/>
    <w:rsid w:val="00A002A2"/>
    <w:rsid w:val="00A27E8D"/>
    <w:rsid w:val="00AA076A"/>
    <w:rsid w:val="00AB6FFD"/>
    <w:rsid w:val="00AE0287"/>
    <w:rsid w:val="00B31058"/>
    <w:rsid w:val="00C44255"/>
    <w:rsid w:val="00CC6C7C"/>
    <w:rsid w:val="00CE2096"/>
    <w:rsid w:val="00CF256E"/>
    <w:rsid w:val="00D2226B"/>
    <w:rsid w:val="00DB46C6"/>
    <w:rsid w:val="00E171CE"/>
    <w:rsid w:val="00E82038"/>
    <w:rsid w:val="00EA43D2"/>
    <w:rsid w:val="00EF1E43"/>
    <w:rsid w:val="00F47FD9"/>
    <w:rsid w:val="00F7758B"/>
    <w:rsid w:val="00FF4C5A"/>
    <w:rsid w:val="00FF58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8456"/>
  <w15:chartTrackingRefBased/>
  <w15:docId w15:val="{0AE3E20F-9414-42CE-82DA-FA80913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65B"/>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98265B"/>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98265B"/>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98265B"/>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98265B"/>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98265B"/>
    <w:pPr>
      <w:spacing w:line="259" w:lineRule="auto"/>
      <w:outlineLvl w:val="4"/>
    </w:pPr>
    <w:rPr>
      <w:color w:val="000000" w:themeColor="text1"/>
    </w:rPr>
  </w:style>
  <w:style w:type="character" w:default="1" w:styleId="a0">
    <w:name w:val="Default Paragraph Font"/>
    <w:uiPriority w:val="1"/>
    <w:semiHidden/>
    <w:unhideWhenUsed/>
    <w:rsid w:val="009826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8265B"/>
  </w:style>
  <w:style w:type="character" w:customStyle="1" w:styleId="10">
    <w:name w:val="כותרת 1 תו"/>
    <w:basedOn w:val="a0"/>
    <w:link w:val="1"/>
    <w:uiPriority w:val="9"/>
    <w:rsid w:val="0098265B"/>
    <w:rPr>
      <w:rFonts w:asciiTheme="majorHAnsi" w:eastAsiaTheme="majorEastAsia" w:hAnsiTheme="majorHAnsi" w:cs="David"/>
      <w:bCs/>
      <w:sz w:val="32"/>
      <w:szCs w:val="36"/>
    </w:rPr>
  </w:style>
  <w:style w:type="character" w:customStyle="1" w:styleId="40">
    <w:name w:val="כותרת 4 תו"/>
    <w:basedOn w:val="a0"/>
    <w:link w:val="4"/>
    <w:uiPriority w:val="9"/>
    <w:rsid w:val="0098265B"/>
    <w:rPr>
      <w:rFonts w:ascii="David" w:hAnsi="David" w:cs="David"/>
      <w:b/>
      <w:bCs/>
      <w:color w:val="000000" w:themeColor="text1"/>
      <w:sz w:val="24"/>
      <w:szCs w:val="28"/>
    </w:rPr>
  </w:style>
  <w:style w:type="paragraph" w:customStyle="1" w:styleId="TableText">
    <w:name w:val="Table Text"/>
    <w:basedOn w:val="a"/>
    <w:rsid w:val="0098265B"/>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98265B"/>
    <w:pPr>
      <w:outlineLvl w:val="2"/>
    </w:pPr>
  </w:style>
  <w:style w:type="paragraph" w:customStyle="1" w:styleId="TableBlock">
    <w:name w:val="Table Block"/>
    <w:basedOn w:val="TableText"/>
    <w:rsid w:val="0098265B"/>
    <w:pPr>
      <w:jc w:val="both"/>
    </w:pPr>
  </w:style>
  <w:style w:type="paragraph" w:customStyle="1" w:styleId="TableHead">
    <w:name w:val="Table Head"/>
    <w:basedOn w:val="TableText"/>
    <w:rsid w:val="0098265B"/>
    <w:pPr>
      <w:jc w:val="center"/>
      <w:outlineLvl w:val="1"/>
    </w:pPr>
    <w:rPr>
      <w:b/>
      <w:bCs/>
    </w:rPr>
  </w:style>
  <w:style w:type="paragraph" w:customStyle="1" w:styleId="HeadMitparsemetBaze">
    <w:name w:val="Head MitparsemetBaze"/>
    <w:basedOn w:val="a"/>
    <w:rsid w:val="0098265B"/>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98265B"/>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98265B"/>
    <w:pPr>
      <w:tabs>
        <w:tab w:val="left" w:pos="680"/>
        <w:tab w:val="left" w:pos="1020"/>
      </w:tabs>
      <w:ind w:firstLine="0"/>
    </w:pPr>
  </w:style>
  <w:style w:type="paragraph" w:customStyle="1" w:styleId="HeadDivreiHesber">
    <w:name w:val="Head DivreiHesber"/>
    <w:basedOn w:val="a"/>
    <w:rsid w:val="0098265B"/>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98265B"/>
    <w:rPr>
      <w:rFonts w:asciiTheme="majorHAnsi" w:eastAsiaTheme="majorEastAsia" w:hAnsiTheme="majorHAnsi" w:cs="David"/>
      <w:bCs/>
      <w:sz w:val="26"/>
      <w:szCs w:val="36"/>
      <w:u w:val="single"/>
    </w:rPr>
  </w:style>
  <w:style w:type="character" w:customStyle="1" w:styleId="30">
    <w:name w:val="כותרת 3 תו"/>
    <w:basedOn w:val="a0"/>
    <w:link w:val="3"/>
    <w:rsid w:val="0098265B"/>
    <w:rPr>
      <w:rFonts w:asciiTheme="majorHAnsi" w:eastAsiaTheme="majorEastAsia" w:hAnsiTheme="majorHAnsi" w:cs="David"/>
      <w:sz w:val="24"/>
      <w:szCs w:val="28"/>
      <w:u w:val="double"/>
    </w:rPr>
  </w:style>
  <w:style w:type="character" w:customStyle="1" w:styleId="50">
    <w:name w:val="כותרת 5 תו"/>
    <w:basedOn w:val="a0"/>
    <w:link w:val="5"/>
    <w:uiPriority w:val="9"/>
    <w:rsid w:val="0098265B"/>
    <w:rPr>
      <w:rFonts w:ascii="David" w:hAnsi="David" w:cs="David"/>
      <w:color w:val="000000" w:themeColor="text1"/>
      <w:sz w:val="24"/>
      <w:szCs w:val="24"/>
    </w:rPr>
  </w:style>
  <w:style w:type="paragraph" w:customStyle="1" w:styleId="HeadHatzaotHok4Futer">
    <w:name w:val="Head HatzaotHok4Futer"/>
    <w:basedOn w:val="HeadHatzaotHok"/>
    <w:rsid w:val="0098265B"/>
    <w:pPr>
      <w:spacing w:before="120" w:after="120"/>
    </w:pPr>
    <w:rPr>
      <w:color w:val="FF0000"/>
      <w:w w:val="80"/>
    </w:rPr>
  </w:style>
  <w:style w:type="paragraph" w:styleId="a3">
    <w:name w:val="endnote text"/>
    <w:basedOn w:val="a"/>
    <w:link w:val="a4"/>
    <w:semiHidden/>
    <w:rsid w:val="0098265B"/>
    <w:pPr>
      <w:ind w:left="227" w:hanging="227"/>
    </w:pPr>
    <w:rPr>
      <w:sz w:val="14"/>
      <w:szCs w:val="22"/>
    </w:rPr>
  </w:style>
  <w:style w:type="character" w:customStyle="1" w:styleId="a4">
    <w:name w:val="טקסט הערת סיום תו"/>
    <w:basedOn w:val="a0"/>
    <w:link w:val="a3"/>
    <w:semiHidden/>
    <w:rsid w:val="0098265B"/>
    <w:rPr>
      <w:rFonts w:ascii="David" w:hAnsi="David" w:cs="David"/>
      <w:sz w:val="14"/>
    </w:rPr>
  </w:style>
  <w:style w:type="paragraph" w:customStyle="1" w:styleId="TableInnerSideHeading">
    <w:name w:val="Table InnerSideHeading"/>
    <w:basedOn w:val="TableSideHeading"/>
    <w:rsid w:val="0098265B"/>
    <w:pPr>
      <w:outlineLvl w:val="9"/>
    </w:pPr>
  </w:style>
  <w:style w:type="paragraph" w:customStyle="1" w:styleId="Hesber">
    <w:name w:val="Hesber"/>
    <w:basedOn w:val="a"/>
    <w:rsid w:val="0098265B"/>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98265B"/>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98265B"/>
    <w:rPr>
      <w:rFonts w:ascii="Arial" w:eastAsia="Arial Unicode MS" w:hAnsi="Arial" w:cs="David"/>
      <w:snapToGrid w:val="0"/>
      <w:sz w:val="14"/>
      <w:szCs w:val="20"/>
    </w:rPr>
  </w:style>
  <w:style w:type="character" w:styleId="a7">
    <w:name w:val="footnote reference"/>
    <w:aliases w:val="Footnote Reference"/>
    <w:basedOn w:val="a0"/>
    <w:semiHidden/>
    <w:rsid w:val="0098265B"/>
    <w:rPr>
      <w:vertAlign w:val="superscript"/>
    </w:rPr>
  </w:style>
  <w:style w:type="paragraph" w:customStyle="1" w:styleId="HesberHeading">
    <w:name w:val="Hesber Heading"/>
    <w:basedOn w:val="Hesber"/>
    <w:rsid w:val="0098265B"/>
    <w:pPr>
      <w:tabs>
        <w:tab w:val="left" w:pos="624"/>
        <w:tab w:val="left" w:pos="1247"/>
      </w:tabs>
    </w:pPr>
    <w:rPr>
      <w:b/>
      <w:bCs/>
    </w:rPr>
  </w:style>
  <w:style w:type="paragraph" w:customStyle="1" w:styleId="HesberWriters">
    <w:name w:val="Hesber Writers"/>
    <w:basedOn w:val="Hesber"/>
    <w:rsid w:val="0098265B"/>
    <w:pPr>
      <w:spacing w:before="120" w:after="120"/>
      <w:ind w:left="1418"/>
      <w:jc w:val="right"/>
    </w:pPr>
    <w:rPr>
      <w:b/>
      <w:bCs/>
    </w:rPr>
  </w:style>
  <w:style w:type="character" w:styleId="a8">
    <w:name w:val="endnote reference"/>
    <w:basedOn w:val="a0"/>
    <w:semiHidden/>
    <w:rsid w:val="0098265B"/>
    <w:rPr>
      <w:vertAlign w:val="superscript"/>
    </w:rPr>
  </w:style>
  <w:style w:type="paragraph" w:customStyle="1" w:styleId="TableBlockOutdent">
    <w:name w:val="Table BlockOutdent"/>
    <w:basedOn w:val="TableBlock"/>
    <w:rsid w:val="0098265B"/>
    <w:pPr>
      <w:ind w:left="624" w:hanging="624"/>
    </w:pPr>
  </w:style>
  <w:style w:type="paragraph" w:styleId="a9">
    <w:name w:val="header"/>
    <w:basedOn w:val="a"/>
    <w:link w:val="aa"/>
    <w:rsid w:val="0098265B"/>
    <w:pPr>
      <w:tabs>
        <w:tab w:val="center" w:pos="4153"/>
        <w:tab w:val="right" w:pos="8306"/>
      </w:tabs>
    </w:pPr>
  </w:style>
  <w:style w:type="character" w:customStyle="1" w:styleId="aa">
    <w:name w:val="כותרת עליונה תו"/>
    <w:basedOn w:val="a0"/>
    <w:link w:val="a9"/>
    <w:rsid w:val="0098265B"/>
    <w:rPr>
      <w:rFonts w:ascii="David" w:hAnsi="David" w:cs="David"/>
      <w:sz w:val="24"/>
      <w:szCs w:val="24"/>
    </w:rPr>
  </w:style>
  <w:style w:type="paragraph" w:styleId="ab">
    <w:name w:val="footer"/>
    <w:basedOn w:val="a"/>
    <w:link w:val="ac"/>
    <w:rsid w:val="0098265B"/>
    <w:pPr>
      <w:tabs>
        <w:tab w:val="center" w:pos="4153"/>
        <w:tab w:val="right" w:pos="8306"/>
      </w:tabs>
    </w:pPr>
  </w:style>
  <w:style w:type="character" w:customStyle="1" w:styleId="ac">
    <w:name w:val="כותרת תחתונה תו"/>
    <w:basedOn w:val="a0"/>
    <w:link w:val="ab"/>
    <w:rsid w:val="0098265B"/>
    <w:rPr>
      <w:rFonts w:ascii="David" w:hAnsi="David" w:cs="David"/>
      <w:sz w:val="24"/>
      <w:szCs w:val="24"/>
    </w:rPr>
  </w:style>
  <w:style w:type="character" w:styleId="ad">
    <w:name w:val="page number"/>
    <w:basedOn w:val="a0"/>
    <w:rsid w:val="0098265B"/>
  </w:style>
  <w:style w:type="paragraph" w:customStyle="1" w:styleId="Cover1-Reshumot">
    <w:name w:val="Cover 1-Reshumot"/>
    <w:basedOn w:val="a"/>
    <w:rsid w:val="0098265B"/>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98265B"/>
    <w:rPr>
      <w:sz w:val="36"/>
      <w:szCs w:val="52"/>
    </w:rPr>
  </w:style>
  <w:style w:type="paragraph" w:customStyle="1" w:styleId="Cover3-Haknesset">
    <w:name w:val="Cover 3-Haknesset"/>
    <w:basedOn w:val="Cover1-Reshumot"/>
    <w:rsid w:val="0098265B"/>
    <w:rPr>
      <w:b/>
      <w:bCs/>
      <w:spacing w:val="60"/>
    </w:rPr>
  </w:style>
  <w:style w:type="paragraph" w:customStyle="1" w:styleId="Cover4-Date">
    <w:name w:val="Cover 4-Date"/>
    <w:basedOn w:val="a"/>
    <w:rsid w:val="0098265B"/>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98265B"/>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98265B"/>
    <w:pPr>
      <w:widowControl/>
      <w:spacing w:before="120" w:after="120"/>
      <w:outlineLvl w:val="9"/>
    </w:pPr>
    <w:rPr>
      <w:rtl/>
      <w:cs/>
    </w:rPr>
  </w:style>
  <w:style w:type="paragraph" w:styleId="TOC1">
    <w:name w:val="toc 1"/>
    <w:basedOn w:val="a"/>
    <w:next w:val="a"/>
    <w:autoRedefine/>
    <w:uiPriority w:val="39"/>
    <w:unhideWhenUsed/>
    <w:rsid w:val="0098265B"/>
    <w:pPr>
      <w:tabs>
        <w:tab w:val="right" w:leader="dot" w:pos="9629"/>
      </w:tabs>
      <w:spacing w:after="100"/>
    </w:pPr>
    <w:rPr>
      <w:bCs/>
      <w:szCs w:val="22"/>
    </w:rPr>
  </w:style>
  <w:style w:type="paragraph" w:styleId="TOC2">
    <w:name w:val="toc 2"/>
    <w:basedOn w:val="a"/>
    <w:next w:val="a"/>
    <w:uiPriority w:val="39"/>
    <w:unhideWhenUsed/>
    <w:rsid w:val="0098265B"/>
    <w:pPr>
      <w:tabs>
        <w:tab w:val="right" w:leader="dot" w:pos="9628"/>
      </w:tabs>
      <w:spacing w:after="100"/>
    </w:pPr>
    <w:rPr>
      <w:szCs w:val="22"/>
    </w:rPr>
  </w:style>
  <w:style w:type="character" w:styleId="Hyperlink">
    <w:name w:val="Hyperlink"/>
    <w:basedOn w:val="a0"/>
    <w:uiPriority w:val="99"/>
    <w:unhideWhenUsed/>
    <w:rsid w:val="0098265B"/>
    <w:rPr>
      <w:color w:val="0563C1" w:themeColor="hyperlink"/>
      <w:u w:val="single"/>
    </w:rPr>
  </w:style>
  <w:style w:type="paragraph" w:styleId="TOC3">
    <w:name w:val="toc 3"/>
    <w:basedOn w:val="a"/>
    <w:next w:val="a"/>
    <w:uiPriority w:val="39"/>
    <w:unhideWhenUsed/>
    <w:rsid w:val="0098265B"/>
    <w:pPr>
      <w:numPr>
        <w:numId w:val="19"/>
      </w:numPr>
      <w:tabs>
        <w:tab w:val="right" w:leader="dot" w:pos="9629"/>
      </w:tabs>
      <w:spacing w:after="100"/>
      <w:ind w:left="811" w:hanging="357"/>
    </w:pPr>
    <w:rPr>
      <w:szCs w:val="22"/>
    </w:rPr>
  </w:style>
  <w:style w:type="paragraph" w:styleId="TOC4">
    <w:name w:val="toc 4"/>
    <w:basedOn w:val="a"/>
    <w:next w:val="a"/>
    <w:autoRedefine/>
    <w:unhideWhenUsed/>
    <w:qFormat/>
    <w:rsid w:val="0098265B"/>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98265B"/>
    <w:pPr>
      <w:tabs>
        <w:tab w:val="right" w:leader="dot" w:pos="9628"/>
      </w:tabs>
      <w:spacing w:after="100"/>
      <w:ind w:left="567"/>
    </w:pPr>
    <w:rPr>
      <w:szCs w:val="22"/>
    </w:rPr>
  </w:style>
  <w:style w:type="paragraph" w:styleId="TOC6">
    <w:name w:val="toc 6"/>
    <w:basedOn w:val="a"/>
    <w:next w:val="a"/>
    <w:autoRedefine/>
    <w:semiHidden/>
    <w:unhideWhenUsed/>
    <w:rsid w:val="0098265B"/>
    <w:pPr>
      <w:spacing w:after="100"/>
      <w:ind w:left="850"/>
    </w:pPr>
  </w:style>
  <w:style w:type="paragraph" w:styleId="TOC7">
    <w:name w:val="toc 7"/>
    <w:basedOn w:val="a"/>
    <w:next w:val="a"/>
    <w:autoRedefine/>
    <w:semiHidden/>
    <w:unhideWhenUsed/>
    <w:rsid w:val="0098265B"/>
    <w:pPr>
      <w:spacing w:after="100"/>
      <w:ind w:left="1020"/>
    </w:pPr>
  </w:style>
  <w:style w:type="paragraph" w:styleId="TOC8">
    <w:name w:val="toc 8"/>
    <w:basedOn w:val="a"/>
    <w:next w:val="a"/>
    <w:autoRedefine/>
    <w:semiHidden/>
    <w:unhideWhenUsed/>
    <w:rsid w:val="0098265B"/>
    <w:pPr>
      <w:spacing w:after="100"/>
      <w:ind w:left="1190"/>
    </w:pPr>
  </w:style>
  <w:style w:type="paragraph" w:styleId="TOC9">
    <w:name w:val="toc 9"/>
    <w:basedOn w:val="a"/>
    <w:next w:val="a"/>
    <w:autoRedefine/>
    <w:semiHidden/>
    <w:unhideWhenUsed/>
    <w:rsid w:val="0098265B"/>
    <w:pPr>
      <w:spacing w:after="100"/>
      <w:ind w:left="1360"/>
    </w:pPr>
  </w:style>
  <w:style w:type="paragraph" w:customStyle="1" w:styleId="TableHead2">
    <w:name w:val="Table Head2"/>
    <w:basedOn w:val="TableHead"/>
    <w:qFormat/>
    <w:rsid w:val="0098265B"/>
    <w:pPr>
      <w:outlineLvl w:val="9"/>
    </w:pPr>
  </w:style>
  <w:style w:type="paragraph" w:customStyle="1" w:styleId="TableSideHeading2">
    <w:name w:val="Table SideHeading2"/>
    <w:basedOn w:val="TableSideHeading"/>
    <w:autoRedefine/>
    <w:qFormat/>
    <w:rsid w:val="0098265B"/>
    <w:pPr>
      <w:keepLines w:val="0"/>
      <w:outlineLvl w:val="9"/>
    </w:pPr>
  </w:style>
  <w:style w:type="paragraph" w:customStyle="1" w:styleId="0">
    <w:name w:val="סגנון שורה ראשונה:  0  ס''מ"/>
    <w:basedOn w:val="2"/>
    <w:rsid w:val="0098265B"/>
    <w:rPr>
      <w:rFonts w:eastAsia="Times New Roman"/>
    </w:rPr>
  </w:style>
  <w:style w:type="paragraph" w:styleId="af">
    <w:name w:val="List Paragraph"/>
    <w:basedOn w:val="a"/>
    <w:uiPriority w:val="34"/>
    <w:qFormat/>
    <w:rsid w:val="0098265B"/>
    <w:pPr>
      <w:widowControl/>
      <w:spacing w:line="259" w:lineRule="auto"/>
    </w:pPr>
    <w:rPr>
      <w:rFonts w:asciiTheme="minorHAnsi" w:hAnsiTheme="minorHAnsi"/>
      <w:sz w:val="22"/>
    </w:rPr>
  </w:style>
  <w:style w:type="table" w:styleId="af0">
    <w:name w:val="Table Grid"/>
    <w:basedOn w:val="a1"/>
    <w:rsid w:val="0098265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98265B"/>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98265B"/>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98265B"/>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98265B"/>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2945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2025-06-17T21:09:00Z</dcterms:created>
  <dcterms:modified xsi:type="dcterms:W3CDTF">2025-06-17T21:09:00Z</dcterms:modified>
</cp:coreProperties>
</file>