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41FF" w14:textId="77777777" w:rsidR="00E469F3" w:rsidRDefault="00000000">
      <w:pPr>
        <w:tabs>
          <w:tab w:val="left" w:pos="1983"/>
        </w:tabs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19 יוני 2025</w:t>
      </w:r>
    </w:p>
    <w:p w14:paraId="66D1AE5F" w14:textId="77777777" w:rsidR="00E469F3" w:rsidRDefault="00E469F3">
      <w:pPr>
        <w:tabs>
          <w:tab w:val="left" w:pos="1983"/>
        </w:tabs>
        <w:spacing w:line="360" w:lineRule="auto"/>
        <w:jc w:val="center"/>
        <w:rPr>
          <w:b/>
          <w:color w:val="000000"/>
          <w:sz w:val="40"/>
          <w:szCs w:val="40"/>
          <w:u w:val="single"/>
        </w:rPr>
      </w:pPr>
    </w:p>
    <w:p w14:paraId="151B7171" w14:textId="77777777" w:rsidR="00E469F3" w:rsidRDefault="00000000">
      <w:pPr>
        <w:tabs>
          <w:tab w:val="left" w:pos="1983"/>
        </w:tabs>
        <w:spacing w:line="360" w:lineRule="auto"/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  <w:rtl/>
        </w:rPr>
        <w:t xml:space="preserve">הודעה בדבר מתן ארכה להגשת מסמכים </w:t>
      </w:r>
      <w:proofErr w:type="spellStart"/>
      <w:r>
        <w:rPr>
          <w:b/>
          <w:color w:val="000000"/>
          <w:sz w:val="40"/>
          <w:szCs w:val="40"/>
          <w:u w:val="single"/>
          <w:rtl/>
        </w:rPr>
        <w:t>בעררי</w:t>
      </w:r>
      <w:proofErr w:type="spellEnd"/>
      <w:r>
        <w:rPr>
          <w:b/>
          <w:color w:val="000000"/>
          <w:sz w:val="40"/>
          <w:szCs w:val="40"/>
          <w:u w:val="single"/>
          <w:rtl/>
        </w:rPr>
        <w:t xml:space="preserve"> השבחה</w:t>
      </w:r>
    </w:p>
    <w:p w14:paraId="58DBCA5A" w14:textId="7A6DD9D6" w:rsidR="00E469F3" w:rsidRDefault="00000000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rtl/>
        </w:rPr>
        <w:t xml:space="preserve">לאור הכרזת הממשלה על מצב מיוחד בעורף החל מיום 13.6.2025, ובהתאם לסמכות יו"ר וועדת הערר </w:t>
      </w:r>
      <w:proofErr w:type="spellStart"/>
      <w:r>
        <w:rPr>
          <w:sz w:val="28"/>
          <w:szCs w:val="28"/>
          <w:rtl/>
        </w:rPr>
        <w:t>מכח</w:t>
      </w:r>
      <w:proofErr w:type="spellEnd"/>
      <w:r>
        <w:rPr>
          <w:sz w:val="28"/>
          <w:szCs w:val="28"/>
          <w:rtl/>
        </w:rPr>
        <w:t xml:space="preserve"> סעיף 14(א) לתוספת השלישית לחוק התכנון והבניה תשכ"ה – 1965 בדבר הארכת התקופה להגשת ערר, נקבע כי התקופה שבין  הימים </w:t>
      </w:r>
      <w:r>
        <w:rPr>
          <w:sz w:val="28"/>
          <w:szCs w:val="28"/>
          <w:u w:val="single"/>
        </w:rPr>
        <w:t>13.6.2025</w:t>
      </w:r>
      <w:r>
        <w:rPr>
          <w:sz w:val="28"/>
          <w:szCs w:val="28"/>
          <w:rtl/>
        </w:rPr>
        <w:t xml:space="preserve"> ועד </w:t>
      </w:r>
      <w:r>
        <w:rPr>
          <w:sz w:val="28"/>
          <w:szCs w:val="28"/>
          <w:u w:val="single"/>
        </w:rPr>
        <w:t>22.6.2025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rtl/>
        </w:rPr>
        <w:t>לא תובא במניין הימים להגשת ערר או תשובה וכן להגשת מסמכים שהמועד להגשתם נקבע בהחלטת יו"ר או ועדה אלא אם צוין במפורש אחרת</w:t>
      </w:r>
      <w:r>
        <w:rPr>
          <w:sz w:val="28"/>
          <w:szCs w:val="28"/>
          <w:rtl/>
        </w:rPr>
        <w:t xml:space="preserve">, לפי העניין זאת </w:t>
      </w:r>
      <w:r>
        <w:rPr>
          <w:sz w:val="28"/>
          <w:szCs w:val="28"/>
          <w:u w:val="single"/>
          <w:rtl/>
        </w:rPr>
        <w:t>ללא צורך בהגשת בקשה להארכת מועד.</w:t>
      </w:r>
    </w:p>
    <w:p w14:paraId="02EEB16C" w14:textId="77777777" w:rsidR="00E469F3" w:rsidRDefault="0000000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ארכה זו ניתנת לטובת הגשת </w:t>
      </w:r>
      <w:r>
        <w:rPr>
          <w:b/>
          <w:sz w:val="36"/>
          <w:szCs w:val="36"/>
          <w:rtl/>
        </w:rPr>
        <w:t xml:space="preserve">עררי היטל השבחה בלבד </w:t>
      </w:r>
      <w:r>
        <w:rPr>
          <w:b/>
          <w:sz w:val="28"/>
          <w:szCs w:val="28"/>
          <w:rtl/>
        </w:rPr>
        <w:t xml:space="preserve">בהתאם לסעיף 14 לתוספת השלישית לחוק התכנון והבניה. </w:t>
      </w:r>
      <w:proofErr w:type="spellStart"/>
      <w:r>
        <w:rPr>
          <w:b/>
          <w:sz w:val="28"/>
          <w:szCs w:val="28"/>
          <w:rtl/>
        </w:rPr>
        <w:t>ארכות</w:t>
      </w:r>
      <w:proofErr w:type="spellEnd"/>
      <w:r>
        <w:rPr>
          <w:b/>
          <w:sz w:val="28"/>
          <w:szCs w:val="28"/>
          <w:rtl/>
        </w:rPr>
        <w:t xml:space="preserve"> להגשת עררים על החלטות ועדה מקומית בנושאי רישוי </w:t>
      </w:r>
      <w:proofErr w:type="spellStart"/>
      <w:r>
        <w:rPr>
          <w:b/>
          <w:sz w:val="28"/>
          <w:szCs w:val="28"/>
          <w:rtl/>
        </w:rPr>
        <w:t>ותכניות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ינתנו</w:t>
      </w:r>
      <w:proofErr w:type="spellEnd"/>
      <w:r>
        <w:rPr>
          <w:b/>
          <w:sz w:val="28"/>
          <w:szCs w:val="28"/>
          <w:rtl/>
        </w:rPr>
        <w:t xml:space="preserve"> בכפוף להגשת בקשה וקבלת החלטה מתאימה. </w:t>
      </w:r>
    </w:p>
    <w:p w14:paraId="1A191DBB" w14:textId="77777777" w:rsidR="00E469F3" w:rsidRDefault="00E469F3">
      <w:pPr>
        <w:spacing w:line="240" w:lineRule="auto"/>
        <w:jc w:val="both"/>
        <w:rPr>
          <w:b/>
          <w:sz w:val="4"/>
          <w:szCs w:val="4"/>
          <w:u w:val="single"/>
        </w:rPr>
      </w:pPr>
    </w:p>
    <w:p w14:paraId="509649D4" w14:textId="77777777" w:rsidR="00E469F3" w:rsidRDefault="0000000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בנוסף, עד ליום </w:t>
      </w:r>
      <w:r>
        <w:rPr>
          <w:b/>
          <w:sz w:val="28"/>
          <w:szCs w:val="28"/>
          <w:u w:val="single"/>
        </w:rPr>
        <w:t>28.6.2025</w:t>
      </w:r>
      <w:r>
        <w:rPr>
          <w:b/>
          <w:sz w:val="28"/>
          <w:szCs w:val="28"/>
          <w:rtl/>
        </w:rPr>
        <w:t xml:space="preserve"> ניתן יהיה לפתוח הליכי ערר השבחה בדרך של הגשת הערר דרך </w:t>
      </w:r>
      <w:r>
        <w:rPr>
          <w:b/>
          <w:sz w:val="28"/>
          <w:szCs w:val="28"/>
          <w:u w:val="single"/>
          <w:rtl/>
        </w:rPr>
        <w:t xml:space="preserve">הדואר האלקטרוני </w:t>
      </w:r>
      <w:r>
        <w:rPr>
          <w:b/>
          <w:sz w:val="28"/>
          <w:szCs w:val="28"/>
          <w:rtl/>
        </w:rPr>
        <w:t xml:space="preserve">של מזכירות ועדת הערר, המופיע להלן. עררי רישוי </w:t>
      </w:r>
      <w:proofErr w:type="spellStart"/>
      <w:r>
        <w:rPr>
          <w:b/>
          <w:sz w:val="28"/>
          <w:szCs w:val="28"/>
          <w:rtl/>
        </w:rPr>
        <w:t>ותכניות</w:t>
      </w:r>
      <w:proofErr w:type="spellEnd"/>
      <w:r>
        <w:rPr>
          <w:b/>
          <w:sz w:val="28"/>
          <w:szCs w:val="28"/>
          <w:rtl/>
        </w:rPr>
        <w:t xml:space="preserve"> יוגשו באמצעות </w:t>
      </w:r>
      <w:r>
        <w:rPr>
          <w:b/>
          <w:sz w:val="28"/>
          <w:szCs w:val="28"/>
          <w:u w:val="single"/>
          <w:rtl/>
        </w:rPr>
        <w:t>הגשה מקוונת</w:t>
      </w:r>
      <w:r>
        <w:rPr>
          <w:b/>
          <w:sz w:val="28"/>
          <w:szCs w:val="28"/>
          <w:rtl/>
        </w:rPr>
        <w:t xml:space="preserve">. עותקים פיזיים יוגשו למשרדי הוועדה לאחר סיום הכרזה על מצב החירום. באחריות המגיש לוודא קליטת המסמכים שהוגשו מול מזכירות וועדת הערר. </w:t>
      </w:r>
    </w:p>
    <w:p w14:paraId="309B3204" w14:textId="77777777" w:rsidR="00E469F3" w:rsidRDefault="00E469F3">
      <w:pPr>
        <w:spacing w:line="240" w:lineRule="auto"/>
        <w:jc w:val="both"/>
        <w:rPr>
          <w:b/>
          <w:sz w:val="28"/>
          <w:szCs w:val="28"/>
        </w:rPr>
      </w:pPr>
    </w:p>
    <w:p w14:paraId="4CDAA1CA" w14:textId="77777777" w:rsidR="00E469F3" w:rsidRDefault="00E469F3">
      <w:pPr>
        <w:spacing w:line="240" w:lineRule="auto"/>
        <w:jc w:val="both"/>
        <w:rPr>
          <w:b/>
          <w:sz w:val="28"/>
          <w:szCs w:val="28"/>
        </w:rPr>
      </w:pPr>
    </w:p>
    <w:p w14:paraId="7A7D9028" w14:textId="77777777" w:rsidR="00E469F3" w:rsidRDefault="00E469F3">
      <w:pPr>
        <w:spacing w:line="240" w:lineRule="auto"/>
        <w:jc w:val="both"/>
        <w:rPr>
          <w:b/>
          <w:sz w:val="28"/>
          <w:szCs w:val="28"/>
        </w:rPr>
      </w:pPr>
    </w:p>
    <w:p w14:paraId="3E103D33" w14:textId="77777777" w:rsidR="00E469F3" w:rsidRDefault="0000000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עוד מובא לידיעתכם כי משרדי וועדת הערר פועלים בהתאם להנחיות פקע"ר. לפיכך החל מיום ראשון </w:t>
      </w:r>
      <w:r>
        <w:rPr>
          <w:sz w:val="28"/>
          <w:szCs w:val="28"/>
          <w:rtl/>
        </w:rPr>
        <w:t xml:space="preserve">כ"ו בסיון, </w:t>
      </w:r>
      <w:proofErr w:type="spellStart"/>
      <w:r>
        <w:rPr>
          <w:sz w:val="28"/>
          <w:szCs w:val="28"/>
          <w:rtl/>
        </w:rPr>
        <w:t>התשפ"ה</w:t>
      </w:r>
      <w:proofErr w:type="spellEnd"/>
      <w:r>
        <w:rPr>
          <w:sz w:val="28"/>
          <w:szCs w:val="28"/>
          <w:rtl/>
        </w:rPr>
        <w:t xml:space="preserve"> 22 ביוני 2025, ניתן יהיה לפנות למשרדי ועדת הערר בשעות קבלת קהל.</w:t>
      </w:r>
    </w:p>
    <w:p w14:paraId="1008B24F" w14:textId="77453D46" w:rsidR="00E469F3" w:rsidRDefault="00000000" w:rsidP="000E6529">
      <w:pPr>
        <w:spacing w:line="240" w:lineRule="auto"/>
        <w:rPr>
          <w:rFonts w:hint="cs"/>
          <w:b/>
          <w:sz w:val="28"/>
          <w:szCs w:val="28"/>
          <w:rtl/>
        </w:rPr>
      </w:pPr>
      <w:r>
        <w:rPr>
          <w:b/>
          <w:sz w:val="28"/>
          <w:szCs w:val="28"/>
          <w:rtl/>
        </w:rPr>
        <w:t xml:space="preserve">כמו כן, ניתן  להגיש בקשות ופניות כמקובל באמצעות פקס ו/או הדוא"ל של המזכירויות </w:t>
      </w:r>
      <w:proofErr w:type="spellStart"/>
      <w:r>
        <w:rPr>
          <w:b/>
          <w:sz w:val="28"/>
          <w:szCs w:val="28"/>
          <w:rtl/>
        </w:rPr>
        <w:t>שכתובתיהן</w:t>
      </w:r>
      <w:proofErr w:type="spellEnd"/>
      <w:r>
        <w:rPr>
          <w:b/>
          <w:sz w:val="28"/>
          <w:szCs w:val="28"/>
          <w:rtl/>
        </w:rPr>
        <w:t>:</w:t>
      </w:r>
      <w:r w:rsidR="000E6529">
        <w:rPr>
          <w:rFonts w:hint="cs"/>
          <w:b/>
          <w:sz w:val="28"/>
          <w:szCs w:val="28"/>
          <w:rtl/>
        </w:rPr>
        <w:t xml:space="preserve"> מעלה יצחק 14, בניין מכבי, נוף הגליל.</w:t>
      </w:r>
      <w:r>
        <w:rPr>
          <w:b/>
          <w:sz w:val="28"/>
          <w:szCs w:val="28"/>
          <w:rtl/>
        </w:rPr>
        <w:br/>
        <w:t>פיצויים והיטלי השבחה</w:t>
      </w:r>
      <w:r>
        <w:rPr>
          <w:sz w:val="28"/>
          <w:szCs w:val="28"/>
        </w:rPr>
        <w:t xml:space="preserve">:  </w:t>
      </w:r>
      <w:hyperlink r:id="rId6" w:history="1">
        <w:r w:rsidR="000E6529" w:rsidRPr="00057F2F">
          <w:rPr>
            <w:rStyle w:val="Hyperlink"/>
            <w:sz w:val="28"/>
            <w:szCs w:val="28"/>
          </w:rPr>
          <w:t>netalig@iplan.gov.il</w:t>
        </w:r>
      </w:hyperlink>
      <w:r>
        <w:rPr>
          <w:sz w:val="28"/>
          <w:szCs w:val="28"/>
          <w:rtl/>
        </w:rPr>
        <w:t xml:space="preserve"> מס' פקס: 0</w:t>
      </w:r>
      <w:r w:rsidR="000E6529">
        <w:rPr>
          <w:rFonts w:hint="cs"/>
          <w:sz w:val="28"/>
          <w:szCs w:val="28"/>
          <w:rtl/>
        </w:rPr>
        <w:t>4-6453393</w:t>
      </w:r>
      <w:r>
        <w:rPr>
          <w:sz w:val="28"/>
          <w:szCs w:val="28"/>
          <w:rtl/>
        </w:rPr>
        <w:t>.</w:t>
      </w:r>
      <w:r>
        <w:rPr>
          <w:b/>
          <w:sz w:val="28"/>
          <w:szCs w:val="28"/>
          <w:rtl/>
        </w:rPr>
        <w:tab/>
      </w:r>
      <w:r>
        <w:rPr>
          <w:b/>
          <w:sz w:val="28"/>
          <w:szCs w:val="28"/>
          <w:rtl/>
        </w:rPr>
        <w:br/>
        <w:t>רישוי:</w:t>
      </w:r>
      <w:r w:rsidR="000E6529">
        <w:rPr>
          <w:rFonts w:hint="cs"/>
          <w:b/>
          <w:sz w:val="28"/>
          <w:szCs w:val="28"/>
          <w:rtl/>
        </w:rPr>
        <w:t xml:space="preserve"> </w:t>
      </w:r>
      <w:hyperlink r:id="rId7" w:history="1">
        <w:r w:rsidR="000E6529" w:rsidRPr="00057F2F">
          <w:rPr>
            <w:rStyle w:val="Hyperlink"/>
            <w:sz w:val="28"/>
            <w:szCs w:val="28"/>
          </w:rPr>
          <w:t>netalig@iplan.gov.il</w:t>
        </w:r>
      </w:hyperlink>
      <w:r w:rsidR="000E6529">
        <w:rPr>
          <w:rFonts w:hint="cs"/>
          <w:rtl/>
        </w:rPr>
        <w:t xml:space="preserve"> </w:t>
      </w:r>
      <w:r>
        <w:rPr>
          <w:sz w:val="28"/>
          <w:szCs w:val="28"/>
          <w:rtl/>
        </w:rPr>
        <w:t xml:space="preserve"> מס' </w:t>
      </w:r>
      <w:r w:rsidR="000E6529">
        <w:rPr>
          <w:rFonts w:hint="cs"/>
          <w:sz w:val="28"/>
          <w:szCs w:val="28"/>
          <w:rtl/>
        </w:rPr>
        <w:t>טלפון</w:t>
      </w:r>
      <w:r>
        <w:rPr>
          <w:sz w:val="28"/>
          <w:szCs w:val="28"/>
          <w:rtl/>
        </w:rPr>
        <w:t>: 0</w:t>
      </w:r>
      <w:r w:rsidR="000E6529">
        <w:rPr>
          <w:rFonts w:hint="cs"/>
          <w:sz w:val="28"/>
          <w:szCs w:val="28"/>
          <w:rtl/>
        </w:rPr>
        <w:t>4-7797304</w:t>
      </w:r>
      <w:r>
        <w:rPr>
          <w:sz w:val="28"/>
          <w:szCs w:val="28"/>
          <w:rtl/>
        </w:rPr>
        <w:t>.</w:t>
      </w:r>
    </w:p>
    <w:p w14:paraId="38AD3FF1" w14:textId="77777777" w:rsidR="00E469F3" w:rsidRDefault="00E469F3">
      <w:pPr>
        <w:spacing w:line="240" w:lineRule="auto"/>
        <w:jc w:val="both"/>
        <w:rPr>
          <w:rFonts w:hint="cs"/>
          <w:b/>
          <w:sz w:val="18"/>
          <w:szCs w:val="18"/>
        </w:rPr>
      </w:pPr>
    </w:p>
    <w:p w14:paraId="697ABFB7" w14:textId="77777777" w:rsidR="00E469F3" w:rsidRDefault="00000000">
      <w:pPr>
        <w:spacing w:line="240" w:lineRule="auto"/>
        <w:jc w:val="both"/>
        <w:rPr>
          <w:sz w:val="28"/>
          <w:szCs w:val="28"/>
        </w:rPr>
      </w:pPr>
      <w:bookmarkStart w:id="0" w:name="_mrfyg5fm7fqn" w:colFirst="0" w:colLast="0"/>
      <w:bookmarkEnd w:id="0"/>
      <w:r>
        <w:rPr>
          <w:b/>
          <w:sz w:val="28"/>
          <w:szCs w:val="28"/>
          <w:rtl/>
        </w:rPr>
        <w:t xml:space="preserve">דיונים הקבועים עד ליום 22.06.2025 </w:t>
      </w:r>
      <w:r>
        <w:rPr>
          <w:b/>
          <w:sz w:val="28"/>
          <w:szCs w:val="28"/>
          <w:u w:val="single"/>
          <w:rtl/>
        </w:rPr>
        <w:t>כולל</w:t>
      </w:r>
      <w:r>
        <w:rPr>
          <w:b/>
          <w:sz w:val="28"/>
          <w:szCs w:val="28"/>
          <w:rtl/>
        </w:rPr>
        <w:t xml:space="preserve"> – יתקיימו בהתאם להנחיות פיקוד העורף והחלטת יו"ר ועדת הערר. יש להתעדכן באופן פרטני מול המזכירות הרלוונטית. </w:t>
      </w:r>
      <w:r>
        <w:rPr>
          <w:sz w:val="28"/>
          <w:szCs w:val="28"/>
          <w:rtl/>
        </w:rPr>
        <w:t>ככל שהדיון יידחה - מועד חדש יקבע בהמשך ע"י המזכירות וישלח לצדדים. תקופה זו ייתכן ותוארך, על דיונים קבועים יש להתעדכן מול מזכירות ועדת הערר.</w:t>
      </w:r>
    </w:p>
    <w:p w14:paraId="2519AE0B" w14:textId="77777777" w:rsidR="00E469F3" w:rsidRDefault="00E469F3">
      <w:pPr>
        <w:spacing w:line="240" w:lineRule="auto"/>
        <w:jc w:val="both"/>
        <w:rPr>
          <w:sz w:val="10"/>
          <w:szCs w:val="10"/>
        </w:rPr>
      </w:pPr>
    </w:p>
    <w:p w14:paraId="65369850" w14:textId="77777777" w:rsidR="00E469F3" w:rsidRDefault="00000000">
      <w:pPr>
        <w:tabs>
          <w:tab w:val="left" w:pos="8306"/>
          <w:tab w:val="left" w:pos="12758"/>
        </w:tabs>
        <w:spacing w:line="240" w:lineRule="auto"/>
        <w:ind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* המשך פעילות המזכירות מעבר לתקופה הנקובה בהודעה זו תעודכן באתר מנהל התכנון ובכתובות הדוא"ל המצוינות לעיל.</w:t>
      </w:r>
    </w:p>
    <w:p w14:paraId="7A7E175D" w14:textId="77777777" w:rsidR="00E469F3" w:rsidRDefault="00000000">
      <w:pPr>
        <w:spacing w:line="240" w:lineRule="auto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26C83118" w14:textId="257CFAFC" w:rsidR="000E6529" w:rsidRDefault="00000000" w:rsidP="00584819">
      <w:pPr>
        <w:spacing w:line="240" w:lineRule="auto"/>
        <w:ind w:left="7200" w:firstLine="720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>בברכת ימים ולילות שקטים ובטוחים,</w:t>
      </w:r>
    </w:p>
    <w:p w14:paraId="623C88F7" w14:textId="7DF5215A" w:rsidR="00E469F3" w:rsidRDefault="00000000">
      <w:pPr>
        <w:spacing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   </w:t>
      </w:r>
      <w:r>
        <w:rPr>
          <w:sz w:val="28"/>
          <w:szCs w:val="28"/>
          <w:rtl/>
        </w:rPr>
        <w:tab/>
        <w:t xml:space="preserve">   </w:t>
      </w:r>
      <w:r>
        <w:rPr>
          <w:sz w:val="28"/>
          <w:szCs w:val="28"/>
          <w:rtl/>
        </w:rPr>
        <w:tab/>
        <w:t xml:space="preserve">            </w:t>
      </w:r>
      <w:r w:rsidR="000E6529"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  <w:rtl/>
        </w:rPr>
        <w:t xml:space="preserve">       ועדת ערר מחוז </w:t>
      </w:r>
      <w:r w:rsidR="000E6529">
        <w:rPr>
          <w:rFonts w:hint="cs"/>
          <w:sz w:val="28"/>
          <w:szCs w:val="28"/>
          <w:rtl/>
        </w:rPr>
        <w:t>צפון.</w:t>
      </w:r>
    </w:p>
    <w:sectPr w:rsidR="00E469F3">
      <w:headerReference w:type="default" r:id="rId8"/>
      <w:pgSz w:w="16838" w:h="11906" w:orient="landscape"/>
      <w:pgMar w:top="1361" w:right="2098" w:bottom="55" w:left="277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012F" w14:textId="77777777" w:rsidR="00EF5669" w:rsidRDefault="00EF5669">
      <w:pPr>
        <w:spacing w:after="0" w:line="240" w:lineRule="auto"/>
      </w:pPr>
      <w:r>
        <w:separator/>
      </w:r>
    </w:p>
  </w:endnote>
  <w:endnote w:type="continuationSeparator" w:id="0">
    <w:p w14:paraId="31FBFD0A" w14:textId="77777777" w:rsidR="00EF5669" w:rsidRDefault="00EF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2013" w14:textId="77777777" w:rsidR="00EF5669" w:rsidRDefault="00EF5669">
      <w:pPr>
        <w:spacing w:after="0" w:line="240" w:lineRule="auto"/>
      </w:pPr>
      <w:r>
        <w:separator/>
      </w:r>
    </w:p>
  </w:footnote>
  <w:footnote w:type="continuationSeparator" w:id="0">
    <w:p w14:paraId="2D020416" w14:textId="77777777" w:rsidR="00EF5669" w:rsidRDefault="00EF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CCB1" w14:textId="77777777" w:rsidR="00E469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3457"/>
      <w:rPr>
        <w:color w:val="000000"/>
      </w:rPr>
    </w:pPr>
    <w:r>
      <w:rPr>
        <w:noProof/>
        <w:color w:val="000000"/>
      </w:rPr>
      <w:drawing>
        <wp:inline distT="0" distB="0" distL="0" distR="0" wp14:anchorId="5D3D2A05" wp14:editId="0E81F3DC">
          <wp:extent cx="3664378" cy="154869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4378" cy="1548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A248AA" w14:textId="1204A0FB" w:rsidR="00E469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55"/>
      <w:jc w:val="center"/>
      <w:rPr>
        <w:rFonts w:ascii="David" w:eastAsia="David" w:hAnsi="David" w:cs="David"/>
        <w:b/>
        <w:color w:val="0070C0"/>
        <w:sz w:val="36"/>
        <w:szCs w:val="36"/>
      </w:rPr>
    </w:pPr>
    <w:r>
      <w:rPr>
        <w:rFonts w:ascii="David" w:eastAsia="David" w:hAnsi="David" w:cs="David"/>
        <w:b/>
        <w:color w:val="0070C0"/>
        <w:sz w:val="36"/>
        <w:szCs w:val="36"/>
        <w:rtl/>
      </w:rPr>
      <w:t xml:space="preserve">ועדת הערר המחוזית לפיצויים והיטלי השבחה – מחוז </w:t>
    </w:r>
    <w:r w:rsidR="00584819">
      <w:rPr>
        <w:rFonts w:ascii="David" w:eastAsia="David" w:hAnsi="David" w:cs="David" w:hint="cs"/>
        <w:b/>
        <w:color w:val="0070C0"/>
        <w:sz w:val="36"/>
        <w:szCs w:val="36"/>
        <w:rtl/>
      </w:rPr>
      <w:t>צפון</w:t>
    </w:r>
  </w:p>
  <w:p w14:paraId="35CA7B9A" w14:textId="77777777" w:rsidR="00E469F3" w:rsidRDefault="00E469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F3"/>
    <w:rsid w:val="000E6529"/>
    <w:rsid w:val="00584819"/>
    <w:rsid w:val="00BB2910"/>
    <w:rsid w:val="00E469F3"/>
    <w:rsid w:val="00E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4A676"/>
  <w15:docId w15:val="{74A60CCD-BF29-46C9-B716-B2BC8626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uiPriority w:val="99"/>
    <w:unhideWhenUsed/>
    <w:rsid w:val="000E652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652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E6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0E6529"/>
  </w:style>
  <w:style w:type="paragraph" w:styleId="a8">
    <w:name w:val="footer"/>
    <w:basedOn w:val="a"/>
    <w:link w:val="a9"/>
    <w:uiPriority w:val="99"/>
    <w:unhideWhenUsed/>
    <w:rsid w:val="000E6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0E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etalig@iplan.gov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alig@iplan.gov.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רימון אלוני</cp:lastModifiedBy>
  <cp:revision>2</cp:revision>
  <dcterms:created xsi:type="dcterms:W3CDTF">2025-06-19T14:58:00Z</dcterms:created>
  <dcterms:modified xsi:type="dcterms:W3CDTF">2025-06-19T15:10:00Z</dcterms:modified>
</cp:coreProperties>
</file>