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99D8D" w14:textId="77777777" w:rsidR="002B6483" w:rsidRPr="00DB5D42" w:rsidRDefault="00A460D6" w:rsidP="00DB5D42">
      <w:pPr>
        <w:tabs>
          <w:tab w:val="left" w:pos="1983"/>
        </w:tabs>
        <w:spacing w:line="360" w:lineRule="auto"/>
        <w:jc w:val="right"/>
        <w:rPr>
          <w:b/>
          <w:color w:val="000000"/>
          <w:sz w:val="28"/>
          <w:szCs w:val="28"/>
        </w:rPr>
      </w:pPr>
      <w:r>
        <w:rPr>
          <w:b/>
          <w:color w:val="000000"/>
          <w:sz w:val="28"/>
          <w:szCs w:val="28"/>
          <w:rtl/>
        </w:rPr>
        <w:t>19 יוני 2025</w:t>
      </w:r>
    </w:p>
    <w:p w14:paraId="66AB696B" w14:textId="77777777" w:rsidR="00F850A0" w:rsidRDefault="00A460D6" w:rsidP="00F850A0">
      <w:pPr>
        <w:tabs>
          <w:tab w:val="left" w:pos="1983"/>
        </w:tabs>
        <w:spacing w:after="0" w:line="360" w:lineRule="auto"/>
        <w:jc w:val="center"/>
        <w:rPr>
          <w:b/>
          <w:color w:val="000000"/>
          <w:sz w:val="40"/>
          <w:szCs w:val="40"/>
          <w:u w:val="single"/>
          <w:rtl/>
        </w:rPr>
      </w:pPr>
      <w:r>
        <w:rPr>
          <w:b/>
          <w:color w:val="000000"/>
          <w:sz w:val="40"/>
          <w:szCs w:val="40"/>
          <w:u w:val="single"/>
          <w:rtl/>
        </w:rPr>
        <w:t xml:space="preserve">הודעה בדבר מתן ארכה </w:t>
      </w:r>
      <w:r w:rsidR="00DB5D42">
        <w:rPr>
          <w:rFonts w:hint="cs"/>
          <w:b/>
          <w:color w:val="000000"/>
          <w:sz w:val="40"/>
          <w:szCs w:val="40"/>
          <w:u w:val="single"/>
          <w:rtl/>
        </w:rPr>
        <w:t>ל</w:t>
      </w:r>
      <w:r w:rsidR="00DB5D42" w:rsidRPr="00DB5D42">
        <w:rPr>
          <w:b/>
          <w:color w:val="000000"/>
          <w:sz w:val="40"/>
          <w:szCs w:val="40"/>
          <w:u w:val="single"/>
          <w:rtl/>
        </w:rPr>
        <w:t>מועדי הגשה</w:t>
      </w:r>
      <w:r w:rsidR="00F850A0">
        <w:rPr>
          <w:rFonts w:hint="cs"/>
          <w:b/>
          <w:color w:val="000000"/>
          <w:sz w:val="40"/>
          <w:szCs w:val="40"/>
          <w:u w:val="single"/>
          <w:rtl/>
        </w:rPr>
        <w:t xml:space="preserve"> </w:t>
      </w:r>
    </w:p>
    <w:p w14:paraId="15FCB9F9" w14:textId="5F0FDC26" w:rsidR="002B6483" w:rsidRDefault="00DB5D42">
      <w:pPr>
        <w:spacing w:line="240" w:lineRule="auto"/>
        <w:jc w:val="both"/>
        <w:rPr>
          <w:sz w:val="28"/>
          <w:szCs w:val="28"/>
          <w:u w:val="single"/>
        </w:rPr>
      </w:pPr>
      <w:r w:rsidRPr="00DB5D42">
        <w:rPr>
          <w:sz w:val="28"/>
          <w:szCs w:val="28"/>
          <w:rtl/>
        </w:rPr>
        <w:t>לאור הכרזת הממשלה על מצב מיוחד בעורף החל מיום 13.6.2025, ובהתאם לסמכות יו"ר ועדת הערר לפי סעי</w:t>
      </w:r>
      <w:r w:rsidR="00262EA0">
        <w:rPr>
          <w:rFonts w:hint="cs"/>
          <w:sz w:val="28"/>
          <w:szCs w:val="28"/>
          <w:rtl/>
        </w:rPr>
        <w:t>פים</w:t>
      </w:r>
      <w:r w:rsidR="00F850A0">
        <w:rPr>
          <w:rFonts w:hint="cs"/>
          <w:sz w:val="28"/>
          <w:szCs w:val="28"/>
          <w:rtl/>
        </w:rPr>
        <w:t xml:space="preserve"> 198(ד) </w:t>
      </w:r>
      <w:r w:rsidR="00262EA0">
        <w:rPr>
          <w:rFonts w:hint="cs"/>
          <w:sz w:val="28"/>
          <w:szCs w:val="28"/>
          <w:rtl/>
        </w:rPr>
        <w:t xml:space="preserve">ו- 198(ה)(4) </w:t>
      </w:r>
      <w:r w:rsidR="00F850A0">
        <w:rPr>
          <w:rFonts w:hint="cs"/>
          <w:sz w:val="28"/>
          <w:szCs w:val="28"/>
          <w:rtl/>
        </w:rPr>
        <w:t xml:space="preserve">לחוק </w:t>
      </w:r>
      <w:r w:rsidR="00F850A0" w:rsidRPr="00DB5D42">
        <w:rPr>
          <w:sz w:val="28"/>
          <w:szCs w:val="28"/>
          <w:rtl/>
        </w:rPr>
        <w:t>התכנון והבנייה, תשכ"ה</w:t>
      </w:r>
      <w:r w:rsidR="00F850A0">
        <w:rPr>
          <w:rFonts w:hint="cs"/>
          <w:sz w:val="28"/>
          <w:szCs w:val="28"/>
          <w:rtl/>
        </w:rPr>
        <w:t>-</w:t>
      </w:r>
      <w:r w:rsidR="00F850A0" w:rsidRPr="00DB5D42">
        <w:rPr>
          <w:sz w:val="28"/>
          <w:szCs w:val="28"/>
          <w:rtl/>
        </w:rPr>
        <w:t>1965</w:t>
      </w:r>
      <w:r w:rsidR="00F850A0">
        <w:rPr>
          <w:rFonts w:hint="cs"/>
          <w:sz w:val="28"/>
          <w:szCs w:val="28"/>
          <w:rtl/>
        </w:rPr>
        <w:t xml:space="preserve"> (להלן: החוק) ו</w:t>
      </w:r>
      <w:r w:rsidR="00262EA0">
        <w:rPr>
          <w:rFonts w:hint="cs"/>
          <w:sz w:val="28"/>
          <w:szCs w:val="28"/>
          <w:rtl/>
        </w:rPr>
        <w:t xml:space="preserve">לפי </w:t>
      </w:r>
      <w:r w:rsidR="00F850A0">
        <w:rPr>
          <w:rFonts w:hint="cs"/>
          <w:sz w:val="28"/>
          <w:szCs w:val="28"/>
          <w:rtl/>
        </w:rPr>
        <w:t xml:space="preserve">סעיפים </w:t>
      </w:r>
      <w:r w:rsidRPr="00DB5D42">
        <w:rPr>
          <w:sz w:val="28"/>
          <w:szCs w:val="28"/>
          <w:rtl/>
        </w:rPr>
        <w:t>14(א)</w:t>
      </w:r>
      <w:r w:rsidR="00F850A0">
        <w:rPr>
          <w:rFonts w:hint="cs"/>
          <w:sz w:val="28"/>
          <w:szCs w:val="28"/>
          <w:rtl/>
        </w:rPr>
        <w:t xml:space="preserve"> ו- 14(ב)(4)</w:t>
      </w:r>
      <w:r w:rsidRPr="00DB5D42">
        <w:rPr>
          <w:sz w:val="28"/>
          <w:szCs w:val="28"/>
          <w:rtl/>
        </w:rPr>
        <w:t xml:space="preserve"> לתוספת השלישית לחוק, נקבע כי התקופה שבין 13.6.2025 ל-22.6.2025 לא תובא במניין הימים להגשת ערר, תשובה או מסמכים, אשר מועד הגשתם נקבע בהחלטת היו"ר או הוועדה, אלא אם צוין אחרת במפורש, לפי העניין. זאת, ללא צורך בהגשת בקשה להארכת מועד.</w:t>
      </w:r>
    </w:p>
    <w:p w14:paraId="1B7739AF" w14:textId="3604AADC" w:rsidR="002B6483" w:rsidRPr="00FC2EFF" w:rsidRDefault="00DB5D42" w:rsidP="00FC2EFF">
      <w:pPr>
        <w:spacing w:line="240" w:lineRule="auto"/>
        <w:jc w:val="both"/>
        <w:rPr>
          <w:b/>
          <w:sz w:val="28"/>
          <w:szCs w:val="28"/>
        </w:rPr>
      </w:pPr>
      <w:r w:rsidRPr="00DB5D42">
        <w:rPr>
          <w:b/>
          <w:sz w:val="28"/>
          <w:szCs w:val="28"/>
          <w:rtl/>
        </w:rPr>
        <w:t xml:space="preserve">ארכה זו ניתנת </w:t>
      </w:r>
      <w:r w:rsidR="00F850A0">
        <w:rPr>
          <w:rFonts w:hint="cs"/>
          <w:b/>
          <w:sz w:val="28"/>
          <w:szCs w:val="28"/>
          <w:rtl/>
        </w:rPr>
        <w:t xml:space="preserve">אך ורק </w:t>
      </w:r>
      <w:r w:rsidRPr="00DB5D42">
        <w:rPr>
          <w:b/>
          <w:sz w:val="28"/>
          <w:szCs w:val="28"/>
          <w:rtl/>
        </w:rPr>
        <w:t xml:space="preserve">בקשר להליכים </w:t>
      </w:r>
      <w:r w:rsidR="00F850A0">
        <w:rPr>
          <w:rFonts w:hint="cs"/>
          <w:b/>
          <w:sz w:val="28"/>
          <w:szCs w:val="28"/>
          <w:rtl/>
        </w:rPr>
        <w:t xml:space="preserve">המתנהלים כדין </w:t>
      </w:r>
      <w:r w:rsidRPr="00DB5D42">
        <w:rPr>
          <w:b/>
          <w:sz w:val="28"/>
          <w:szCs w:val="28"/>
          <w:rtl/>
        </w:rPr>
        <w:t>לפני ועדת הערר לפיצויים והיטל השבחה, בהתאם לסעיף 198 לחוק או לסעיף 14 לתוספת השלישית</w:t>
      </w:r>
      <w:r w:rsidR="00FC2EFF">
        <w:rPr>
          <w:rFonts w:hint="cs"/>
          <w:b/>
          <w:sz w:val="28"/>
          <w:szCs w:val="28"/>
          <w:rtl/>
        </w:rPr>
        <w:t xml:space="preserve"> </w:t>
      </w:r>
      <w:r w:rsidRPr="00DB5D42">
        <w:rPr>
          <w:b/>
          <w:sz w:val="28"/>
          <w:szCs w:val="28"/>
          <w:rtl/>
        </w:rPr>
        <w:t xml:space="preserve">לחוק. </w:t>
      </w:r>
      <w:proofErr w:type="spellStart"/>
      <w:r w:rsidRPr="00DB5D42">
        <w:rPr>
          <w:b/>
          <w:sz w:val="28"/>
          <w:szCs w:val="28"/>
          <w:rtl/>
        </w:rPr>
        <w:t>ארכות</w:t>
      </w:r>
      <w:proofErr w:type="spellEnd"/>
      <w:r w:rsidRPr="00DB5D42">
        <w:rPr>
          <w:b/>
          <w:sz w:val="28"/>
          <w:szCs w:val="28"/>
          <w:rtl/>
        </w:rPr>
        <w:t xml:space="preserve"> להגשת עררים על החלטות ועדה מקומית בנושאי תכנון ורישוי יינתנו בכפוף להגשת בקשה מתאימה.</w:t>
      </w:r>
      <w:r w:rsidR="00A460D6">
        <w:rPr>
          <w:b/>
          <w:sz w:val="28"/>
          <w:szCs w:val="28"/>
          <w:rtl/>
        </w:rPr>
        <w:t xml:space="preserve"> </w:t>
      </w:r>
    </w:p>
    <w:p w14:paraId="47ECB934" w14:textId="77F82038" w:rsidR="00AE501E" w:rsidRDefault="00FC2EFF" w:rsidP="00BC6758">
      <w:pPr>
        <w:spacing w:line="240" w:lineRule="auto"/>
        <w:jc w:val="both"/>
        <w:rPr>
          <w:b/>
          <w:sz w:val="28"/>
          <w:szCs w:val="28"/>
          <w:rtl/>
        </w:rPr>
      </w:pPr>
      <w:r w:rsidRPr="00FC2EFF">
        <w:rPr>
          <w:b/>
          <w:sz w:val="28"/>
          <w:szCs w:val="28"/>
          <w:rtl/>
        </w:rPr>
        <w:t>בנוסף, עד ליום 28.6.2025 ניתן יהיה לפתוח בהליכי</w:t>
      </w:r>
      <w:r>
        <w:rPr>
          <w:rFonts w:hint="cs"/>
          <w:b/>
          <w:sz w:val="28"/>
          <w:szCs w:val="28"/>
          <w:rtl/>
        </w:rPr>
        <w:t>ם</w:t>
      </w:r>
      <w:r w:rsidRPr="00FC2EFF">
        <w:rPr>
          <w:b/>
          <w:sz w:val="28"/>
          <w:szCs w:val="28"/>
          <w:rtl/>
        </w:rPr>
        <w:t xml:space="preserve"> </w:t>
      </w:r>
      <w:r w:rsidR="00F850A0">
        <w:rPr>
          <w:rFonts w:hint="cs"/>
          <w:b/>
          <w:sz w:val="28"/>
          <w:szCs w:val="28"/>
          <w:rtl/>
        </w:rPr>
        <w:t xml:space="preserve">מכוח </w:t>
      </w:r>
      <w:r w:rsidRPr="00DB5D42">
        <w:rPr>
          <w:b/>
          <w:sz w:val="28"/>
          <w:szCs w:val="28"/>
          <w:rtl/>
        </w:rPr>
        <w:t xml:space="preserve">סעיף 198 לחוק או </w:t>
      </w:r>
      <w:r w:rsidR="00F850A0">
        <w:rPr>
          <w:rFonts w:hint="cs"/>
          <w:b/>
          <w:sz w:val="28"/>
          <w:szCs w:val="28"/>
          <w:rtl/>
        </w:rPr>
        <w:t xml:space="preserve">מכוח </w:t>
      </w:r>
      <w:r w:rsidRPr="00DB5D42">
        <w:rPr>
          <w:b/>
          <w:sz w:val="28"/>
          <w:szCs w:val="28"/>
          <w:rtl/>
        </w:rPr>
        <w:t>סעיף 14 לתוספת השלישית לחוק</w:t>
      </w:r>
      <w:r w:rsidR="005854BB">
        <w:rPr>
          <w:rFonts w:hint="cs"/>
          <w:b/>
          <w:sz w:val="28"/>
          <w:szCs w:val="28"/>
          <w:rtl/>
        </w:rPr>
        <w:t>,</w:t>
      </w:r>
      <w:r w:rsidRPr="00FC2EFF">
        <w:rPr>
          <w:b/>
          <w:sz w:val="28"/>
          <w:szCs w:val="28"/>
          <w:rtl/>
        </w:rPr>
        <w:t xml:space="preserve"> באמצעות הגשת הערר לדואר האלקטרוני של מזכירות ועדת הערר, כמפורט להלן. </w:t>
      </w:r>
    </w:p>
    <w:p w14:paraId="5F89D66E" w14:textId="2C13FC3F" w:rsidR="002B6483" w:rsidRDefault="00FC2EFF" w:rsidP="00BC6758">
      <w:pPr>
        <w:spacing w:line="240" w:lineRule="auto"/>
        <w:jc w:val="both"/>
        <w:rPr>
          <w:b/>
          <w:sz w:val="28"/>
          <w:szCs w:val="28"/>
        </w:rPr>
      </w:pPr>
      <w:r w:rsidRPr="00FC2EFF">
        <w:rPr>
          <w:b/>
          <w:sz w:val="28"/>
          <w:szCs w:val="28"/>
          <w:rtl/>
        </w:rPr>
        <w:t>עררי רישוי</w:t>
      </w:r>
      <w:r w:rsidR="00F850A0">
        <w:rPr>
          <w:rFonts w:hint="cs"/>
          <w:b/>
          <w:sz w:val="28"/>
          <w:szCs w:val="28"/>
          <w:rtl/>
        </w:rPr>
        <w:t>, עררים על תוכניות ובקשות רשות ערר על תוכניות</w:t>
      </w:r>
      <w:r w:rsidRPr="00FC2EFF">
        <w:rPr>
          <w:b/>
          <w:sz w:val="28"/>
          <w:szCs w:val="28"/>
          <w:rtl/>
        </w:rPr>
        <w:t xml:space="preserve"> יוגשו באמצעות מערכת ההגשה המקוונת. עותקים פיזיים יוגשו למשרדי הוועדה לאחר סיום ההכרזה על מצב החירום. באחריות המגיש לוודא קליטת המסמכים מול מזכירות ועדת הערר.</w:t>
      </w:r>
    </w:p>
    <w:p w14:paraId="45F4324C" w14:textId="77777777" w:rsidR="002B6483" w:rsidRDefault="00A460D6">
      <w:pPr>
        <w:spacing w:line="240" w:lineRule="auto"/>
        <w:jc w:val="both"/>
        <w:rPr>
          <w:sz w:val="28"/>
          <w:szCs w:val="28"/>
        </w:rPr>
      </w:pPr>
      <w:r>
        <w:rPr>
          <w:b/>
          <w:sz w:val="28"/>
          <w:szCs w:val="28"/>
          <w:rtl/>
        </w:rPr>
        <w:t xml:space="preserve">עוד מובא לידיעתכם כי </w:t>
      </w:r>
      <w:r w:rsidR="00BC6758" w:rsidRPr="00BC6758">
        <w:rPr>
          <w:b/>
          <w:sz w:val="28"/>
          <w:szCs w:val="28"/>
          <w:rtl/>
        </w:rPr>
        <w:t>משרדי ועדת הערר פועלים בהתאם להנחיות פיקוד העורף, ועל כן ייתכנו שינויים במתכונת הפעילות. זאת, בהתאם להנחיות העדכניות.</w:t>
      </w:r>
    </w:p>
    <w:p w14:paraId="443A5C82" w14:textId="77777777" w:rsidR="00F26B6F" w:rsidRDefault="00DB1CD8" w:rsidP="00AE501E">
      <w:pPr>
        <w:rPr>
          <w:b/>
          <w:sz w:val="28"/>
          <w:szCs w:val="28"/>
          <w:rtl/>
        </w:rPr>
      </w:pPr>
      <w:r>
        <w:rPr>
          <w:b/>
          <w:sz w:val="28"/>
          <w:szCs w:val="28"/>
          <w:rtl/>
        </w:rPr>
        <w:br w:type="page"/>
      </w:r>
    </w:p>
    <w:p w14:paraId="0DFBCB56" w14:textId="77777777" w:rsidR="002B6483" w:rsidRDefault="00A460D6" w:rsidP="00DB1CD8">
      <w:pPr>
        <w:spacing w:line="240" w:lineRule="auto"/>
        <w:jc w:val="both"/>
        <w:rPr>
          <w:b/>
          <w:sz w:val="28"/>
          <w:szCs w:val="28"/>
          <w:rtl/>
        </w:rPr>
      </w:pPr>
      <w:r>
        <w:rPr>
          <w:b/>
          <w:sz w:val="28"/>
          <w:szCs w:val="28"/>
          <w:rtl/>
        </w:rPr>
        <w:lastRenderedPageBreak/>
        <w:t xml:space="preserve">כמו כן, ניתן  להגיש בקשות ופניות כמקובל באמצעות פקס ו/או הדוא"ל של המזכירויות </w:t>
      </w:r>
      <w:proofErr w:type="spellStart"/>
      <w:r>
        <w:rPr>
          <w:b/>
          <w:sz w:val="28"/>
          <w:szCs w:val="28"/>
          <w:rtl/>
        </w:rPr>
        <w:t>שכתובתיהן</w:t>
      </w:r>
      <w:proofErr w:type="spellEnd"/>
      <w:r>
        <w:rPr>
          <w:b/>
          <w:sz w:val="28"/>
          <w:szCs w:val="28"/>
          <w:rtl/>
        </w:rPr>
        <w:t>:</w:t>
      </w:r>
      <w:r>
        <w:rPr>
          <w:b/>
          <w:sz w:val="28"/>
          <w:szCs w:val="28"/>
          <w:rtl/>
        </w:rPr>
        <w:tab/>
      </w:r>
    </w:p>
    <w:tbl>
      <w:tblPr>
        <w:tblStyle w:val="TableGrid"/>
        <w:bidiVisual/>
        <w:tblW w:w="0" w:type="auto"/>
        <w:tblLook w:val="04A0" w:firstRow="1" w:lastRow="0" w:firstColumn="1" w:lastColumn="0" w:noHBand="0" w:noVBand="1"/>
      </w:tblPr>
      <w:tblGrid>
        <w:gridCol w:w="2871"/>
        <w:gridCol w:w="3039"/>
        <w:gridCol w:w="3039"/>
        <w:gridCol w:w="3003"/>
      </w:tblGrid>
      <w:tr w:rsidR="00A67823" w14:paraId="6B55F2E3" w14:textId="77777777" w:rsidTr="00A67823">
        <w:tc>
          <w:tcPr>
            <w:tcW w:w="2891" w:type="dxa"/>
            <w:vAlign w:val="center"/>
          </w:tcPr>
          <w:p w14:paraId="0FB44922" w14:textId="77777777" w:rsidR="00A67823" w:rsidRPr="00A67823" w:rsidRDefault="00A67823" w:rsidP="00DB1CD8">
            <w:pPr>
              <w:jc w:val="center"/>
              <w:rPr>
                <w:bCs/>
                <w:sz w:val="28"/>
                <w:szCs w:val="28"/>
                <w:rtl/>
              </w:rPr>
            </w:pPr>
            <w:r w:rsidRPr="00A67823">
              <w:rPr>
                <w:rFonts w:hint="cs"/>
                <w:bCs/>
                <w:sz w:val="28"/>
                <w:szCs w:val="28"/>
                <w:rtl/>
              </w:rPr>
              <w:t xml:space="preserve">ועדת ערר לפיצויים והיטל השבחה בראשות </w:t>
            </w:r>
            <w:r w:rsidRPr="00A67823">
              <w:rPr>
                <w:bCs/>
                <w:sz w:val="28"/>
                <w:szCs w:val="28"/>
                <w:rtl/>
              </w:rPr>
              <w:t>עו"ד סיגלית אסייג – צרויה</w:t>
            </w:r>
          </w:p>
          <w:p w14:paraId="12665B3F" w14:textId="77777777" w:rsidR="00A67823" w:rsidRPr="00A67823" w:rsidRDefault="00A67823" w:rsidP="00DB1CD8">
            <w:pPr>
              <w:jc w:val="center"/>
              <w:rPr>
                <w:bCs/>
                <w:sz w:val="28"/>
                <w:szCs w:val="28"/>
                <w:rtl/>
              </w:rPr>
            </w:pPr>
            <w:r w:rsidRPr="00A67823">
              <w:rPr>
                <w:rFonts w:hint="cs"/>
                <w:bCs/>
                <w:sz w:val="28"/>
                <w:szCs w:val="28"/>
                <w:rtl/>
              </w:rPr>
              <w:t>(1)</w:t>
            </w:r>
          </w:p>
        </w:tc>
        <w:tc>
          <w:tcPr>
            <w:tcW w:w="3118" w:type="dxa"/>
            <w:vAlign w:val="center"/>
          </w:tcPr>
          <w:p w14:paraId="7BC734B5" w14:textId="77777777" w:rsidR="00A67823" w:rsidRPr="00A67823" w:rsidRDefault="00A67823" w:rsidP="00DB1CD8">
            <w:pPr>
              <w:jc w:val="center"/>
              <w:rPr>
                <w:bCs/>
                <w:sz w:val="28"/>
                <w:szCs w:val="28"/>
                <w:rtl/>
              </w:rPr>
            </w:pPr>
            <w:r w:rsidRPr="00A67823">
              <w:rPr>
                <w:rFonts w:hint="cs"/>
                <w:bCs/>
                <w:sz w:val="28"/>
                <w:szCs w:val="28"/>
                <w:rtl/>
              </w:rPr>
              <w:t xml:space="preserve">ועדת ערר לפיצויים והיטל השבחה בראשות </w:t>
            </w:r>
            <w:r w:rsidRPr="00A67823">
              <w:rPr>
                <w:bCs/>
                <w:sz w:val="28"/>
                <w:szCs w:val="28"/>
                <w:rtl/>
              </w:rPr>
              <w:t>עו"ד יוני שורץ</w:t>
            </w:r>
          </w:p>
          <w:p w14:paraId="243E0622" w14:textId="77777777" w:rsidR="00A67823" w:rsidRPr="00A67823" w:rsidRDefault="00A67823" w:rsidP="00DB1CD8">
            <w:pPr>
              <w:jc w:val="center"/>
              <w:rPr>
                <w:bCs/>
                <w:sz w:val="28"/>
                <w:szCs w:val="28"/>
                <w:rtl/>
              </w:rPr>
            </w:pPr>
            <w:r w:rsidRPr="00A67823">
              <w:rPr>
                <w:rFonts w:hint="cs"/>
                <w:bCs/>
                <w:sz w:val="28"/>
                <w:szCs w:val="28"/>
                <w:rtl/>
              </w:rPr>
              <w:t>(2)</w:t>
            </w:r>
          </w:p>
        </w:tc>
        <w:tc>
          <w:tcPr>
            <w:tcW w:w="3119" w:type="dxa"/>
            <w:vAlign w:val="center"/>
          </w:tcPr>
          <w:p w14:paraId="7A7DFBEC" w14:textId="77777777" w:rsidR="00A67823" w:rsidRPr="00A67823" w:rsidRDefault="00A67823" w:rsidP="00DB1CD8">
            <w:pPr>
              <w:jc w:val="center"/>
              <w:rPr>
                <w:bCs/>
                <w:sz w:val="28"/>
                <w:szCs w:val="28"/>
                <w:rtl/>
              </w:rPr>
            </w:pPr>
            <w:r w:rsidRPr="00A67823">
              <w:rPr>
                <w:rFonts w:hint="cs"/>
                <w:bCs/>
                <w:sz w:val="28"/>
                <w:szCs w:val="28"/>
                <w:rtl/>
              </w:rPr>
              <w:t xml:space="preserve">ועדת ערר לפיצויים והיטל השבחה בראשות </w:t>
            </w:r>
            <w:r w:rsidRPr="00A67823">
              <w:rPr>
                <w:bCs/>
                <w:sz w:val="28"/>
                <w:szCs w:val="28"/>
                <w:rtl/>
              </w:rPr>
              <w:t>עו"ד</w:t>
            </w:r>
            <w:r w:rsidRPr="00A67823">
              <w:rPr>
                <w:rFonts w:hint="cs"/>
                <w:bCs/>
                <w:sz w:val="28"/>
                <w:szCs w:val="28"/>
                <w:rtl/>
              </w:rPr>
              <w:t xml:space="preserve"> דביר סגלוביץ'</w:t>
            </w:r>
          </w:p>
          <w:p w14:paraId="4E368811" w14:textId="77777777" w:rsidR="00A67823" w:rsidRPr="00A67823" w:rsidRDefault="00A67823" w:rsidP="00DB1CD8">
            <w:pPr>
              <w:jc w:val="center"/>
              <w:rPr>
                <w:bCs/>
                <w:sz w:val="28"/>
                <w:szCs w:val="28"/>
                <w:rtl/>
              </w:rPr>
            </w:pPr>
            <w:r w:rsidRPr="00A67823">
              <w:rPr>
                <w:rFonts w:hint="cs"/>
                <w:bCs/>
                <w:sz w:val="28"/>
                <w:szCs w:val="28"/>
                <w:rtl/>
              </w:rPr>
              <w:t>(3)</w:t>
            </w:r>
          </w:p>
        </w:tc>
        <w:tc>
          <w:tcPr>
            <w:tcW w:w="2824" w:type="dxa"/>
            <w:vAlign w:val="center"/>
          </w:tcPr>
          <w:p w14:paraId="1D0ECD6B" w14:textId="77777777" w:rsidR="00A67823" w:rsidRPr="00A67823" w:rsidRDefault="00A67823" w:rsidP="00DB1CD8">
            <w:pPr>
              <w:jc w:val="center"/>
              <w:rPr>
                <w:bCs/>
                <w:sz w:val="28"/>
                <w:szCs w:val="28"/>
                <w:rtl/>
              </w:rPr>
            </w:pPr>
            <w:r w:rsidRPr="00A67823">
              <w:rPr>
                <w:rFonts w:hint="cs"/>
                <w:bCs/>
                <w:sz w:val="28"/>
                <w:szCs w:val="28"/>
                <w:rtl/>
              </w:rPr>
              <w:t xml:space="preserve">ועדת ערר לפיצויים והיטל השבחה בראשות </w:t>
            </w:r>
            <w:r w:rsidRPr="00A67823">
              <w:rPr>
                <w:bCs/>
                <w:sz w:val="28"/>
                <w:szCs w:val="28"/>
                <w:rtl/>
              </w:rPr>
              <w:t>עו"ד</w:t>
            </w:r>
            <w:r w:rsidRPr="00A67823">
              <w:rPr>
                <w:rFonts w:hint="cs"/>
                <w:bCs/>
                <w:sz w:val="28"/>
                <w:szCs w:val="28"/>
                <w:rtl/>
              </w:rPr>
              <w:t xml:space="preserve"> </w:t>
            </w:r>
            <w:proofErr w:type="spellStart"/>
            <w:r w:rsidRPr="00A67823">
              <w:rPr>
                <w:bCs/>
                <w:sz w:val="28"/>
                <w:szCs w:val="28"/>
                <w:rtl/>
              </w:rPr>
              <w:t>עו"ד</w:t>
            </w:r>
            <w:proofErr w:type="spellEnd"/>
            <w:r w:rsidRPr="00A67823">
              <w:rPr>
                <w:bCs/>
                <w:sz w:val="28"/>
                <w:szCs w:val="28"/>
                <w:rtl/>
              </w:rPr>
              <w:t xml:space="preserve"> מאיה אשכנזי</w:t>
            </w:r>
          </w:p>
          <w:p w14:paraId="5BEB4228" w14:textId="77777777" w:rsidR="00A67823" w:rsidRPr="00A67823" w:rsidRDefault="00A67823" w:rsidP="00DB1CD8">
            <w:pPr>
              <w:jc w:val="center"/>
              <w:rPr>
                <w:bCs/>
                <w:sz w:val="28"/>
                <w:szCs w:val="28"/>
                <w:rtl/>
              </w:rPr>
            </w:pPr>
            <w:r w:rsidRPr="00A67823">
              <w:rPr>
                <w:rFonts w:hint="cs"/>
                <w:bCs/>
                <w:sz w:val="28"/>
                <w:szCs w:val="28"/>
                <w:rtl/>
              </w:rPr>
              <w:t>(4)</w:t>
            </w:r>
          </w:p>
        </w:tc>
      </w:tr>
      <w:tr w:rsidR="00A67823" w14:paraId="5584F2C2" w14:textId="77777777" w:rsidTr="00A67823">
        <w:tc>
          <w:tcPr>
            <w:tcW w:w="2891" w:type="dxa"/>
            <w:vAlign w:val="center"/>
          </w:tcPr>
          <w:p w14:paraId="5B53E00E" w14:textId="77777777" w:rsidR="00A67823" w:rsidRDefault="00A67823" w:rsidP="00DB1CD8">
            <w:pPr>
              <w:jc w:val="center"/>
              <w:rPr>
                <w:b/>
                <w:sz w:val="28"/>
                <w:szCs w:val="28"/>
                <w:rtl/>
              </w:rPr>
            </w:pPr>
            <w:r>
              <w:rPr>
                <w:rFonts w:hint="cs"/>
                <w:b/>
                <w:sz w:val="28"/>
                <w:szCs w:val="28"/>
                <w:rtl/>
              </w:rPr>
              <w:t>מזכירת ועדה:</w:t>
            </w:r>
          </w:p>
          <w:p w14:paraId="3BC76103" w14:textId="77777777" w:rsidR="00A67823" w:rsidRPr="00A67823" w:rsidRDefault="00A67823" w:rsidP="00DB1CD8">
            <w:pPr>
              <w:jc w:val="center"/>
              <w:rPr>
                <w:b/>
                <w:sz w:val="28"/>
                <w:szCs w:val="28"/>
                <w:rtl/>
              </w:rPr>
            </w:pPr>
            <w:r w:rsidRPr="00A67823">
              <w:rPr>
                <w:b/>
                <w:sz w:val="28"/>
                <w:szCs w:val="28"/>
                <w:rtl/>
              </w:rPr>
              <w:t>אפרת אזולאי</w:t>
            </w:r>
          </w:p>
        </w:tc>
        <w:tc>
          <w:tcPr>
            <w:tcW w:w="3118" w:type="dxa"/>
            <w:vAlign w:val="center"/>
          </w:tcPr>
          <w:p w14:paraId="6AE18774" w14:textId="77777777" w:rsidR="00A67823" w:rsidRDefault="00A67823" w:rsidP="00A67823">
            <w:pPr>
              <w:jc w:val="center"/>
              <w:rPr>
                <w:b/>
                <w:sz w:val="28"/>
                <w:szCs w:val="28"/>
                <w:rtl/>
              </w:rPr>
            </w:pPr>
            <w:r>
              <w:rPr>
                <w:rFonts w:hint="cs"/>
                <w:b/>
                <w:sz w:val="28"/>
                <w:szCs w:val="28"/>
                <w:rtl/>
              </w:rPr>
              <w:t>מזכירת ועדה:</w:t>
            </w:r>
          </w:p>
          <w:p w14:paraId="69166566" w14:textId="77777777" w:rsidR="00A67823" w:rsidRPr="00A67823" w:rsidRDefault="00A67823" w:rsidP="00A67823">
            <w:pPr>
              <w:jc w:val="center"/>
              <w:rPr>
                <w:b/>
                <w:sz w:val="28"/>
                <w:szCs w:val="28"/>
                <w:rtl/>
              </w:rPr>
            </w:pPr>
            <w:r w:rsidRPr="00A67823">
              <w:rPr>
                <w:b/>
                <w:sz w:val="28"/>
                <w:szCs w:val="28"/>
                <w:rtl/>
              </w:rPr>
              <w:t>ליאת סנדורי</w:t>
            </w:r>
          </w:p>
        </w:tc>
        <w:tc>
          <w:tcPr>
            <w:tcW w:w="3119" w:type="dxa"/>
            <w:vAlign w:val="center"/>
          </w:tcPr>
          <w:p w14:paraId="1B3CE86D" w14:textId="77777777" w:rsidR="00A67823" w:rsidRDefault="00A67823" w:rsidP="00A67823">
            <w:pPr>
              <w:jc w:val="center"/>
              <w:rPr>
                <w:b/>
                <w:sz w:val="28"/>
                <w:szCs w:val="28"/>
                <w:rtl/>
              </w:rPr>
            </w:pPr>
            <w:r>
              <w:rPr>
                <w:rFonts w:hint="cs"/>
                <w:b/>
                <w:sz w:val="28"/>
                <w:szCs w:val="28"/>
                <w:rtl/>
              </w:rPr>
              <w:t>מזכירת ועדה:</w:t>
            </w:r>
          </w:p>
          <w:p w14:paraId="0AAD666E" w14:textId="77777777" w:rsidR="00A67823" w:rsidRPr="00A67823" w:rsidRDefault="00A67823" w:rsidP="00A67823">
            <w:pPr>
              <w:jc w:val="center"/>
              <w:rPr>
                <w:b/>
                <w:sz w:val="28"/>
                <w:szCs w:val="28"/>
                <w:rtl/>
              </w:rPr>
            </w:pPr>
            <w:r w:rsidRPr="00A67823">
              <w:rPr>
                <w:b/>
                <w:sz w:val="28"/>
                <w:szCs w:val="28"/>
                <w:rtl/>
              </w:rPr>
              <w:t>מורן יחיא</w:t>
            </w:r>
          </w:p>
        </w:tc>
        <w:tc>
          <w:tcPr>
            <w:tcW w:w="2824" w:type="dxa"/>
            <w:vAlign w:val="center"/>
          </w:tcPr>
          <w:p w14:paraId="393F52B8" w14:textId="77777777" w:rsidR="00A67823" w:rsidRDefault="00A67823" w:rsidP="00A67823">
            <w:pPr>
              <w:jc w:val="center"/>
              <w:rPr>
                <w:b/>
                <w:sz w:val="28"/>
                <w:szCs w:val="28"/>
                <w:rtl/>
              </w:rPr>
            </w:pPr>
            <w:r>
              <w:rPr>
                <w:rFonts w:hint="cs"/>
                <w:b/>
                <w:sz w:val="28"/>
                <w:szCs w:val="28"/>
                <w:rtl/>
              </w:rPr>
              <w:t>מזכירת ועדה:</w:t>
            </w:r>
          </w:p>
          <w:p w14:paraId="4D551EA1" w14:textId="77777777" w:rsidR="00A67823" w:rsidRPr="00A67823" w:rsidRDefault="00A67823" w:rsidP="00A67823">
            <w:pPr>
              <w:jc w:val="center"/>
              <w:rPr>
                <w:b/>
                <w:sz w:val="28"/>
                <w:szCs w:val="28"/>
                <w:rtl/>
              </w:rPr>
            </w:pPr>
            <w:r w:rsidRPr="00A67823">
              <w:rPr>
                <w:b/>
                <w:sz w:val="28"/>
                <w:szCs w:val="28"/>
                <w:rtl/>
              </w:rPr>
              <w:t>נורית גור</w:t>
            </w:r>
          </w:p>
        </w:tc>
      </w:tr>
      <w:tr w:rsidR="00A67823" w14:paraId="7D799DC0" w14:textId="77777777" w:rsidTr="00A67823">
        <w:tc>
          <w:tcPr>
            <w:tcW w:w="2891" w:type="dxa"/>
            <w:vAlign w:val="center"/>
          </w:tcPr>
          <w:p w14:paraId="6861E85F" w14:textId="77777777" w:rsidR="00A67823" w:rsidRPr="00A67823" w:rsidRDefault="00A67823" w:rsidP="00DB1CD8">
            <w:pPr>
              <w:jc w:val="center"/>
              <w:rPr>
                <w:bCs/>
                <w:sz w:val="28"/>
                <w:szCs w:val="28"/>
                <w:rtl/>
              </w:rPr>
            </w:pPr>
            <w:r w:rsidRPr="00A67823">
              <w:rPr>
                <w:rFonts w:hint="cs"/>
                <w:b/>
                <w:sz w:val="28"/>
                <w:szCs w:val="28"/>
                <w:rtl/>
              </w:rPr>
              <w:t>דוא"ל:</w:t>
            </w:r>
            <w:r>
              <w:rPr>
                <w:rFonts w:hint="cs"/>
                <w:b/>
                <w:sz w:val="28"/>
                <w:szCs w:val="28"/>
                <w:rtl/>
              </w:rPr>
              <w:t xml:space="preserve"> </w:t>
            </w:r>
            <w:r w:rsidRPr="00A67823">
              <w:rPr>
                <w:bCs/>
                <w:sz w:val="28"/>
                <w:szCs w:val="28"/>
              </w:rPr>
              <w:t>arrmerkaz@iplan.gov.il</w:t>
            </w:r>
          </w:p>
        </w:tc>
        <w:tc>
          <w:tcPr>
            <w:tcW w:w="3118" w:type="dxa"/>
            <w:vAlign w:val="center"/>
          </w:tcPr>
          <w:p w14:paraId="0F1C73EF" w14:textId="77777777" w:rsidR="00A67823" w:rsidRPr="00A67823" w:rsidRDefault="00A67823" w:rsidP="00A67823">
            <w:pPr>
              <w:jc w:val="center"/>
              <w:rPr>
                <w:bCs/>
                <w:sz w:val="28"/>
                <w:szCs w:val="28"/>
                <w:rtl/>
              </w:rPr>
            </w:pPr>
            <w:r w:rsidRPr="00A67823">
              <w:rPr>
                <w:rFonts w:hint="cs"/>
                <w:b/>
                <w:sz w:val="28"/>
                <w:szCs w:val="28"/>
                <w:rtl/>
              </w:rPr>
              <w:t>דוא"ל:</w:t>
            </w:r>
            <w:r>
              <w:rPr>
                <w:rFonts w:hint="cs"/>
                <w:b/>
                <w:sz w:val="28"/>
                <w:szCs w:val="28"/>
                <w:rtl/>
              </w:rPr>
              <w:t xml:space="preserve"> </w:t>
            </w:r>
            <w:r w:rsidRPr="00A67823">
              <w:rPr>
                <w:bCs/>
                <w:sz w:val="28"/>
                <w:szCs w:val="28"/>
              </w:rPr>
              <w:t>arrmerkaz2@iplan.gov.il</w:t>
            </w:r>
          </w:p>
        </w:tc>
        <w:tc>
          <w:tcPr>
            <w:tcW w:w="3119" w:type="dxa"/>
            <w:vAlign w:val="center"/>
          </w:tcPr>
          <w:p w14:paraId="51984F1F" w14:textId="77777777" w:rsidR="00A67823" w:rsidRPr="00A67823" w:rsidRDefault="00A67823" w:rsidP="00DB1CD8">
            <w:pPr>
              <w:jc w:val="center"/>
              <w:rPr>
                <w:b/>
                <w:sz w:val="28"/>
                <w:szCs w:val="28"/>
                <w:rtl/>
              </w:rPr>
            </w:pPr>
            <w:r>
              <w:rPr>
                <w:rFonts w:hint="cs"/>
                <w:b/>
                <w:sz w:val="28"/>
                <w:szCs w:val="28"/>
                <w:rtl/>
              </w:rPr>
              <w:t xml:space="preserve">דוא"ל: </w:t>
            </w:r>
            <w:r w:rsidRPr="00A67823">
              <w:rPr>
                <w:bCs/>
                <w:sz w:val="28"/>
                <w:szCs w:val="28"/>
              </w:rPr>
              <w:t>arrmerkaz3@iplan.gov.il</w:t>
            </w:r>
          </w:p>
        </w:tc>
        <w:tc>
          <w:tcPr>
            <w:tcW w:w="2824" w:type="dxa"/>
            <w:vAlign w:val="center"/>
          </w:tcPr>
          <w:p w14:paraId="5B20340C" w14:textId="77777777" w:rsidR="00A67823" w:rsidRPr="00A67823" w:rsidRDefault="00A67823" w:rsidP="00DB1CD8">
            <w:pPr>
              <w:jc w:val="center"/>
              <w:rPr>
                <w:b/>
                <w:sz w:val="28"/>
                <w:szCs w:val="28"/>
                <w:rtl/>
              </w:rPr>
            </w:pPr>
            <w:r>
              <w:rPr>
                <w:rFonts w:hint="cs"/>
                <w:b/>
                <w:sz w:val="28"/>
                <w:szCs w:val="28"/>
                <w:rtl/>
              </w:rPr>
              <w:t xml:space="preserve">דוא"ל: </w:t>
            </w:r>
            <w:r w:rsidRPr="00A67823">
              <w:rPr>
                <w:bCs/>
                <w:sz w:val="28"/>
                <w:szCs w:val="28"/>
              </w:rPr>
              <w:t>arrmerkaz4@iplan.gov.il</w:t>
            </w:r>
          </w:p>
        </w:tc>
      </w:tr>
      <w:tr w:rsidR="00A67823" w14:paraId="7D96E100" w14:textId="77777777" w:rsidTr="00A67823">
        <w:tc>
          <w:tcPr>
            <w:tcW w:w="2891" w:type="dxa"/>
            <w:vAlign w:val="center"/>
          </w:tcPr>
          <w:p w14:paraId="3DA5D672" w14:textId="77777777" w:rsidR="00A67823" w:rsidRPr="00A67823" w:rsidRDefault="00A67823" w:rsidP="00DB1CD8">
            <w:pPr>
              <w:jc w:val="center"/>
              <w:rPr>
                <w:b/>
                <w:sz w:val="28"/>
                <w:szCs w:val="28"/>
                <w:rtl/>
              </w:rPr>
            </w:pPr>
            <w:r>
              <w:rPr>
                <w:rFonts w:hint="cs"/>
                <w:b/>
                <w:sz w:val="28"/>
                <w:szCs w:val="28"/>
                <w:rtl/>
              </w:rPr>
              <w:t xml:space="preserve">פקס': </w:t>
            </w:r>
            <w:r w:rsidRPr="00A67823">
              <w:rPr>
                <w:b/>
                <w:sz w:val="28"/>
                <w:szCs w:val="28"/>
                <w:rtl/>
              </w:rPr>
              <w:t>08-9216467</w:t>
            </w:r>
          </w:p>
        </w:tc>
        <w:tc>
          <w:tcPr>
            <w:tcW w:w="3118" w:type="dxa"/>
            <w:vAlign w:val="center"/>
          </w:tcPr>
          <w:p w14:paraId="1E20AB75" w14:textId="77777777" w:rsidR="00A67823" w:rsidRPr="00A67823" w:rsidRDefault="00A67823" w:rsidP="00DB1CD8">
            <w:pPr>
              <w:jc w:val="center"/>
              <w:rPr>
                <w:b/>
                <w:sz w:val="28"/>
                <w:szCs w:val="28"/>
                <w:rtl/>
              </w:rPr>
            </w:pPr>
            <w:r>
              <w:rPr>
                <w:rFonts w:hint="cs"/>
                <w:b/>
                <w:sz w:val="28"/>
                <w:szCs w:val="28"/>
                <w:rtl/>
              </w:rPr>
              <w:t xml:space="preserve">פקס': </w:t>
            </w:r>
            <w:r w:rsidRPr="00A67823">
              <w:rPr>
                <w:b/>
                <w:sz w:val="28"/>
                <w:szCs w:val="28"/>
                <w:rtl/>
              </w:rPr>
              <w:t>08-6535233</w:t>
            </w:r>
          </w:p>
        </w:tc>
        <w:tc>
          <w:tcPr>
            <w:tcW w:w="3119" w:type="dxa"/>
            <w:vAlign w:val="center"/>
          </w:tcPr>
          <w:p w14:paraId="665E6B63" w14:textId="77777777" w:rsidR="00A67823" w:rsidRPr="00A67823" w:rsidRDefault="00A67823" w:rsidP="00DB1CD8">
            <w:pPr>
              <w:jc w:val="center"/>
              <w:rPr>
                <w:b/>
                <w:sz w:val="28"/>
                <w:szCs w:val="28"/>
                <w:rtl/>
              </w:rPr>
            </w:pPr>
            <w:r>
              <w:rPr>
                <w:rFonts w:hint="cs"/>
                <w:b/>
                <w:sz w:val="28"/>
                <w:szCs w:val="28"/>
                <w:rtl/>
              </w:rPr>
              <w:t xml:space="preserve">פקס': </w:t>
            </w:r>
            <w:r w:rsidRPr="00A67823">
              <w:rPr>
                <w:b/>
                <w:sz w:val="28"/>
                <w:szCs w:val="28"/>
                <w:rtl/>
              </w:rPr>
              <w:t>08-9158159</w:t>
            </w:r>
          </w:p>
        </w:tc>
        <w:tc>
          <w:tcPr>
            <w:tcW w:w="2824" w:type="dxa"/>
            <w:vAlign w:val="center"/>
          </w:tcPr>
          <w:p w14:paraId="4F4AA488" w14:textId="0FDFBAAE" w:rsidR="00A67823" w:rsidRPr="00A67823" w:rsidRDefault="00A67823" w:rsidP="00DB1CD8">
            <w:pPr>
              <w:jc w:val="center"/>
              <w:rPr>
                <w:b/>
                <w:sz w:val="28"/>
                <w:szCs w:val="28"/>
                <w:rtl/>
              </w:rPr>
            </w:pPr>
            <w:r>
              <w:rPr>
                <w:rFonts w:hint="cs"/>
                <w:b/>
                <w:sz w:val="28"/>
                <w:szCs w:val="28"/>
                <w:rtl/>
              </w:rPr>
              <w:t xml:space="preserve">פקס': </w:t>
            </w:r>
            <w:r w:rsidR="008B0F95">
              <w:rPr>
                <w:rFonts w:hint="cs"/>
                <w:b/>
                <w:sz w:val="28"/>
                <w:szCs w:val="28"/>
                <w:rtl/>
              </w:rPr>
              <w:t>077</w:t>
            </w:r>
            <w:r w:rsidRPr="00A67823">
              <w:rPr>
                <w:b/>
                <w:sz w:val="28"/>
                <w:szCs w:val="28"/>
                <w:rtl/>
              </w:rPr>
              <w:t>-</w:t>
            </w:r>
            <w:r w:rsidR="008B0F95">
              <w:rPr>
                <w:rFonts w:hint="cs"/>
                <w:b/>
                <w:sz w:val="28"/>
                <w:szCs w:val="28"/>
                <w:rtl/>
              </w:rPr>
              <w:t>6070122</w:t>
            </w:r>
          </w:p>
        </w:tc>
      </w:tr>
    </w:tbl>
    <w:p w14:paraId="2042B6E9" w14:textId="77777777" w:rsidR="00F26B6F" w:rsidRDefault="00F26B6F" w:rsidP="00AE501E">
      <w:pPr>
        <w:spacing w:before="240" w:line="240" w:lineRule="auto"/>
        <w:jc w:val="both"/>
        <w:rPr>
          <w:b/>
          <w:sz w:val="28"/>
          <w:szCs w:val="28"/>
          <w:rtl/>
        </w:rPr>
      </w:pPr>
      <w:r>
        <w:rPr>
          <w:rFonts w:hint="cs"/>
          <w:b/>
          <w:sz w:val="28"/>
          <w:szCs w:val="28"/>
          <w:rtl/>
        </w:rPr>
        <w:t xml:space="preserve">לפרטים נוספים בקרו באתר האינטרנט של </w:t>
      </w:r>
      <w:proofErr w:type="spellStart"/>
      <w:r>
        <w:rPr>
          <w:rFonts w:hint="cs"/>
          <w:b/>
          <w:sz w:val="28"/>
          <w:szCs w:val="28"/>
          <w:rtl/>
        </w:rPr>
        <w:t>מינהל</w:t>
      </w:r>
      <w:proofErr w:type="spellEnd"/>
      <w:r>
        <w:rPr>
          <w:rFonts w:hint="cs"/>
          <w:b/>
          <w:sz w:val="28"/>
          <w:szCs w:val="28"/>
          <w:rtl/>
        </w:rPr>
        <w:t xml:space="preserve"> התכנון בכתובת: </w:t>
      </w:r>
    </w:p>
    <w:p w14:paraId="3A6FD080" w14:textId="77777777" w:rsidR="00AE501E" w:rsidRPr="004D46A3" w:rsidRDefault="00F26B6F" w:rsidP="00AE501E">
      <w:pPr>
        <w:spacing w:line="240" w:lineRule="auto"/>
        <w:jc w:val="both"/>
        <w:rPr>
          <w:bCs/>
          <w:sz w:val="28"/>
          <w:szCs w:val="28"/>
          <w:rtl/>
        </w:rPr>
      </w:pPr>
      <w:hyperlink r:id="rId6" w:history="1">
        <w:r w:rsidRPr="004D46A3">
          <w:rPr>
            <w:rStyle w:val="Hyperlink"/>
            <w:bCs/>
            <w:sz w:val="28"/>
            <w:szCs w:val="28"/>
          </w:rPr>
          <w:t>https://www.gov.il/he/pages/district_appeals_committees_central</w:t>
        </w:r>
      </w:hyperlink>
      <w:bookmarkStart w:id="0" w:name="_mrfyg5fm7fqn" w:colFirst="0" w:colLast="0"/>
      <w:bookmarkEnd w:id="0"/>
    </w:p>
    <w:p w14:paraId="6E9E9FC1" w14:textId="77777777" w:rsidR="00F26B6F" w:rsidRDefault="00F26B6F" w:rsidP="00AE501E">
      <w:pPr>
        <w:spacing w:line="240" w:lineRule="auto"/>
        <w:jc w:val="both"/>
        <w:rPr>
          <w:b/>
          <w:sz w:val="28"/>
          <w:szCs w:val="28"/>
          <w:rtl/>
        </w:rPr>
      </w:pPr>
      <w:r>
        <w:rPr>
          <w:rFonts w:hint="cs"/>
          <w:b/>
          <w:sz w:val="28"/>
          <w:szCs w:val="28"/>
          <w:rtl/>
        </w:rPr>
        <w:t>ה</w:t>
      </w:r>
      <w:r w:rsidR="00BC6758" w:rsidRPr="00BC6758">
        <w:rPr>
          <w:b/>
          <w:sz w:val="28"/>
          <w:szCs w:val="28"/>
          <w:rtl/>
        </w:rPr>
        <w:t xml:space="preserve">דיונים הקבועים יתקיימו בהתאם להנחיות פיקוד העורף ולהחלטת יו"ר ועדת הערר. </w:t>
      </w:r>
    </w:p>
    <w:p w14:paraId="5663A679" w14:textId="77777777" w:rsidR="00F26B6F" w:rsidRDefault="00BC6758" w:rsidP="00F26B6F">
      <w:pPr>
        <w:spacing w:line="240" w:lineRule="auto"/>
        <w:jc w:val="both"/>
        <w:rPr>
          <w:b/>
          <w:sz w:val="28"/>
          <w:szCs w:val="28"/>
          <w:rtl/>
        </w:rPr>
      </w:pPr>
      <w:r w:rsidRPr="00BC6758">
        <w:rPr>
          <w:b/>
          <w:sz w:val="28"/>
          <w:szCs w:val="28"/>
          <w:rtl/>
        </w:rPr>
        <w:t xml:space="preserve">יש להתעדכן באופן פרטני מול המזכירות הרלוונטית. </w:t>
      </w:r>
    </w:p>
    <w:p w14:paraId="47F6576F" w14:textId="77777777" w:rsidR="002B6483" w:rsidRPr="00F26B6F" w:rsidRDefault="00BC6758" w:rsidP="00F26B6F">
      <w:pPr>
        <w:spacing w:line="240" w:lineRule="auto"/>
        <w:jc w:val="both"/>
        <w:rPr>
          <w:sz w:val="10"/>
          <w:szCs w:val="10"/>
        </w:rPr>
      </w:pPr>
      <w:r w:rsidRPr="00BC6758">
        <w:rPr>
          <w:b/>
          <w:sz w:val="28"/>
          <w:szCs w:val="28"/>
          <w:rtl/>
        </w:rPr>
        <w:t xml:space="preserve">ככל שדיון יידחה, מועד חדש ייקבע על ידי המזכירות וישלח לצדדים. </w:t>
      </w:r>
    </w:p>
    <w:p w14:paraId="5085113E" w14:textId="77777777" w:rsidR="002B6483" w:rsidRDefault="00A460D6" w:rsidP="00AE501E">
      <w:pPr>
        <w:spacing w:line="240" w:lineRule="auto"/>
        <w:ind w:left="7200"/>
        <w:rPr>
          <w:sz w:val="28"/>
          <w:szCs w:val="28"/>
        </w:rPr>
      </w:pPr>
      <w:r>
        <w:rPr>
          <w:sz w:val="28"/>
          <w:szCs w:val="28"/>
        </w:rPr>
        <w:t xml:space="preserve">        </w:t>
      </w:r>
      <w:r>
        <w:rPr>
          <w:sz w:val="28"/>
          <w:szCs w:val="28"/>
          <w:rtl/>
        </w:rPr>
        <w:t>בברכת ימים ולילות שקטים ובטוחים,</w:t>
      </w:r>
    </w:p>
    <w:p w14:paraId="1BF36226" w14:textId="77777777" w:rsidR="002B6483" w:rsidRDefault="00A460D6">
      <w:pPr>
        <w:spacing w:line="240" w:lineRule="auto"/>
        <w:rPr>
          <w:sz w:val="28"/>
          <w:szCs w:val="28"/>
        </w:rPr>
      </w:pPr>
      <w:r>
        <w:rPr>
          <w:sz w:val="28"/>
          <w:szCs w:val="28"/>
          <w:rtl/>
        </w:rPr>
        <w:t xml:space="preserve">                                                                                              </w:t>
      </w:r>
      <w:r>
        <w:rPr>
          <w:sz w:val="28"/>
          <w:szCs w:val="28"/>
          <w:rtl/>
        </w:rPr>
        <w:tab/>
        <w:t xml:space="preserve">   </w:t>
      </w:r>
      <w:r>
        <w:rPr>
          <w:sz w:val="28"/>
          <w:szCs w:val="28"/>
          <w:rtl/>
        </w:rPr>
        <w:tab/>
        <w:t xml:space="preserve">                   ועדת ערר מחוז </w:t>
      </w:r>
      <w:r w:rsidR="00BC6758">
        <w:rPr>
          <w:rFonts w:hint="cs"/>
          <w:sz w:val="28"/>
          <w:szCs w:val="28"/>
          <w:rtl/>
        </w:rPr>
        <w:t>מרכז</w:t>
      </w:r>
    </w:p>
    <w:sectPr w:rsidR="002B6483">
      <w:headerReference w:type="default" r:id="rId7"/>
      <w:pgSz w:w="16838" w:h="11906" w:orient="landscape"/>
      <w:pgMar w:top="1361" w:right="2098" w:bottom="55" w:left="277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78A72" w14:textId="77777777" w:rsidR="003878A1" w:rsidRDefault="003878A1">
      <w:pPr>
        <w:spacing w:after="0" w:line="240" w:lineRule="auto"/>
      </w:pPr>
      <w:r>
        <w:separator/>
      </w:r>
    </w:p>
  </w:endnote>
  <w:endnote w:type="continuationSeparator" w:id="0">
    <w:p w14:paraId="74966775" w14:textId="77777777" w:rsidR="003878A1" w:rsidRDefault="0038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B9DAA" w14:textId="77777777" w:rsidR="003878A1" w:rsidRDefault="003878A1">
      <w:pPr>
        <w:spacing w:after="0" w:line="240" w:lineRule="auto"/>
      </w:pPr>
      <w:r>
        <w:separator/>
      </w:r>
    </w:p>
  </w:footnote>
  <w:footnote w:type="continuationSeparator" w:id="0">
    <w:p w14:paraId="028004DD" w14:textId="77777777" w:rsidR="003878A1" w:rsidRDefault="00387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3B23A" w14:textId="77777777" w:rsidR="002B6483" w:rsidRDefault="00A460D6">
    <w:pPr>
      <w:pBdr>
        <w:top w:val="nil"/>
        <w:left w:val="nil"/>
        <w:bottom w:val="nil"/>
        <w:right w:val="nil"/>
        <w:between w:val="nil"/>
      </w:pBdr>
      <w:tabs>
        <w:tab w:val="center" w:pos="4153"/>
        <w:tab w:val="right" w:pos="8306"/>
      </w:tabs>
      <w:spacing w:after="0" w:line="240" w:lineRule="auto"/>
      <w:ind w:left="3457"/>
      <w:rPr>
        <w:color w:val="000000"/>
      </w:rPr>
    </w:pPr>
    <w:r>
      <w:rPr>
        <w:noProof/>
        <w:color w:val="000000"/>
      </w:rPr>
      <w:drawing>
        <wp:inline distT="0" distB="0" distL="0" distR="0" wp14:anchorId="36458576" wp14:editId="241DE3AC">
          <wp:extent cx="3664378" cy="154869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664378" cy="1548698"/>
                  </a:xfrm>
                  <a:prstGeom prst="rect">
                    <a:avLst/>
                  </a:prstGeom>
                  <a:ln/>
                </pic:spPr>
              </pic:pic>
            </a:graphicData>
          </a:graphic>
        </wp:inline>
      </w:drawing>
    </w:r>
  </w:p>
  <w:p w14:paraId="34693DC0" w14:textId="77777777" w:rsidR="002B6483" w:rsidRDefault="00A460D6">
    <w:pPr>
      <w:pBdr>
        <w:top w:val="nil"/>
        <w:left w:val="nil"/>
        <w:bottom w:val="nil"/>
        <w:right w:val="nil"/>
        <w:between w:val="nil"/>
      </w:pBdr>
      <w:tabs>
        <w:tab w:val="center" w:pos="4153"/>
        <w:tab w:val="right" w:pos="8306"/>
      </w:tabs>
      <w:spacing w:after="0" w:line="240" w:lineRule="auto"/>
      <w:ind w:left="55"/>
      <w:jc w:val="center"/>
      <w:rPr>
        <w:rFonts w:ascii="David" w:eastAsia="David" w:hAnsi="David" w:cs="David"/>
        <w:b/>
        <w:color w:val="0070C0"/>
        <w:sz w:val="36"/>
        <w:szCs w:val="36"/>
      </w:rPr>
    </w:pPr>
    <w:r>
      <w:rPr>
        <w:rFonts w:ascii="David" w:eastAsia="David" w:hAnsi="David" w:cs="David"/>
        <w:b/>
        <w:color w:val="0070C0"/>
        <w:sz w:val="36"/>
        <w:szCs w:val="36"/>
        <w:rtl/>
      </w:rPr>
      <w:t xml:space="preserve">ועדת ערר לפיצויים והיטל השבחה – מחוז </w:t>
    </w:r>
    <w:r w:rsidR="00DB5D42">
      <w:rPr>
        <w:rFonts w:ascii="David" w:eastAsia="David" w:hAnsi="David" w:cs="David" w:hint="cs"/>
        <w:b/>
        <w:color w:val="0070C0"/>
        <w:sz w:val="36"/>
        <w:szCs w:val="36"/>
        <w:rtl/>
      </w:rPr>
      <w:t>מרכז</w:t>
    </w:r>
  </w:p>
  <w:p w14:paraId="4472D10E" w14:textId="77777777" w:rsidR="002B6483" w:rsidRDefault="002B6483">
    <w:pPr>
      <w:pBdr>
        <w:top w:val="nil"/>
        <w:left w:val="nil"/>
        <w:bottom w:val="nil"/>
        <w:right w:val="nil"/>
        <w:between w:val="nil"/>
      </w:pBdr>
      <w:tabs>
        <w:tab w:val="center" w:pos="4153"/>
        <w:tab w:val="right" w:pos="830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483"/>
    <w:rsid w:val="00262EA0"/>
    <w:rsid w:val="002B6483"/>
    <w:rsid w:val="003878A1"/>
    <w:rsid w:val="003B74AB"/>
    <w:rsid w:val="003D44CF"/>
    <w:rsid w:val="004D46A3"/>
    <w:rsid w:val="005854BB"/>
    <w:rsid w:val="006C3277"/>
    <w:rsid w:val="007537C5"/>
    <w:rsid w:val="008050C3"/>
    <w:rsid w:val="008B0F95"/>
    <w:rsid w:val="00A460D6"/>
    <w:rsid w:val="00A67823"/>
    <w:rsid w:val="00AE501E"/>
    <w:rsid w:val="00BC6758"/>
    <w:rsid w:val="00C872AF"/>
    <w:rsid w:val="00DB1CD8"/>
    <w:rsid w:val="00DB5D42"/>
    <w:rsid w:val="00F26B6F"/>
    <w:rsid w:val="00F850A0"/>
    <w:rsid w:val="00FB3349"/>
    <w:rsid w:val="00FC2E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2071"/>
  <w15:docId w15:val="{90A8FA05-37DC-4B74-A8E7-A677CD6D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he-IL"/>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2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B5D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5D42"/>
  </w:style>
  <w:style w:type="paragraph" w:styleId="Footer">
    <w:name w:val="footer"/>
    <w:basedOn w:val="Normal"/>
    <w:link w:val="FooterChar"/>
    <w:uiPriority w:val="99"/>
    <w:unhideWhenUsed/>
    <w:rsid w:val="00DB5D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5D42"/>
  </w:style>
  <w:style w:type="table" w:styleId="TableGrid">
    <w:name w:val="Table Grid"/>
    <w:basedOn w:val="TableNormal"/>
    <w:uiPriority w:val="39"/>
    <w:rsid w:val="00DB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6B6F"/>
    <w:rPr>
      <w:color w:val="0000FF" w:themeColor="hyperlink"/>
      <w:u w:val="single"/>
    </w:rPr>
  </w:style>
  <w:style w:type="character" w:styleId="UnresolvedMention">
    <w:name w:val="Unresolved Mention"/>
    <w:basedOn w:val="DefaultParagraphFont"/>
    <w:uiPriority w:val="99"/>
    <w:semiHidden/>
    <w:unhideWhenUsed/>
    <w:rsid w:val="00F26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009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il/he/pages/district_appeals_committees_centr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2020</Characters>
  <Application>Microsoft Office Word</Application>
  <DocSecurity>0</DocSecurity>
  <Lines>16</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Dvir</dc:creator>
  <cp:lastModifiedBy>מאיה אשכנזי</cp:lastModifiedBy>
  <cp:revision>4</cp:revision>
  <dcterms:created xsi:type="dcterms:W3CDTF">2025-06-19T13:30:00Z</dcterms:created>
  <dcterms:modified xsi:type="dcterms:W3CDTF">2025-06-19T13:42:00Z</dcterms:modified>
</cp:coreProperties>
</file>