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5673" w:rsidRDefault="00231F7D" w:rsidP="00E15673">
      <w:pPr>
        <w:bidi w:val="0"/>
        <w:spacing w:after="0" w:line="360" w:lineRule="auto"/>
        <w:jc w:val="center"/>
        <w:rPr>
          <w:rFonts w:ascii="Times New Roman" w:hAnsi="Times New Roman" w:cs="David"/>
          <w:b/>
          <w:bCs/>
          <w:sz w:val="36"/>
          <w:szCs w:val="36"/>
          <w:lang w:eastAsia="he-IL"/>
        </w:rPr>
      </w:pPr>
      <w:r>
        <w:rPr>
          <w:rFonts w:ascii="Times New Roman" w:hAnsi="Times New Roman" w:cs="David"/>
          <w:b/>
          <w:bCs/>
          <w:sz w:val="36"/>
          <w:szCs w:val="36"/>
          <w:rtl/>
          <w:lang w:eastAsia="he-IL"/>
        </w:rPr>
        <w:br/>
      </w:r>
      <w:r w:rsidR="00E15673">
        <w:rPr>
          <w:rFonts w:ascii="Times New Roman" w:hAnsi="Times New Roman" w:cs="David" w:hint="cs"/>
          <w:b/>
          <w:bCs/>
          <w:sz w:val="36"/>
          <w:szCs w:val="36"/>
          <w:rtl/>
          <w:lang w:eastAsia="he-IL"/>
        </w:rPr>
        <w:t>מ</w:t>
      </w:r>
      <w:r w:rsidR="00B125E8" w:rsidRPr="00AD348E">
        <w:rPr>
          <w:rFonts w:ascii="Times New Roman" w:hAnsi="Times New Roman" w:cs="David" w:hint="eastAsia"/>
          <w:b/>
          <w:bCs/>
          <w:sz w:val="36"/>
          <w:szCs w:val="36"/>
          <w:rtl/>
          <w:lang w:eastAsia="he-IL"/>
        </w:rPr>
        <w:t>דינת</w:t>
      </w:r>
      <w:r w:rsidR="00B125E8" w:rsidRPr="00AD348E">
        <w:rPr>
          <w:rFonts w:ascii="Times New Roman" w:hAnsi="Times New Roman" w:cs="David"/>
          <w:b/>
          <w:bCs/>
          <w:sz w:val="36"/>
          <w:szCs w:val="36"/>
          <w:rtl/>
          <w:lang w:eastAsia="he-IL"/>
        </w:rPr>
        <w:t xml:space="preserve">  </w:t>
      </w:r>
      <w:r w:rsidR="00B125E8" w:rsidRPr="00AD348E">
        <w:rPr>
          <w:rFonts w:ascii="Times New Roman" w:hAnsi="Times New Roman" w:cs="David" w:hint="eastAsia"/>
          <w:b/>
          <w:bCs/>
          <w:sz w:val="36"/>
          <w:szCs w:val="36"/>
          <w:rtl/>
          <w:lang w:eastAsia="he-IL"/>
        </w:rPr>
        <w:t>ישראל</w:t>
      </w:r>
    </w:p>
    <w:p w:rsidR="00B125E8" w:rsidRPr="00AD348E" w:rsidRDefault="00B125E8" w:rsidP="00B125E8">
      <w:pPr>
        <w:bidi w:val="0"/>
        <w:spacing w:after="0" w:line="360" w:lineRule="auto"/>
        <w:jc w:val="center"/>
        <w:rPr>
          <w:rFonts w:ascii="Times New Roman" w:hAnsi="Times New Roman" w:cs="David"/>
          <w:b/>
          <w:bCs/>
          <w:sz w:val="36"/>
          <w:szCs w:val="36"/>
          <w:lang w:eastAsia="he-IL"/>
        </w:rPr>
      </w:pPr>
      <w:r w:rsidRPr="00AD348E">
        <w:rPr>
          <w:rFonts w:ascii="Times New Roman" w:hAnsi="Times New Roman" w:cs="David" w:hint="cs"/>
          <w:b/>
          <w:bCs/>
          <w:sz w:val="36"/>
          <w:szCs w:val="36"/>
          <w:rtl/>
          <w:lang w:eastAsia="he-IL"/>
        </w:rPr>
        <w:t>משרד הפנים - יחידת סמך</w:t>
      </w:r>
      <w:r w:rsidRPr="00AD348E">
        <w:rPr>
          <w:rFonts w:ascii="Times New Roman" w:hAnsi="Times New Roman" w:cs="David"/>
          <w:b/>
          <w:bCs/>
          <w:sz w:val="36"/>
          <w:szCs w:val="36"/>
          <w:rtl/>
          <w:lang w:eastAsia="he-IL"/>
        </w:rPr>
        <w:t xml:space="preserve"> </w:t>
      </w:r>
    </w:p>
    <w:p w:rsidR="007F7700" w:rsidRPr="00AD348E" w:rsidRDefault="00B125E8" w:rsidP="007F7700">
      <w:pPr>
        <w:pBdr>
          <w:bottom w:val="single" w:sz="12" w:space="1" w:color="auto"/>
        </w:pBdr>
        <w:bidi w:val="0"/>
        <w:spacing w:after="0" w:line="360" w:lineRule="auto"/>
        <w:jc w:val="center"/>
        <w:rPr>
          <w:rFonts w:ascii="Times New Roman" w:hAnsi="Times New Roman" w:cs="David"/>
          <w:b/>
          <w:bCs/>
          <w:sz w:val="36"/>
          <w:szCs w:val="36"/>
          <w:lang w:eastAsia="he-IL"/>
        </w:rPr>
      </w:pPr>
      <w:r w:rsidRPr="00AD348E">
        <w:rPr>
          <w:rFonts w:ascii="Times New Roman" w:hAnsi="Times New Roman" w:cs="David" w:hint="eastAsia"/>
          <w:b/>
          <w:bCs/>
          <w:sz w:val="36"/>
          <w:szCs w:val="36"/>
          <w:rtl/>
          <w:lang w:eastAsia="he-IL"/>
        </w:rPr>
        <w:t>ועדת</w:t>
      </w:r>
      <w:r w:rsidRPr="00AD348E">
        <w:rPr>
          <w:rFonts w:ascii="Times New Roman" w:hAnsi="Times New Roman" w:cs="David"/>
          <w:b/>
          <w:bCs/>
          <w:sz w:val="36"/>
          <w:szCs w:val="36"/>
          <w:rtl/>
          <w:lang w:eastAsia="he-IL"/>
        </w:rPr>
        <w:t xml:space="preserve"> ערר מחוזית</w:t>
      </w:r>
      <w:r w:rsidRPr="00AD348E">
        <w:rPr>
          <w:rFonts w:ascii="Times New Roman" w:hAnsi="Times New Roman" w:cs="David" w:hint="cs"/>
          <w:b/>
          <w:bCs/>
          <w:sz w:val="36"/>
          <w:szCs w:val="36"/>
          <w:rtl/>
          <w:lang w:eastAsia="he-IL"/>
        </w:rPr>
        <w:t xml:space="preserve"> ל</w:t>
      </w:r>
      <w:r w:rsidR="007F7700">
        <w:rPr>
          <w:rFonts w:ascii="Times New Roman" w:hAnsi="Times New Roman" w:cs="David" w:hint="cs"/>
          <w:b/>
          <w:bCs/>
          <w:sz w:val="36"/>
          <w:szCs w:val="36"/>
          <w:rtl/>
          <w:lang w:eastAsia="he-IL"/>
        </w:rPr>
        <w:t>פיצויים והיטלי השבחה</w:t>
      </w:r>
    </w:p>
    <w:p w:rsidR="00B125E8" w:rsidRPr="009A147C" w:rsidRDefault="00B125E8" w:rsidP="00B125E8">
      <w:pPr>
        <w:pBdr>
          <w:bottom w:val="single" w:sz="12" w:space="1" w:color="auto"/>
        </w:pBdr>
        <w:bidi w:val="0"/>
        <w:spacing w:after="0" w:line="360" w:lineRule="auto"/>
        <w:jc w:val="center"/>
        <w:rPr>
          <w:rFonts w:ascii="Times New Roman" w:hAnsi="Times New Roman" w:cs="David"/>
          <w:b/>
          <w:bCs/>
          <w:sz w:val="32"/>
          <w:szCs w:val="32"/>
          <w:lang w:eastAsia="he-IL"/>
        </w:rPr>
      </w:pPr>
      <w:r w:rsidRPr="00AD348E">
        <w:rPr>
          <w:rFonts w:ascii="Times New Roman" w:hAnsi="Times New Roman" w:cs="David" w:hint="cs"/>
          <w:b/>
          <w:bCs/>
          <w:sz w:val="36"/>
          <w:szCs w:val="36"/>
          <w:rtl/>
          <w:lang w:eastAsia="he-IL"/>
        </w:rPr>
        <w:t>מחוז תל אביב</w:t>
      </w:r>
    </w:p>
    <w:p w:rsidR="00B125E8" w:rsidRPr="00B125E8" w:rsidRDefault="00B125E8" w:rsidP="00B125E8">
      <w:pPr>
        <w:spacing w:after="0" w:line="360" w:lineRule="auto"/>
        <w:ind w:left="720"/>
        <w:jc w:val="both"/>
        <w:rPr>
          <w:rFonts w:ascii="David" w:hAnsi="David" w:cs="David"/>
          <w:b/>
          <w:bCs/>
          <w:sz w:val="26"/>
          <w:szCs w:val="26"/>
          <w:rtl/>
          <w:lang w:eastAsia="he-IL"/>
        </w:rPr>
      </w:pPr>
      <w:r w:rsidRPr="00B125E8">
        <w:rPr>
          <w:rFonts w:ascii="David" w:hAnsi="David" w:cs="David" w:hint="cs"/>
          <w:b/>
          <w:bCs/>
          <w:sz w:val="26"/>
          <w:szCs w:val="26"/>
          <w:rtl/>
          <w:lang w:eastAsia="he-IL"/>
        </w:rPr>
        <w:t xml:space="preserve">           </w:t>
      </w:r>
      <w:r w:rsidRPr="00B125E8">
        <w:rPr>
          <w:rFonts w:ascii="David" w:hAnsi="David" w:cs="David"/>
          <w:b/>
          <w:bCs/>
          <w:sz w:val="26"/>
          <w:szCs w:val="26"/>
          <w:rtl/>
          <w:lang w:eastAsia="he-IL"/>
        </w:rPr>
        <w:tab/>
      </w:r>
      <w:r w:rsidRPr="00B125E8">
        <w:rPr>
          <w:rFonts w:ascii="David" w:hAnsi="David" w:cs="David" w:hint="cs"/>
          <w:b/>
          <w:bCs/>
          <w:sz w:val="26"/>
          <w:szCs w:val="26"/>
          <w:rtl/>
          <w:lang w:eastAsia="he-IL"/>
        </w:rPr>
        <w:t xml:space="preserve">             עררים מס' בי/ 86007/0223</w:t>
      </w:r>
      <w:r w:rsidRPr="00B125E8">
        <w:rPr>
          <w:rFonts w:ascii="David" w:hAnsi="David" w:cs="David"/>
          <w:b/>
          <w:bCs/>
          <w:sz w:val="26"/>
          <w:szCs w:val="26"/>
          <w:rtl/>
          <w:lang w:eastAsia="he-IL"/>
        </w:rPr>
        <w:t>+</w:t>
      </w:r>
      <w:r w:rsidRPr="00B125E8">
        <w:rPr>
          <w:rFonts w:ascii="David" w:hAnsi="David" w:cs="David" w:hint="cs"/>
          <w:b/>
          <w:bCs/>
          <w:sz w:val="26"/>
          <w:szCs w:val="26"/>
          <w:rtl/>
          <w:lang w:eastAsia="he-IL"/>
        </w:rPr>
        <w:t>86008/0223</w:t>
      </w:r>
      <w:r w:rsidRPr="00B125E8">
        <w:rPr>
          <w:rFonts w:ascii="David" w:hAnsi="David" w:cs="David"/>
          <w:b/>
          <w:bCs/>
          <w:sz w:val="26"/>
          <w:szCs w:val="26"/>
          <w:rtl/>
          <w:lang w:eastAsia="he-IL"/>
        </w:rPr>
        <w:t>+</w:t>
      </w:r>
      <w:r w:rsidRPr="00B125E8">
        <w:rPr>
          <w:rFonts w:ascii="David" w:hAnsi="David" w:cs="David" w:hint="cs"/>
          <w:b/>
          <w:bCs/>
          <w:sz w:val="26"/>
          <w:szCs w:val="26"/>
          <w:rtl/>
          <w:lang w:eastAsia="he-IL"/>
        </w:rPr>
        <w:t>86009/0223</w:t>
      </w:r>
      <w:r w:rsidRPr="00B125E8">
        <w:rPr>
          <w:rFonts w:ascii="David" w:hAnsi="David" w:cs="David"/>
          <w:b/>
          <w:bCs/>
          <w:sz w:val="26"/>
          <w:szCs w:val="26"/>
          <w:rtl/>
          <w:lang w:eastAsia="he-IL"/>
        </w:rPr>
        <w:t>+</w:t>
      </w:r>
      <w:r w:rsidRPr="00B125E8">
        <w:rPr>
          <w:rFonts w:ascii="David" w:hAnsi="David" w:cs="David" w:hint="cs"/>
          <w:b/>
          <w:bCs/>
          <w:sz w:val="26"/>
          <w:szCs w:val="26"/>
          <w:rtl/>
          <w:lang w:eastAsia="he-IL"/>
        </w:rPr>
        <w:t>86010/0223</w:t>
      </w:r>
    </w:p>
    <w:p w:rsidR="00B125E8" w:rsidRPr="00B125E8" w:rsidRDefault="00B125E8" w:rsidP="00B125E8">
      <w:pPr>
        <w:spacing w:after="0" w:line="360" w:lineRule="auto"/>
        <w:jc w:val="both"/>
        <w:rPr>
          <w:rFonts w:ascii="David" w:hAnsi="David" w:cs="David"/>
          <w:b/>
          <w:bCs/>
          <w:sz w:val="26"/>
          <w:szCs w:val="26"/>
          <w:rtl/>
          <w:lang w:eastAsia="he-IL"/>
        </w:rPr>
      </w:pPr>
    </w:p>
    <w:p w:rsidR="00B125E8" w:rsidRPr="00B125E8" w:rsidRDefault="00B125E8" w:rsidP="00B125E8">
      <w:pPr>
        <w:spacing w:after="0" w:line="360" w:lineRule="auto"/>
        <w:jc w:val="both"/>
        <w:rPr>
          <w:rFonts w:ascii="David" w:hAnsi="David" w:cs="David"/>
          <w:b/>
          <w:bCs/>
          <w:sz w:val="26"/>
          <w:szCs w:val="26"/>
          <w:rtl/>
          <w:lang w:eastAsia="he-IL"/>
        </w:rPr>
      </w:pPr>
      <w:r w:rsidRPr="00B125E8">
        <w:rPr>
          <w:rFonts w:ascii="David" w:hAnsi="David" w:cs="David" w:hint="cs"/>
          <w:b/>
          <w:bCs/>
          <w:sz w:val="26"/>
          <w:szCs w:val="26"/>
          <w:u w:val="single"/>
          <w:rtl/>
          <w:lang w:eastAsia="he-IL"/>
        </w:rPr>
        <w:t xml:space="preserve">הרכב ועדת הערר </w:t>
      </w:r>
      <w:r w:rsidRPr="00B125E8">
        <w:rPr>
          <w:rFonts w:ascii="David" w:hAnsi="David" w:cs="David"/>
          <w:b/>
          <w:bCs/>
          <w:sz w:val="26"/>
          <w:szCs w:val="26"/>
          <w:u w:val="single"/>
          <w:rtl/>
          <w:lang w:eastAsia="he-IL"/>
        </w:rPr>
        <w:t>:</w:t>
      </w:r>
      <w:r w:rsidRPr="00B125E8">
        <w:rPr>
          <w:rFonts w:ascii="David" w:hAnsi="David" w:cs="David"/>
          <w:b/>
          <w:bCs/>
          <w:sz w:val="26"/>
          <w:szCs w:val="26"/>
          <w:rtl/>
          <w:lang w:eastAsia="he-IL"/>
        </w:rPr>
        <w:tab/>
      </w:r>
      <w:r w:rsidRPr="00B125E8">
        <w:rPr>
          <w:rFonts w:ascii="David" w:hAnsi="David" w:cs="David"/>
          <w:b/>
          <w:bCs/>
          <w:sz w:val="26"/>
          <w:szCs w:val="26"/>
          <w:rtl/>
          <w:lang w:eastAsia="he-IL"/>
        </w:rPr>
        <w:tab/>
      </w:r>
      <w:r w:rsidRPr="00B125E8">
        <w:rPr>
          <w:rFonts w:ascii="David" w:hAnsi="David" w:cs="David" w:hint="cs"/>
          <w:b/>
          <w:bCs/>
          <w:sz w:val="26"/>
          <w:szCs w:val="26"/>
          <w:rtl/>
          <w:lang w:eastAsia="he-IL"/>
        </w:rPr>
        <w:t xml:space="preserve">              יפעת בן אריה שטיינברג, עו"ד  - </w:t>
      </w:r>
      <w:r w:rsidRPr="00B125E8">
        <w:rPr>
          <w:rFonts w:ascii="David" w:hAnsi="David" w:cs="David"/>
          <w:b/>
          <w:bCs/>
          <w:sz w:val="26"/>
          <w:szCs w:val="26"/>
          <w:rtl/>
          <w:lang w:eastAsia="he-IL"/>
        </w:rPr>
        <w:t>יו"ר הוועדה</w:t>
      </w:r>
    </w:p>
    <w:p w:rsidR="00B125E8" w:rsidRPr="00B125E8" w:rsidRDefault="00B125E8" w:rsidP="00B125E8">
      <w:pPr>
        <w:spacing w:after="0" w:line="360" w:lineRule="auto"/>
        <w:ind w:left="2160" w:firstLine="720"/>
        <w:jc w:val="both"/>
        <w:rPr>
          <w:rFonts w:ascii="David" w:hAnsi="David" w:cs="David"/>
          <w:b/>
          <w:bCs/>
          <w:sz w:val="26"/>
          <w:szCs w:val="26"/>
          <w:rtl/>
          <w:lang w:eastAsia="he-IL"/>
        </w:rPr>
      </w:pPr>
      <w:r w:rsidRPr="00B125E8">
        <w:rPr>
          <w:rFonts w:ascii="David" w:hAnsi="David" w:cs="David" w:hint="cs"/>
          <w:b/>
          <w:bCs/>
          <w:sz w:val="26"/>
          <w:szCs w:val="26"/>
          <w:rtl/>
          <w:lang w:eastAsia="he-IL"/>
        </w:rPr>
        <w:t xml:space="preserve">              מר אור לוי, שמאי מקרקעי</w:t>
      </w:r>
      <w:r w:rsidRPr="00B125E8">
        <w:rPr>
          <w:rFonts w:ascii="David" w:hAnsi="David" w:cs="David" w:hint="eastAsia"/>
          <w:b/>
          <w:bCs/>
          <w:sz w:val="26"/>
          <w:szCs w:val="26"/>
          <w:rtl/>
          <w:lang w:eastAsia="he-IL"/>
        </w:rPr>
        <w:t>ן</w:t>
      </w:r>
      <w:r w:rsidRPr="00B125E8">
        <w:rPr>
          <w:rFonts w:ascii="David" w:hAnsi="David" w:cs="David"/>
          <w:sz w:val="26"/>
          <w:szCs w:val="26"/>
          <w:rtl/>
          <w:lang w:eastAsia="he-IL"/>
        </w:rPr>
        <w:tab/>
      </w:r>
      <w:r w:rsidRPr="00B125E8">
        <w:rPr>
          <w:rFonts w:ascii="David" w:hAnsi="David" w:cs="David"/>
          <w:sz w:val="26"/>
          <w:szCs w:val="26"/>
          <w:rtl/>
          <w:lang w:eastAsia="he-IL"/>
        </w:rPr>
        <w:tab/>
      </w:r>
    </w:p>
    <w:p w:rsidR="00B125E8" w:rsidRPr="00B125E8" w:rsidRDefault="00B125E8" w:rsidP="00B125E8">
      <w:pPr>
        <w:spacing w:after="0" w:line="360" w:lineRule="auto"/>
        <w:jc w:val="both"/>
        <w:rPr>
          <w:rFonts w:ascii="David" w:hAnsi="David" w:cs="David"/>
          <w:b/>
          <w:bCs/>
          <w:sz w:val="26"/>
          <w:szCs w:val="26"/>
          <w:rtl/>
          <w:lang w:eastAsia="he-IL"/>
        </w:rPr>
      </w:pPr>
      <w:r w:rsidRPr="00B125E8">
        <w:rPr>
          <w:rFonts w:ascii="David" w:hAnsi="David" w:cs="David"/>
          <w:b/>
          <w:bCs/>
          <w:sz w:val="26"/>
          <w:szCs w:val="26"/>
          <w:rtl/>
          <w:lang w:eastAsia="he-IL"/>
        </w:rPr>
        <w:tab/>
      </w:r>
      <w:r w:rsidRPr="00B125E8">
        <w:rPr>
          <w:rFonts w:ascii="David" w:hAnsi="David" w:cs="David"/>
          <w:b/>
          <w:bCs/>
          <w:sz w:val="26"/>
          <w:szCs w:val="26"/>
          <w:rtl/>
          <w:lang w:eastAsia="he-IL"/>
        </w:rPr>
        <w:tab/>
      </w:r>
      <w:r w:rsidRPr="00B125E8">
        <w:rPr>
          <w:rFonts w:ascii="David" w:hAnsi="David" w:cs="David"/>
          <w:b/>
          <w:bCs/>
          <w:sz w:val="26"/>
          <w:szCs w:val="26"/>
          <w:rtl/>
          <w:lang w:eastAsia="he-IL"/>
        </w:rPr>
        <w:tab/>
      </w:r>
      <w:r w:rsidRPr="00B125E8">
        <w:rPr>
          <w:rFonts w:ascii="David" w:hAnsi="David" w:cs="David"/>
          <w:b/>
          <w:bCs/>
          <w:sz w:val="26"/>
          <w:szCs w:val="26"/>
          <w:rtl/>
          <w:lang w:eastAsia="he-IL"/>
        </w:rPr>
        <w:tab/>
      </w:r>
      <w:r w:rsidRPr="00B125E8">
        <w:rPr>
          <w:rFonts w:ascii="David" w:hAnsi="David" w:cs="David" w:hint="cs"/>
          <w:b/>
          <w:bCs/>
          <w:sz w:val="26"/>
          <w:szCs w:val="26"/>
          <w:rtl/>
          <w:lang w:eastAsia="he-IL"/>
        </w:rPr>
        <w:t xml:space="preserve">              גב' יעל פרי, נציגת מתכנן מחוז</w:t>
      </w:r>
    </w:p>
    <w:p w:rsidR="00B125E8" w:rsidRPr="00B125E8" w:rsidRDefault="00B125E8" w:rsidP="00B125E8">
      <w:pPr>
        <w:spacing w:after="0" w:line="360" w:lineRule="auto"/>
        <w:jc w:val="both"/>
        <w:rPr>
          <w:rFonts w:ascii="David" w:hAnsi="David" w:cs="David"/>
          <w:b/>
          <w:bCs/>
          <w:sz w:val="26"/>
          <w:szCs w:val="26"/>
          <w:rtl/>
          <w:lang w:eastAsia="he-IL"/>
        </w:rPr>
      </w:pPr>
    </w:p>
    <w:p w:rsidR="00B125E8" w:rsidRPr="00B125E8" w:rsidRDefault="00B125E8" w:rsidP="00B125E8">
      <w:pPr>
        <w:spacing w:after="0" w:line="480" w:lineRule="auto"/>
        <w:jc w:val="both"/>
        <w:rPr>
          <w:rFonts w:ascii="David" w:hAnsi="David" w:cs="David"/>
          <w:b/>
          <w:bCs/>
          <w:sz w:val="26"/>
          <w:szCs w:val="26"/>
          <w:u w:val="single"/>
          <w:rtl/>
          <w:lang w:eastAsia="he-IL"/>
        </w:rPr>
      </w:pPr>
      <w:r w:rsidRPr="00B125E8">
        <w:rPr>
          <w:rFonts w:ascii="David" w:hAnsi="David" w:cs="David" w:hint="cs"/>
          <w:b/>
          <w:bCs/>
          <w:sz w:val="26"/>
          <w:szCs w:val="26"/>
          <w:u w:val="single"/>
          <w:rtl/>
          <w:lang w:eastAsia="he-IL"/>
        </w:rPr>
        <w:t>העוררת בעררים בי/86009/0223+</w:t>
      </w:r>
      <w:r w:rsidRPr="00B125E8">
        <w:rPr>
          <w:rFonts w:ascii="David" w:hAnsi="David" w:cs="David" w:hint="cs"/>
          <w:b/>
          <w:bCs/>
          <w:sz w:val="26"/>
          <w:szCs w:val="26"/>
          <w:rtl/>
          <w:lang w:eastAsia="he-IL"/>
        </w:rPr>
        <w:t xml:space="preserve">   מעוז דניאל חברה קבלנית לבניה בע"מ</w:t>
      </w:r>
    </w:p>
    <w:p w:rsidR="00B125E8" w:rsidRPr="00B125E8" w:rsidRDefault="00B125E8" w:rsidP="00B125E8">
      <w:pPr>
        <w:spacing w:after="0" w:line="480" w:lineRule="auto"/>
        <w:jc w:val="both"/>
        <w:rPr>
          <w:rFonts w:ascii="David" w:hAnsi="David" w:cs="David"/>
          <w:b/>
          <w:bCs/>
          <w:sz w:val="26"/>
          <w:szCs w:val="26"/>
          <w:rtl/>
          <w:lang w:eastAsia="he-IL"/>
        </w:rPr>
      </w:pPr>
      <w:r w:rsidRPr="00B125E8">
        <w:rPr>
          <w:rFonts w:ascii="David" w:hAnsi="David" w:cs="David" w:hint="cs"/>
          <w:b/>
          <w:bCs/>
          <w:sz w:val="26"/>
          <w:szCs w:val="26"/>
          <w:u w:val="single"/>
          <w:rtl/>
          <w:lang w:eastAsia="he-IL"/>
        </w:rPr>
        <w:t>בי/86010/0223:</w:t>
      </w:r>
      <w:r w:rsidRPr="00B125E8">
        <w:rPr>
          <w:rFonts w:ascii="David" w:hAnsi="David" w:cs="David" w:hint="cs"/>
          <w:b/>
          <w:bCs/>
          <w:sz w:val="26"/>
          <w:szCs w:val="26"/>
          <w:rtl/>
          <w:lang w:eastAsia="he-IL"/>
        </w:rPr>
        <w:t xml:space="preserve">    </w:t>
      </w:r>
      <w:r w:rsidRPr="00B125E8">
        <w:rPr>
          <w:rFonts w:ascii="David" w:hAnsi="David" w:cs="David"/>
          <w:b/>
          <w:bCs/>
          <w:sz w:val="26"/>
          <w:szCs w:val="26"/>
          <w:rtl/>
          <w:lang w:eastAsia="he-IL"/>
        </w:rPr>
        <w:tab/>
      </w:r>
      <w:r w:rsidRPr="00B125E8">
        <w:rPr>
          <w:rFonts w:ascii="David" w:hAnsi="David" w:cs="David"/>
          <w:b/>
          <w:bCs/>
          <w:sz w:val="26"/>
          <w:szCs w:val="26"/>
          <w:rtl/>
          <w:lang w:eastAsia="he-IL"/>
        </w:rPr>
        <w:tab/>
      </w:r>
      <w:r w:rsidRPr="00B125E8">
        <w:rPr>
          <w:rFonts w:ascii="David" w:hAnsi="David" w:cs="David"/>
          <w:b/>
          <w:bCs/>
          <w:sz w:val="26"/>
          <w:szCs w:val="26"/>
          <w:rtl/>
          <w:lang w:eastAsia="he-IL"/>
        </w:rPr>
        <w:tab/>
      </w:r>
      <w:r w:rsidRPr="00B125E8">
        <w:rPr>
          <w:rFonts w:ascii="David" w:hAnsi="David" w:cs="David" w:hint="cs"/>
          <w:b/>
          <w:bCs/>
          <w:sz w:val="26"/>
          <w:szCs w:val="26"/>
          <w:rtl/>
          <w:lang w:eastAsia="he-IL"/>
        </w:rPr>
        <w:t xml:space="preserve"> </w:t>
      </w:r>
      <w:r w:rsidRPr="00B125E8">
        <w:rPr>
          <w:rFonts w:ascii="David" w:hAnsi="David" w:cs="David" w:hint="cs"/>
          <w:sz w:val="26"/>
          <w:szCs w:val="26"/>
          <w:rtl/>
          <w:lang w:eastAsia="he-IL"/>
        </w:rPr>
        <w:t xml:space="preserve">ע"י עוה"ד רונן ירדני ו/או יעל </w:t>
      </w:r>
      <w:proofErr w:type="spellStart"/>
      <w:r w:rsidRPr="00B125E8">
        <w:rPr>
          <w:rFonts w:ascii="David" w:hAnsi="David" w:cs="David" w:hint="cs"/>
          <w:sz w:val="26"/>
          <w:szCs w:val="26"/>
          <w:rtl/>
          <w:lang w:eastAsia="he-IL"/>
        </w:rPr>
        <w:t>אוריאלי</w:t>
      </w:r>
      <w:proofErr w:type="spellEnd"/>
    </w:p>
    <w:p w:rsidR="00B125E8" w:rsidRPr="00B125E8" w:rsidRDefault="00B125E8" w:rsidP="00B125E8">
      <w:pPr>
        <w:spacing w:after="0" w:line="480" w:lineRule="auto"/>
        <w:jc w:val="both"/>
        <w:rPr>
          <w:rFonts w:ascii="David" w:hAnsi="David" w:cs="David"/>
          <w:b/>
          <w:bCs/>
          <w:sz w:val="26"/>
          <w:szCs w:val="26"/>
          <w:u w:val="single"/>
          <w:rtl/>
          <w:lang w:eastAsia="he-IL"/>
        </w:rPr>
      </w:pPr>
    </w:p>
    <w:p w:rsidR="00B125E8" w:rsidRPr="00B125E8" w:rsidRDefault="00B125E8" w:rsidP="00B125E8">
      <w:pPr>
        <w:spacing w:after="0" w:line="480" w:lineRule="auto"/>
        <w:jc w:val="both"/>
        <w:rPr>
          <w:rFonts w:ascii="David" w:hAnsi="David" w:cs="David"/>
          <w:b/>
          <w:bCs/>
          <w:sz w:val="26"/>
          <w:szCs w:val="26"/>
          <w:rtl/>
          <w:lang w:eastAsia="he-IL"/>
        </w:rPr>
      </w:pPr>
      <w:r w:rsidRPr="00B125E8">
        <w:rPr>
          <w:rFonts w:ascii="David" w:hAnsi="David" w:cs="David" w:hint="cs"/>
          <w:b/>
          <w:bCs/>
          <w:sz w:val="26"/>
          <w:szCs w:val="26"/>
          <w:u w:val="single"/>
          <w:rtl/>
          <w:lang w:eastAsia="he-IL"/>
        </w:rPr>
        <w:t>העוררת בעררים בי/ 86007/0223  +</w:t>
      </w:r>
      <w:r w:rsidRPr="00B125E8">
        <w:rPr>
          <w:rFonts w:ascii="David" w:hAnsi="David" w:cs="David" w:hint="cs"/>
          <w:b/>
          <w:bCs/>
          <w:sz w:val="26"/>
          <w:szCs w:val="26"/>
          <w:rtl/>
          <w:lang w:eastAsia="he-IL"/>
        </w:rPr>
        <w:t xml:space="preserve">    הועדה מקומית לתכנון ובניה בת ים</w:t>
      </w:r>
    </w:p>
    <w:p w:rsidR="00B125E8" w:rsidRPr="00B125E8" w:rsidRDefault="00B125E8" w:rsidP="00B125E8">
      <w:pPr>
        <w:spacing w:after="0" w:line="480" w:lineRule="auto"/>
        <w:jc w:val="both"/>
        <w:rPr>
          <w:rFonts w:ascii="David" w:hAnsi="David" w:cs="David"/>
          <w:b/>
          <w:bCs/>
          <w:sz w:val="26"/>
          <w:szCs w:val="26"/>
          <w:lang w:eastAsia="he-IL"/>
        </w:rPr>
      </w:pPr>
      <w:r w:rsidRPr="00B125E8">
        <w:rPr>
          <w:rFonts w:ascii="David" w:hAnsi="David" w:cs="David" w:hint="cs"/>
          <w:b/>
          <w:bCs/>
          <w:sz w:val="26"/>
          <w:szCs w:val="26"/>
          <w:u w:val="single"/>
          <w:rtl/>
          <w:lang w:eastAsia="he-IL"/>
        </w:rPr>
        <w:t>בי/86008/0223 :</w:t>
      </w:r>
      <w:r w:rsidRPr="00B125E8">
        <w:rPr>
          <w:rFonts w:ascii="David" w:hAnsi="David" w:cs="David" w:hint="cs"/>
          <w:b/>
          <w:bCs/>
          <w:sz w:val="26"/>
          <w:szCs w:val="26"/>
          <w:rtl/>
          <w:lang w:eastAsia="he-IL"/>
        </w:rPr>
        <w:t xml:space="preserve">                               </w:t>
      </w:r>
      <w:r w:rsidRPr="00B125E8">
        <w:rPr>
          <w:rFonts w:ascii="David" w:hAnsi="David" w:cs="David" w:hint="cs"/>
          <w:sz w:val="26"/>
          <w:szCs w:val="26"/>
          <w:rtl/>
          <w:lang w:eastAsia="he-IL"/>
        </w:rPr>
        <w:t xml:space="preserve"> ע"י ב"כ עו"ד תמר איגרא </w:t>
      </w:r>
    </w:p>
    <w:p w:rsidR="00B125E8" w:rsidRPr="00B125E8" w:rsidRDefault="00B125E8" w:rsidP="00B125E8">
      <w:pPr>
        <w:spacing w:after="0" w:line="360" w:lineRule="auto"/>
        <w:jc w:val="center"/>
        <w:rPr>
          <w:rFonts w:ascii="David" w:hAnsi="David" w:cs="David"/>
          <w:b/>
          <w:bCs/>
          <w:sz w:val="26"/>
          <w:szCs w:val="26"/>
          <w:rtl/>
          <w:lang w:eastAsia="he-IL"/>
        </w:rPr>
      </w:pPr>
      <w:r w:rsidRPr="00B125E8">
        <w:rPr>
          <w:rFonts w:ascii="David" w:hAnsi="David" w:cs="David" w:hint="cs"/>
          <w:b/>
          <w:bCs/>
          <w:sz w:val="26"/>
          <w:szCs w:val="26"/>
          <w:rtl/>
          <w:lang w:eastAsia="he-IL"/>
        </w:rPr>
        <w:t xml:space="preserve">      </w:t>
      </w:r>
    </w:p>
    <w:p w:rsidR="00B125E8" w:rsidRPr="00B125E8" w:rsidRDefault="00B125E8" w:rsidP="00B125E8">
      <w:pPr>
        <w:spacing w:after="0" w:line="360" w:lineRule="auto"/>
        <w:jc w:val="center"/>
        <w:rPr>
          <w:rFonts w:ascii="David" w:hAnsi="David" w:cs="David"/>
          <w:b/>
          <w:bCs/>
          <w:sz w:val="26"/>
          <w:szCs w:val="26"/>
          <w:rtl/>
          <w:lang w:eastAsia="he-IL"/>
        </w:rPr>
      </w:pPr>
      <w:r w:rsidRPr="00B125E8">
        <w:rPr>
          <w:rFonts w:ascii="David" w:hAnsi="David" w:cs="David" w:hint="cs"/>
          <w:b/>
          <w:bCs/>
          <w:sz w:val="26"/>
          <w:szCs w:val="26"/>
          <w:rtl/>
          <w:lang w:eastAsia="he-IL"/>
        </w:rPr>
        <w:t xml:space="preserve">      </w:t>
      </w:r>
      <w:r w:rsidRPr="00B125E8">
        <w:rPr>
          <w:rFonts w:ascii="David" w:hAnsi="David" w:cs="David"/>
          <w:b/>
          <w:bCs/>
          <w:sz w:val="26"/>
          <w:szCs w:val="26"/>
          <w:rtl/>
          <w:lang w:eastAsia="he-IL"/>
        </w:rPr>
        <w:t>-נגד-</w:t>
      </w:r>
      <w:r w:rsidRPr="00B125E8">
        <w:rPr>
          <w:rFonts w:ascii="David" w:hAnsi="David" w:cs="David" w:hint="cs"/>
          <w:b/>
          <w:bCs/>
          <w:sz w:val="26"/>
          <w:szCs w:val="26"/>
          <w:rtl/>
          <w:lang w:eastAsia="he-IL"/>
        </w:rPr>
        <w:t xml:space="preserve"> </w:t>
      </w:r>
    </w:p>
    <w:p w:rsidR="00B125E8" w:rsidRPr="00B125E8" w:rsidRDefault="00B125E8" w:rsidP="00B125E8">
      <w:pPr>
        <w:spacing w:after="0" w:line="360" w:lineRule="auto"/>
        <w:jc w:val="both"/>
        <w:rPr>
          <w:rFonts w:ascii="David" w:hAnsi="David" w:cs="David"/>
          <w:b/>
          <w:bCs/>
          <w:sz w:val="26"/>
          <w:szCs w:val="26"/>
          <w:rtl/>
          <w:lang w:eastAsia="he-IL"/>
        </w:rPr>
      </w:pPr>
    </w:p>
    <w:p w:rsidR="00B125E8" w:rsidRPr="00B125E8" w:rsidRDefault="00B125E8" w:rsidP="00B125E8">
      <w:pPr>
        <w:spacing w:after="0" w:line="480" w:lineRule="auto"/>
        <w:jc w:val="both"/>
        <w:rPr>
          <w:rFonts w:ascii="David" w:hAnsi="David" w:cs="David"/>
          <w:b/>
          <w:bCs/>
          <w:sz w:val="26"/>
          <w:szCs w:val="26"/>
          <w:u w:val="single"/>
          <w:rtl/>
          <w:lang w:eastAsia="he-IL"/>
        </w:rPr>
      </w:pPr>
      <w:r w:rsidRPr="00B125E8">
        <w:rPr>
          <w:rFonts w:ascii="David" w:hAnsi="David" w:cs="David" w:hint="cs"/>
          <w:b/>
          <w:bCs/>
          <w:sz w:val="26"/>
          <w:szCs w:val="26"/>
          <w:u w:val="single"/>
          <w:rtl/>
          <w:lang w:eastAsia="he-IL"/>
        </w:rPr>
        <w:t xml:space="preserve">המשיבה </w:t>
      </w:r>
      <w:proofErr w:type="spellStart"/>
      <w:r w:rsidRPr="00B125E8">
        <w:rPr>
          <w:rFonts w:ascii="David" w:hAnsi="David" w:cs="David" w:hint="cs"/>
          <w:b/>
          <w:bCs/>
          <w:sz w:val="26"/>
          <w:szCs w:val="26"/>
          <w:u w:val="single"/>
          <w:rtl/>
          <w:lang w:eastAsia="he-IL"/>
        </w:rPr>
        <w:t>בעררים</w:t>
      </w:r>
      <w:proofErr w:type="spellEnd"/>
      <w:r w:rsidRPr="00B125E8">
        <w:rPr>
          <w:rFonts w:ascii="David" w:hAnsi="David" w:cs="David" w:hint="cs"/>
          <w:b/>
          <w:bCs/>
          <w:sz w:val="26"/>
          <w:szCs w:val="26"/>
          <w:u w:val="single"/>
          <w:rtl/>
          <w:lang w:eastAsia="he-IL"/>
        </w:rPr>
        <w:t xml:space="preserve"> בי/86009/0223+ </w:t>
      </w:r>
      <w:r w:rsidRPr="00B125E8">
        <w:rPr>
          <w:rFonts w:ascii="David" w:hAnsi="David" w:cs="David" w:hint="cs"/>
          <w:b/>
          <w:bCs/>
          <w:sz w:val="26"/>
          <w:szCs w:val="26"/>
          <w:rtl/>
          <w:lang w:eastAsia="he-IL"/>
        </w:rPr>
        <w:t xml:space="preserve">     הועדה מקומית לתכנון ובניה </w:t>
      </w:r>
      <w:r w:rsidR="00B868F2">
        <w:rPr>
          <w:rFonts w:ascii="David" w:hAnsi="David" w:cs="David" w:hint="cs"/>
          <w:b/>
          <w:bCs/>
          <w:sz w:val="26"/>
          <w:szCs w:val="26"/>
          <w:rtl/>
          <w:lang w:eastAsia="he-IL"/>
        </w:rPr>
        <w:t>בת</w:t>
      </w:r>
      <w:r w:rsidRPr="00B125E8">
        <w:rPr>
          <w:rFonts w:ascii="David" w:hAnsi="David" w:cs="David" w:hint="cs"/>
          <w:b/>
          <w:bCs/>
          <w:sz w:val="26"/>
          <w:szCs w:val="26"/>
          <w:rtl/>
          <w:lang w:eastAsia="he-IL"/>
        </w:rPr>
        <w:t xml:space="preserve"> </w:t>
      </w:r>
      <w:r w:rsidR="00B868F2">
        <w:rPr>
          <w:rFonts w:ascii="David" w:hAnsi="David" w:cs="David" w:hint="cs"/>
          <w:b/>
          <w:bCs/>
          <w:sz w:val="26"/>
          <w:szCs w:val="26"/>
          <w:rtl/>
          <w:lang w:eastAsia="he-IL"/>
        </w:rPr>
        <w:t>ים</w:t>
      </w:r>
    </w:p>
    <w:p w:rsidR="00B125E8" w:rsidRPr="00B125E8" w:rsidRDefault="00B125E8" w:rsidP="00B125E8">
      <w:pPr>
        <w:spacing w:after="0" w:line="480" w:lineRule="auto"/>
        <w:jc w:val="both"/>
        <w:rPr>
          <w:rFonts w:ascii="David" w:hAnsi="David" w:cs="David"/>
          <w:sz w:val="26"/>
          <w:szCs w:val="26"/>
          <w:rtl/>
          <w:lang w:eastAsia="he-IL"/>
        </w:rPr>
      </w:pPr>
      <w:r w:rsidRPr="00B125E8">
        <w:rPr>
          <w:rFonts w:ascii="David" w:hAnsi="David" w:cs="David" w:hint="cs"/>
          <w:b/>
          <w:bCs/>
          <w:sz w:val="26"/>
          <w:szCs w:val="26"/>
          <w:u w:val="single"/>
          <w:rtl/>
          <w:lang w:eastAsia="he-IL"/>
        </w:rPr>
        <w:t>בי/86010/0223 :</w:t>
      </w:r>
      <w:r w:rsidRPr="00B125E8">
        <w:rPr>
          <w:rFonts w:ascii="David" w:hAnsi="David" w:cs="David"/>
          <w:b/>
          <w:bCs/>
          <w:sz w:val="26"/>
          <w:szCs w:val="26"/>
          <w:rtl/>
          <w:lang w:eastAsia="he-IL"/>
        </w:rPr>
        <w:tab/>
      </w:r>
      <w:r w:rsidRPr="00B125E8">
        <w:rPr>
          <w:rFonts w:ascii="David" w:hAnsi="David" w:cs="David" w:hint="cs"/>
          <w:b/>
          <w:bCs/>
          <w:sz w:val="26"/>
          <w:szCs w:val="26"/>
          <w:rtl/>
          <w:lang w:eastAsia="he-IL"/>
        </w:rPr>
        <w:t xml:space="preserve">                            </w:t>
      </w:r>
      <w:r w:rsidRPr="00B125E8">
        <w:rPr>
          <w:rFonts w:ascii="David" w:hAnsi="David" w:cs="David" w:hint="cs"/>
          <w:sz w:val="26"/>
          <w:szCs w:val="26"/>
          <w:rtl/>
          <w:lang w:eastAsia="he-IL"/>
        </w:rPr>
        <w:t>ע"י ב"כ עו"ד תמר איגרא</w:t>
      </w:r>
    </w:p>
    <w:p w:rsidR="00B125E8" w:rsidRPr="00B125E8" w:rsidRDefault="00B125E8" w:rsidP="00B125E8">
      <w:pPr>
        <w:spacing w:after="0" w:line="480" w:lineRule="auto"/>
        <w:jc w:val="both"/>
        <w:rPr>
          <w:rFonts w:ascii="David" w:hAnsi="David" w:cs="David"/>
          <w:b/>
          <w:bCs/>
          <w:sz w:val="26"/>
          <w:szCs w:val="26"/>
          <w:u w:val="single"/>
          <w:rtl/>
          <w:lang w:eastAsia="he-IL"/>
        </w:rPr>
      </w:pPr>
      <w:r w:rsidRPr="00B125E8">
        <w:rPr>
          <w:rFonts w:ascii="David" w:hAnsi="David" w:cs="David" w:hint="cs"/>
          <w:b/>
          <w:bCs/>
          <w:sz w:val="26"/>
          <w:szCs w:val="26"/>
          <w:u w:val="single"/>
          <w:rtl/>
          <w:lang w:eastAsia="he-IL"/>
        </w:rPr>
        <w:t>המשיבה בעררים בי/86007/0223 +</w:t>
      </w:r>
      <w:r w:rsidRPr="00B125E8">
        <w:rPr>
          <w:rFonts w:ascii="David" w:hAnsi="David" w:cs="David" w:hint="cs"/>
          <w:b/>
          <w:bCs/>
          <w:sz w:val="26"/>
          <w:szCs w:val="26"/>
          <w:rtl/>
          <w:lang w:eastAsia="he-IL"/>
        </w:rPr>
        <w:t xml:space="preserve">      מעוז דניאל חברה קבלנית לבניה בע"מ</w:t>
      </w:r>
    </w:p>
    <w:p w:rsidR="00B125E8" w:rsidRPr="00B125E8" w:rsidRDefault="00B125E8" w:rsidP="00B125E8">
      <w:pPr>
        <w:spacing w:after="0" w:line="480" w:lineRule="auto"/>
        <w:jc w:val="both"/>
        <w:rPr>
          <w:rFonts w:ascii="David" w:hAnsi="David" w:cs="David"/>
          <w:b/>
          <w:bCs/>
          <w:sz w:val="26"/>
          <w:szCs w:val="26"/>
          <w:rtl/>
          <w:lang w:eastAsia="he-IL"/>
        </w:rPr>
      </w:pPr>
      <w:r w:rsidRPr="00B125E8">
        <w:rPr>
          <w:rFonts w:ascii="David" w:hAnsi="David" w:cs="David" w:hint="cs"/>
          <w:b/>
          <w:bCs/>
          <w:sz w:val="26"/>
          <w:szCs w:val="26"/>
          <w:u w:val="single"/>
          <w:rtl/>
          <w:lang w:eastAsia="he-IL"/>
        </w:rPr>
        <w:t>בי/86008/0223:</w:t>
      </w:r>
      <w:r w:rsidRPr="00B125E8">
        <w:rPr>
          <w:rFonts w:ascii="David" w:hAnsi="David" w:cs="David" w:hint="cs"/>
          <w:sz w:val="26"/>
          <w:szCs w:val="26"/>
          <w:rtl/>
          <w:lang w:eastAsia="he-IL"/>
        </w:rPr>
        <w:t xml:space="preserve">     </w:t>
      </w:r>
      <w:r w:rsidRPr="00B125E8">
        <w:rPr>
          <w:rFonts w:ascii="David" w:hAnsi="David" w:cs="David"/>
          <w:sz w:val="26"/>
          <w:szCs w:val="26"/>
          <w:rtl/>
          <w:lang w:eastAsia="he-IL"/>
        </w:rPr>
        <w:tab/>
      </w:r>
      <w:r w:rsidRPr="00B125E8">
        <w:rPr>
          <w:rFonts w:ascii="David" w:hAnsi="David" w:cs="David"/>
          <w:sz w:val="26"/>
          <w:szCs w:val="26"/>
          <w:rtl/>
          <w:lang w:eastAsia="he-IL"/>
        </w:rPr>
        <w:tab/>
      </w:r>
      <w:r w:rsidRPr="00B125E8">
        <w:rPr>
          <w:rFonts w:ascii="David" w:hAnsi="David" w:cs="David" w:hint="cs"/>
          <w:sz w:val="26"/>
          <w:szCs w:val="26"/>
          <w:rtl/>
          <w:lang w:eastAsia="he-IL"/>
        </w:rPr>
        <w:t xml:space="preserve">  </w:t>
      </w:r>
      <w:r w:rsidRPr="00B125E8">
        <w:rPr>
          <w:rFonts w:ascii="David" w:hAnsi="David" w:cs="David" w:hint="cs"/>
          <w:b/>
          <w:bCs/>
          <w:sz w:val="26"/>
          <w:szCs w:val="26"/>
          <w:rtl/>
          <w:lang w:eastAsia="he-IL"/>
        </w:rPr>
        <w:t xml:space="preserve">                </w:t>
      </w:r>
      <w:r w:rsidRPr="00B125E8">
        <w:rPr>
          <w:rFonts w:ascii="David" w:hAnsi="David" w:cs="David" w:hint="cs"/>
          <w:sz w:val="26"/>
          <w:szCs w:val="26"/>
          <w:rtl/>
          <w:lang w:eastAsia="he-IL"/>
        </w:rPr>
        <w:t>ע"י עוה"ד רונן ירדני</w:t>
      </w:r>
      <w:r w:rsidRPr="00B125E8">
        <w:rPr>
          <w:rFonts w:ascii="David" w:hAnsi="David" w:cs="David" w:hint="cs"/>
          <w:b/>
          <w:bCs/>
          <w:sz w:val="26"/>
          <w:szCs w:val="26"/>
          <w:rtl/>
          <w:lang w:eastAsia="he-IL"/>
        </w:rPr>
        <w:t xml:space="preserve"> </w:t>
      </w:r>
      <w:r w:rsidRPr="00B125E8">
        <w:rPr>
          <w:rFonts w:ascii="David" w:hAnsi="David" w:cs="David" w:hint="cs"/>
          <w:sz w:val="26"/>
          <w:szCs w:val="26"/>
          <w:rtl/>
          <w:lang w:eastAsia="he-IL"/>
        </w:rPr>
        <w:t xml:space="preserve">ו/או יעל </w:t>
      </w:r>
      <w:proofErr w:type="spellStart"/>
      <w:r w:rsidRPr="00B125E8">
        <w:rPr>
          <w:rFonts w:ascii="David" w:hAnsi="David" w:cs="David" w:hint="cs"/>
          <w:sz w:val="26"/>
          <w:szCs w:val="26"/>
          <w:rtl/>
          <w:lang w:eastAsia="he-IL"/>
        </w:rPr>
        <w:t>אוריאלי</w:t>
      </w:r>
      <w:proofErr w:type="spellEnd"/>
    </w:p>
    <w:p w:rsidR="00AD53B9" w:rsidRDefault="008D6AA5" w:rsidP="006C64A1">
      <w:pPr>
        <w:spacing w:after="0" w:line="360" w:lineRule="auto"/>
        <w:jc w:val="center"/>
        <w:rPr>
          <w:rFonts w:ascii="David" w:hAnsi="David" w:cs="David"/>
          <w:b/>
          <w:bCs/>
          <w:sz w:val="40"/>
          <w:szCs w:val="40"/>
          <w:u w:val="single"/>
          <w:rtl/>
          <w:lang w:eastAsia="he-IL"/>
        </w:rPr>
      </w:pPr>
      <w:r>
        <w:rPr>
          <w:rFonts w:ascii="David" w:hAnsi="David" w:cs="David"/>
          <w:b/>
          <w:bCs/>
          <w:sz w:val="40"/>
          <w:szCs w:val="40"/>
          <w:u w:val="single"/>
          <w:rtl/>
          <w:lang w:eastAsia="he-IL"/>
        </w:rPr>
        <w:br/>
      </w:r>
      <w:r w:rsidR="00B125E8" w:rsidRPr="00F0067D">
        <w:rPr>
          <w:rFonts w:ascii="David" w:hAnsi="David" w:cs="David" w:hint="cs"/>
          <w:b/>
          <w:bCs/>
          <w:sz w:val="40"/>
          <w:szCs w:val="40"/>
          <w:u w:val="single"/>
          <w:rtl/>
          <w:lang w:eastAsia="he-IL"/>
        </w:rPr>
        <w:t>החלטה</w:t>
      </w:r>
    </w:p>
    <w:p w:rsidR="00B125E8" w:rsidRDefault="00781926" w:rsidP="006C64A1">
      <w:pPr>
        <w:spacing w:line="360" w:lineRule="auto"/>
        <w:jc w:val="both"/>
        <w:rPr>
          <w:rFonts w:ascii="David" w:hAnsi="David" w:cs="David"/>
          <w:rtl/>
        </w:rPr>
      </w:pPr>
      <w:r>
        <w:rPr>
          <w:rFonts w:ascii="David" w:hAnsi="David" w:cs="David"/>
          <w:rtl/>
        </w:rPr>
        <w:br/>
      </w:r>
      <w:r w:rsidR="009B4DE5" w:rsidRPr="00D466E3">
        <w:rPr>
          <w:rFonts w:ascii="David" w:hAnsi="David" w:cs="David" w:hint="cs"/>
          <w:rtl/>
        </w:rPr>
        <w:t>עניינינו ב-4 עררים (</w:t>
      </w:r>
      <w:r w:rsidR="009824A1" w:rsidRPr="00D466E3">
        <w:rPr>
          <w:rFonts w:ascii="David" w:hAnsi="David" w:cs="David" w:hint="cs"/>
          <w:rtl/>
        </w:rPr>
        <w:t>2 עררים שהוגשו</w:t>
      </w:r>
      <w:r w:rsidR="009B4DE5" w:rsidRPr="00D466E3">
        <w:rPr>
          <w:rFonts w:ascii="David" w:hAnsi="David" w:cs="David" w:hint="cs"/>
          <w:rtl/>
        </w:rPr>
        <w:t xml:space="preserve"> על ידי הועדה המקומית לתכנון ולבניה בת ים</w:t>
      </w:r>
      <w:r w:rsidR="009824A1" w:rsidRPr="00D466E3">
        <w:rPr>
          <w:rFonts w:ascii="David" w:hAnsi="David" w:cs="David" w:hint="cs"/>
          <w:rtl/>
        </w:rPr>
        <w:t xml:space="preserve"> </w:t>
      </w:r>
      <w:r w:rsidR="009B4DE5" w:rsidRPr="00D466E3">
        <w:rPr>
          <w:rFonts w:ascii="David" w:hAnsi="David" w:cs="David" w:hint="cs"/>
          <w:rtl/>
        </w:rPr>
        <w:t>ו-</w:t>
      </w:r>
      <w:r w:rsidR="009824A1" w:rsidRPr="00D466E3">
        <w:rPr>
          <w:rFonts w:ascii="David" w:hAnsi="David" w:cs="David" w:hint="cs"/>
          <w:rtl/>
        </w:rPr>
        <w:t>2 עררים ש</w:t>
      </w:r>
      <w:r w:rsidR="009B4DE5" w:rsidRPr="00D466E3">
        <w:rPr>
          <w:rFonts w:ascii="David" w:hAnsi="David" w:cs="David" w:hint="cs"/>
          <w:rtl/>
        </w:rPr>
        <w:t>הוגשו על יד</w:t>
      </w:r>
      <w:r w:rsidR="0096270B">
        <w:rPr>
          <w:rFonts w:ascii="David" w:hAnsi="David" w:cs="David" w:hint="cs"/>
          <w:rtl/>
        </w:rPr>
        <w:t>י</w:t>
      </w:r>
      <w:r w:rsidR="009B4DE5" w:rsidRPr="00D466E3">
        <w:rPr>
          <w:rFonts w:ascii="David" w:hAnsi="David" w:cs="David" w:hint="cs"/>
          <w:rtl/>
        </w:rPr>
        <w:t xml:space="preserve"> חב' מעוז דניאל חברה קבלנית בע"מ) בגין שתי שומות מכריעות בהיטל השבחה </w:t>
      </w:r>
      <w:r w:rsidR="00B95D21">
        <w:rPr>
          <w:rFonts w:ascii="David" w:hAnsi="David" w:cs="David" w:hint="cs"/>
          <w:rtl/>
        </w:rPr>
        <w:t>ע"י</w:t>
      </w:r>
      <w:r w:rsidR="009B4DE5" w:rsidRPr="00D466E3">
        <w:rPr>
          <w:rFonts w:ascii="David" w:hAnsi="David" w:cs="David" w:hint="cs"/>
          <w:rtl/>
        </w:rPr>
        <w:t xml:space="preserve"> כב' השמאית המכריעה הגב' רמה מאור שנערכו בגין מימוש זכויות במקרקעין </w:t>
      </w:r>
      <w:r w:rsidR="00850B6B" w:rsidRPr="00D466E3">
        <w:rPr>
          <w:rFonts w:ascii="David" w:hAnsi="David" w:cs="David"/>
          <w:rtl/>
        </w:rPr>
        <w:t>המיועד</w:t>
      </w:r>
      <w:r w:rsidR="009B4DE5" w:rsidRPr="00D466E3">
        <w:rPr>
          <w:rFonts w:ascii="David" w:hAnsi="David" w:cs="David" w:hint="cs"/>
          <w:rtl/>
        </w:rPr>
        <w:t xml:space="preserve">ים </w:t>
      </w:r>
      <w:r w:rsidR="00850B6B" w:rsidRPr="00D466E3">
        <w:rPr>
          <w:rFonts w:ascii="David" w:hAnsi="David" w:cs="David"/>
          <w:rtl/>
        </w:rPr>
        <w:t xml:space="preserve">להתחדשות עירונית בדרך של פינוי בינוי ברחוב כצנלסון 41,43,45,47,49 ו-51 בשכונת רמת יוסף בבת ים הידוע כחלקות 114-119 </w:t>
      </w:r>
      <w:r w:rsidR="00555F13">
        <w:rPr>
          <w:rFonts w:ascii="David" w:hAnsi="David" w:cs="David" w:hint="cs"/>
          <w:rtl/>
        </w:rPr>
        <w:t xml:space="preserve">בגוש 7131 </w:t>
      </w:r>
      <w:r w:rsidR="00850B6B" w:rsidRPr="00D466E3">
        <w:rPr>
          <w:rFonts w:ascii="David" w:hAnsi="David" w:cs="David"/>
          <w:rtl/>
        </w:rPr>
        <w:t xml:space="preserve">מגרשים 101 ו-102 </w:t>
      </w:r>
      <w:r w:rsidR="00D466E3" w:rsidRPr="00D466E3">
        <w:rPr>
          <w:rFonts w:ascii="David" w:hAnsi="David" w:cs="David" w:hint="cs"/>
          <w:rtl/>
        </w:rPr>
        <w:t xml:space="preserve">עקב אישורן של תכנית בי/517מ ו-בי/1/517//מק </w:t>
      </w:r>
      <w:r w:rsidR="000C0927" w:rsidRPr="00D466E3">
        <w:rPr>
          <w:rFonts w:ascii="David" w:hAnsi="David" w:cs="David" w:hint="cs"/>
          <w:rtl/>
        </w:rPr>
        <w:t xml:space="preserve"> (להלן </w:t>
      </w:r>
      <w:r w:rsidR="000C0927" w:rsidRPr="00D466E3">
        <w:rPr>
          <w:rFonts w:ascii="David" w:hAnsi="David" w:cs="David"/>
          <w:rtl/>
        </w:rPr>
        <w:t>–</w:t>
      </w:r>
      <w:r w:rsidR="000C0927" w:rsidRPr="00D466E3">
        <w:rPr>
          <w:rFonts w:ascii="David" w:hAnsi="David" w:cs="David" w:hint="cs"/>
          <w:rtl/>
        </w:rPr>
        <w:t xml:space="preserve"> "</w:t>
      </w:r>
      <w:r w:rsidR="000C0927" w:rsidRPr="00D466E3">
        <w:rPr>
          <w:rFonts w:ascii="David" w:hAnsi="David" w:cs="David" w:hint="cs"/>
          <w:b/>
          <w:bCs/>
          <w:rtl/>
        </w:rPr>
        <w:t>המקרקעין</w:t>
      </w:r>
      <w:r w:rsidR="000C0927" w:rsidRPr="00D466E3">
        <w:rPr>
          <w:rFonts w:ascii="David" w:hAnsi="David" w:cs="David" w:hint="cs"/>
          <w:rtl/>
        </w:rPr>
        <w:t>")</w:t>
      </w:r>
      <w:r w:rsidR="00AD53B9" w:rsidRPr="00D466E3">
        <w:rPr>
          <w:rFonts w:ascii="David" w:hAnsi="David" w:cs="David" w:hint="cs"/>
          <w:rtl/>
        </w:rPr>
        <w:t>.</w:t>
      </w:r>
      <w:r w:rsidR="00B95D21">
        <w:rPr>
          <w:rFonts w:ascii="David" w:hAnsi="David" w:cs="David" w:hint="cs"/>
          <w:rtl/>
        </w:rPr>
        <w:t xml:space="preserve"> </w:t>
      </w:r>
    </w:p>
    <w:p w:rsidR="00E15673" w:rsidRDefault="008D6AA5" w:rsidP="00781926">
      <w:pPr>
        <w:spacing w:line="360" w:lineRule="auto"/>
        <w:jc w:val="both"/>
        <w:rPr>
          <w:rFonts w:ascii="David" w:hAnsi="David" w:cs="David"/>
          <w:rtl/>
        </w:rPr>
      </w:pPr>
      <w:r>
        <w:rPr>
          <w:rFonts w:ascii="David" w:hAnsi="David" w:cs="David" w:hint="cs"/>
          <w:rtl/>
        </w:rPr>
        <w:t>ההשבחה בעררים שבפנינו עומדת על כרבע מיליארד ₪, תוך העלאת 18 טענות על ידי הצדדים. מכאן, אורכה של ההחלטה.</w:t>
      </w:r>
      <w:r w:rsidR="007510E4">
        <w:rPr>
          <w:rFonts w:ascii="David" w:hAnsi="David" w:cs="David" w:hint="cs"/>
          <w:rtl/>
        </w:rPr>
        <w:t xml:space="preserve"> לטובת נוחות הקורא, להלן תוכן עניינים:</w:t>
      </w:r>
    </w:p>
    <w:sdt>
      <w:sdtPr>
        <w:rPr>
          <w:rFonts w:asciiTheme="minorHAnsi" w:eastAsiaTheme="minorHAnsi" w:hAnsiTheme="minorHAnsi" w:cstheme="minorBidi"/>
          <w:bCs w:val="0"/>
          <w:kern w:val="2"/>
          <w:sz w:val="24"/>
          <w:szCs w:val="24"/>
          <w:u w:val="none"/>
          <w:cs w:val="0"/>
          <w:lang w:val="he-IL"/>
          <w14:ligatures w14:val="standardContextual"/>
        </w:rPr>
        <w:id w:val="-1659293928"/>
        <w:docPartObj>
          <w:docPartGallery w:val="Table of Contents"/>
          <w:docPartUnique/>
        </w:docPartObj>
      </w:sdtPr>
      <w:sdtEndPr>
        <w:rPr>
          <w:rFonts w:ascii="David" w:hAnsi="David" w:cs="David"/>
          <w:b/>
          <w:bCs/>
          <w:lang w:val="en-US"/>
        </w:rPr>
      </w:sdtEndPr>
      <w:sdtContent>
        <w:p w:rsidR="00785478" w:rsidRDefault="00785478">
          <w:pPr>
            <w:pStyle w:val="aff2"/>
            <w:rPr>
              <w:lang w:val="he-IL"/>
            </w:rPr>
          </w:pPr>
        </w:p>
        <w:p w:rsidR="007510E4" w:rsidRDefault="007510E4">
          <w:pPr>
            <w:pStyle w:val="aff2"/>
          </w:pPr>
          <w:r>
            <w:rPr>
              <w:lang w:val="he-IL"/>
            </w:rPr>
            <w:t>תוכן עניינים</w:t>
          </w:r>
        </w:p>
        <w:p w:rsidR="005C5148" w:rsidRPr="005C5148" w:rsidRDefault="005C5148" w:rsidP="005C5148"/>
        <w:p w:rsidR="00236F3C" w:rsidRPr="00CD4258" w:rsidRDefault="00633F0F">
          <w:pPr>
            <w:pStyle w:val="TOC1"/>
            <w:rPr>
              <w:rFonts w:eastAsiaTheme="minorEastAsia"/>
              <w:b/>
              <w:bCs/>
              <w:rtl/>
            </w:rPr>
          </w:pPr>
          <w:r w:rsidRPr="00785478">
            <w:rPr>
              <w:b/>
              <w:bCs/>
              <w:sz w:val="26"/>
              <w:szCs w:val="26"/>
            </w:rPr>
            <w:fldChar w:fldCharType="begin"/>
          </w:r>
          <w:r w:rsidRPr="00221D4D">
            <w:rPr>
              <w:b/>
              <w:bCs/>
              <w:sz w:val="26"/>
              <w:szCs w:val="26"/>
            </w:rPr>
            <w:instrText xml:space="preserve"> TOC \o "1-3" \u </w:instrText>
          </w:r>
          <w:r w:rsidRPr="00785478">
            <w:rPr>
              <w:b/>
              <w:bCs/>
              <w:sz w:val="26"/>
              <w:szCs w:val="26"/>
            </w:rPr>
            <w:fldChar w:fldCharType="separate"/>
          </w:r>
          <w:r w:rsidR="00236F3C" w:rsidRPr="00CD4258">
            <w:rPr>
              <w:rFonts w:hint="eastAsia"/>
              <w:b/>
              <w:bCs/>
              <w:rtl/>
            </w:rPr>
            <w:t>רקע</w:t>
          </w:r>
          <w:r w:rsidR="00236F3C" w:rsidRPr="00CD4258">
            <w:rPr>
              <w:b/>
              <w:bCs/>
              <w:rtl/>
            </w:rPr>
            <w:t xml:space="preserve"> </w:t>
          </w:r>
          <w:r w:rsidR="00236F3C" w:rsidRPr="00CD4258">
            <w:rPr>
              <w:rFonts w:hint="eastAsia"/>
              <w:b/>
              <w:bCs/>
              <w:rtl/>
            </w:rPr>
            <w:t>עובדתי</w:t>
          </w:r>
          <w:r w:rsidR="00236F3C" w:rsidRPr="00CD4258">
            <w:rPr>
              <w:b/>
              <w:bCs/>
              <w:rtl/>
            </w:rPr>
            <w:t xml:space="preserve"> </w:t>
          </w:r>
          <w:r w:rsidR="00236F3C" w:rsidRPr="00CD4258">
            <w:rPr>
              <w:rFonts w:hint="eastAsia"/>
              <w:b/>
              <w:bCs/>
              <w:rtl/>
            </w:rPr>
            <w:t>ותכנוני</w:t>
          </w:r>
          <w:r w:rsidR="00236F3C" w:rsidRPr="00CD4258">
            <w:rPr>
              <w:b/>
              <w:bCs/>
              <w:rtl/>
            </w:rPr>
            <w:t xml:space="preserve"> </w:t>
          </w:r>
          <w:r w:rsidR="00236F3C" w:rsidRPr="00CD4258">
            <w:rPr>
              <w:rFonts w:hint="eastAsia"/>
              <w:b/>
              <w:bCs/>
              <w:rtl/>
            </w:rPr>
            <w:t>קצר</w:t>
          </w:r>
          <w:r w:rsidR="00236F3C" w:rsidRPr="00CD4258">
            <w:rPr>
              <w:b/>
              <w:bCs/>
              <w:rtl/>
            </w:rPr>
            <w:tab/>
          </w:r>
          <w:r w:rsidR="00236F3C" w:rsidRPr="00CD4258">
            <w:rPr>
              <w:b/>
              <w:bCs/>
            </w:rPr>
            <w:fldChar w:fldCharType="begin"/>
          </w:r>
          <w:r w:rsidR="00236F3C" w:rsidRPr="00CD4258">
            <w:rPr>
              <w:b/>
              <w:bCs/>
              <w:rtl/>
            </w:rPr>
            <w:instrText xml:space="preserve"> </w:instrText>
          </w:r>
          <w:r w:rsidR="00236F3C" w:rsidRPr="00CD4258">
            <w:rPr>
              <w:b/>
              <w:bCs/>
            </w:rPr>
            <w:instrText>PAGEREF</w:instrText>
          </w:r>
          <w:r w:rsidR="00236F3C" w:rsidRPr="00CD4258">
            <w:rPr>
              <w:b/>
              <w:bCs/>
              <w:rtl/>
            </w:rPr>
            <w:instrText xml:space="preserve"> _</w:instrText>
          </w:r>
          <w:r w:rsidR="00236F3C" w:rsidRPr="00CD4258">
            <w:rPr>
              <w:b/>
              <w:bCs/>
            </w:rPr>
            <w:instrText>Toc204504382 \h</w:instrText>
          </w:r>
          <w:r w:rsidR="00236F3C" w:rsidRPr="00CD4258">
            <w:rPr>
              <w:b/>
              <w:bCs/>
              <w:rtl/>
            </w:rPr>
            <w:instrText xml:space="preserve"> </w:instrText>
          </w:r>
          <w:r w:rsidR="00236F3C" w:rsidRPr="00CD4258">
            <w:rPr>
              <w:b/>
              <w:bCs/>
            </w:rPr>
          </w:r>
          <w:r w:rsidR="00236F3C" w:rsidRPr="00CD4258">
            <w:rPr>
              <w:b/>
              <w:bCs/>
            </w:rPr>
            <w:fldChar w:fldCharType="separate"/>
          </w:r>
          <w:r w:rsidR="00683F08">
            <w:rPr>
              <w:b/>
              <w:bCs/>
              <w:rtl/>
            </w:rPr>
            <w:t>3</w:t>
          </w:r>
          <w:r w:rsidR="00236F3C" w:rsidRPr="00CD4258">
            <w:rPr>
              <w:b/>
              <w:bCs/>
            </w:rPr>
            <w:fldChar w:fldCharType="end"/>
          </w:r>
        </w:p>
        <w:p w:rsidR="00236F3C" w:rsidRPr="00CD4258" w:rsidRDefault="00236F3C">
          <w:pPr>
            <w:pStyle w:val="TOC1"/>
            <w:rPr>
              <w:rFonts w:eastAsiaTheme="minorEastAsia"/>
              <w:b/>
              <w:bCs/>
              <w:rtl/>
            </w:rPr>
          </w:pPr>
          <w:r w:rsidRPr="00CD4258">
            <w:rPr>
              <w:rFonts w:hint="eastAsia"/>
              <w:b/>
              <w:bCs/>
              <w:rtl/>
            </w:rPr>
            <w:t>שומות</w:t>
          </w:r>
          <w:r w:rsidRPr="00CD4258">
            <w:rPr>
              <w:b/>
              <w:bCs/>
              <w:rtl/>
            </w:rPr>
            <w:t xml:space="preserve"> </w:t>
          </w:r>
          <w:r w:rsidRPr="00CD4258">
            <w:rPr>
              <w:rFonts w:hint="eastAsia"/>
              <w:b/>
              <w:bCs/>
              <w:rtl/>
            </w:rPr>
            <w:t>ההשבחה</w:t>
          </w:r>
          <w:r w:rsidRPr="00CD4258">
            <w:rPr>
              <w:b/>
              <w:bCs/>
              <w:rtl/>
            </w:rPr>
            <w:t xml:space="preserve"> </w:t>
          </w:r>
          <w:r w:rsidRPr="00CD4258">
            <w:rPr>
              <w:rFonts w:hint="eastAsia"/>
              <w:b/>
              <w:bCs/>
              <w:rtl/>
            </w:rPr>
            <w:t>וההליכים</w:t>
          </w:r>
          <w:r w:rsidRPr="00CD4258">
            <w:rPr>
              <w:b/>
              <w:bCs/>
              <w:rtl/>
            </w:rPr>
            <w:t xml:space="preserve"> </w:t>
          </w:r>
          <w:r w:rsidRPr="00CD4258">
            <w:rPr>
              <w:rFonts w:hint="eastAsia"/>
              <w:b/>
              <w:bCs/>
              <w:rtl/>
            </w:rPr>
            <w:t>שנוהלו</w:t>
          </w:r>
          <w:r w:rsidRPr="00CD4258">
            <w:rPr>
              <w:b/>
              <w:bCs/>
              <w:rtl/>
            </w:rPr>
            <w:t xml:space="preserve"> </w:t>
          </w:r>
          <w:r w:rsidRPr="00CD4258">
            <w:rPr>
              <w:rFonts w:hint="eastAsia"/>
              <w:b/>
              <w:bCs/>
              <w:rtl/>
            </w:rPr>
            <w:t>בפני</w:t>
          </w:r>
          <w:r w:rsidRPr="00CD4258">
            <w:rPr>
              <w:b/>
              <w:bCs/>
              <w:rtl/>
            </w:rPr>
            <w:t xml:space="preserve"> </w:t>
          </w:r>
          <w:r w:rsidRPr="00CD4258">
            <w:rPr>
              <w:rFonts w:hint="eastAsia"/>
              <w:b/>
              <w:bCs/>
              <w:rtl/>
            </w:rPr>
            <w:t>השמאית</w:t>
          </w:r>
          <w:r w:rsidRPr="00CD4258">
            <w:rPr>
              <w:b/>
              <w:bCs/>
              <w:rtl/>
            </w:rPr>
            <w:t xml:space="preserve"> </w:t>
          </w:r>
          <w:r w:rsidRPr="00CD4258">
            <w:rPr>
              <w:rFonts w:hint="eastAsia"/>
              <w:b/>
              <w:bCs/>
              <w:rtl/>
            </w:rPr>
            <w:t>המכריעה</w:t>
          </w:r>
          <w:r w:rsidRPr="00CD4258">
            <w:rPr>
              <w:b/>
              <w:bCs/>
              <w:rtl/>
            </w:rPr>
            <w:tab/>
          </w:r>
          <w:r w:rsidRPr="00CD4258">
            <w:rPr>
              <w:b/>
              <w:bCs/>
            </w:rPr>
            <w:fldChar w:fldCharType="begin"/>
          </w:r>
          <w:r w:rsidRPr="00CD4258">
            <w:rPr>
              <w:b/>
              <w:bCs/>
              <w:rtl/>
            </w:rPr>
            <w:instrText xml:space="preserve"> </w:instrText>
          </w:r>
          <w:r w:rsidRPr="00CD4258">
            <w:rPr>
              <w:b/>
              <w:bCs/>
            </w:rPr>
            <w:instrText>PAGEREF</w:instrText>
          </w:r>
          <w:r w:rsidRPr="00CD4258">
            <w:rPr>
              <w:b/>
              <w:bCs/>
              <w:rtl/>
            </w:rPr>
            <w:instrText xml:space="preserve"> _</w:instrText>
          </w:r>
          <w:r w:rsidRPr="00CD4258">
            <w:rPr>
              <w:b/>
              <w:bCs/>
            </w:rPr>
            <w:instrText>Toc204504383 \h</w:instrText>
          </w:r>
          <w:r w:rsidRPr="00CD4258">
            <w:rPr>
              <w:b/>
              <w:bCs/>
              <w:rtl/>
            </w:rPr>
            <w:instrText xml:space="preserve"> </w:instrText>
          </w:r>
          <w:r w:rsidRPr="00CD4258">
            <w:rPr>
              <w:b/>
              <w:bCs/>
            </w:rPr>
          </w:r>
          <w:r w:rsidRPr="00CD4258">
            <w:rPr>
              <w:b/>
              <w:bCs/>
            </w:rPr>
            <w:fldChar w:fldCharType="separate"/>
          </w:r>
          <w:r w:rsidR="00683F08">
            <w:rPr>
              <w:b/>
              <w:bCs/>
              <w:rtl/>
            </w:rPr>
            <w:t>5</w:t>
          </w:r>
          <w:r w:rsidRPr="00CD4258">
            <w:rPr>
              <w:b/>
              <w:bCs/>
            </w:rPr>
            <w:fldChar w:fldCharType="end"/>
          </w:r>
        </w:p>
        <w:p w:rsidR="00236F3C" w:rsidRPr="00CD4258" w:rsidRDefault="00236F3C">
          <w:pPr>
            <w:pStyle w:val="TOC1"/>
            <w:rPr>
              <w:rFonts w:eastAsiaTheme="minorEastAsia"/>
              <w:b/>
              <w:bCs/>
              <w:rtl/>
            </w:rPr>
          </w:pPr>
          <w:r w:rsidRPr="00CD4258">
            <w:rPr>
              <w:rFonts w:hint="eastAsia"/>
              <w:b/>
              <w:bCs/>
              <w:rtl/>
            </w:rPr>
            <w:t>ההליך</w:t>
          </w:r>
          <w:r w:rsidRPr="00CD4258">
            <w:rPr>
              <w:b/>
              <w:bCs/>
              <w:rtl/>
            </w:rPr>
            <w:t xml:space="preserve"> </w:t>
          </w:r>
          <w:r w:rsidRPr="00CD4258">
            <w:rPr>
              <w:rFonts w:hint="eastAsia"/>
              <w:b/>
              <w:bCs/>
              <w:rtl/>
            </w:rPr>
            <w:t>שהתנהל</w:t>
          </w:r>
          <w:r w:rsidRPr="00CD4258">
            <w:rPr>
              <w:b/>
              <w:bCs/>
              <w:rtl/>
            </w:rPr>
            <w:t xml:space="preserve"> </w:t>
          </w:r>
          <w:r w:rsidRPr="00CD4258">
            <w:rPr>
              <w:rFonts w:hint="eastAsia"/>
              <w:b/>
              <w:bCs/>
              <w:rtl/>
            </w:rPr>
            <w:t>בפני</w:t>
          </w:r>
          <w:r w:rsidRPr="00CD4258">
            <w:rPr>
              <w:b/>
              <w:bCs/>
              <w:rtl/>
            </w:rPr>
            <w:t xml:space="preserve"> </w:t>
          </w:r>
          <w:r w:rsidRPr="00CD4258">
            <w:rPr>
              <w:rFonts w:hint="eastAsia"/>
              <w:b/>
              <w:bCs/>
              <w:rtl/>
            </w:rPr>
            <w:t>ועדת</w:t>
          </w:r>
          <w:r w:rsidRPr="00CD4258">
            <w:rPr>
              <w:b/>
              <w:bCs/>
              <w:rtl/>
            </w:rPr>
            <w:t xml:space="preserve"> </w:t>
          </w:r>
          <w:r w:rsidRPr="00CD4258">
            <w:rPr>
              <w:rFonts w:hint="eastAsia"/>
              <w:b/>
              <w:bCs/>
              <w:rtl/>
            </w:rPr>
            <w:t>הערר</w:t>
          </w:r>
          <w:r w:rsidRPr="00CD4258">
            <w:rPr>
              <w:b/>
              <w:bCs/>
              <w:rtl/>
            </w:rPr>
            <w:tab/>
          </w:r>
          <w:r w:rsidRPr="00CD4258">
            <w:rPr>
              <w:b/>
              <w:bCs/>
            </w:rPr>
            <w:fldChar w:fldCharType="begin"/>
          </w:r>
          <w:r w:rsidRPr="00CD4258">
            <w:rPr>
              <w:b/>
              <w:bCs/>
              <w:rtl/>
            </w:rPr>
            <w:instrText xml:space="preserve"> </w:instrText>
          </w:r>
          <w:r w:rsidRPr="00CD4258">
            <w:rPr>
              <w:b/>
              <w:bCs/>
            </w:rPr>
            <w:instrText>PAGEREF</w:instrText>
          </w:r>
          <w:r w:rsidRPr="00CD4258">
            <w:rPr>
              <w:b/>
              <w:bCs/>
              <w:rtl/>
            </w:rPr>
            <w:instrText xml:space="preserve"> _</w:instrText>
          </w:r>
          <w:r w:rsidRPr="00CD4258">
            <w:rPr>
              <w:b/>
              <w:bCs/>
            </w:rPr>
            <w:instrText>Toc204504384 \h</w:instrText>
          </w:r>
          <w:r w:rsidRPr="00CD4258">
            <w:rPr>
              <w:b/>
              <w:bCs/>
              <w:rtl/>
            </w:rPr>
            <w:instrText xml:space="preserve"> </w:instrText>
          </w:r>
          <w:r w:rsidRPr="00CD4258">
            <w:rPr>
              <w:b/>
              <w:bCs/>
            </w:rPr>
          </w:r>
          <w:r w:rsidRPr="00CD4258">
            <w:rPr>
              <w:b/>
              <w:bCs/>
            </w:rPr>
            <w:fldChar w:fldCharType="separate"/>
          </w:r>
          <w:r w:rsidR="00683F08">
            <w:rPr>
              <w:b/>
              <w:bCs/>
              <w:rtl/>
            </w:rPr>
            <w:t>5</w:t>
          </w:r>
          <w:r w:rsidRPr="00CD4258">
            <w:rPr>
              <w:b/>
              <w:bCs/>
            </w:rPr>
            <w:fldChar w:fldCharType="end"/>
          </w:r>
        </w:p>
        <w:p w:rsidR="00236F3C" w:rsidRPr="00CD4258" w:rsidRDefault="00236F3C">
          <w:pPr>
            <w:pStyle w:val="TOC1"/>
            <w:rPr>
              <w:rFonts w:eastAsiaTheme="minorEastAsia"/>
              <w:b/>
              <w:bCs/>
              <w:rtl/>
            </w:rPr>
          </w:pPr>
          <w:r w:rsidRPr="00CD4258">
            <w:rPr>
              <w:rFonts w:hint="eastAsia"/>
              <w:b/>
              <w:bCs/>
              <w:rtl/>
            </w:rPr>
            <w:t>דיון</w:t>
          </w:r>
          <w:r w:rsidRPr="00CD4258">
            <w:rPr>
              <w:b/>
              <w:bCs/>
              <w:rtl/>
            </w:rPr>
            <w:t xml:space="preserve"> </w:t>
          </w:r>
          <w:r w:rsidRPr="00CD4258">
            <w:rPr>
              <w:rFonts w:hint="eastAsia"/>
              <w:b/>
              <w:bCs/>
              <w:rtl/>
            </w:rPr>
            <w:t>והכרעה</w:t>
          </w:r>
          <w:r w:rsidRPr="00CD4258">
            <w:rPr>
              <w:b/>
              <w:bCs/>
              <w:rtl/>
            </w:rPr>
            <w:tab/>
          </w:r>
          <w:r w:rsidRPr="00CD4258">
            <w:rPr>
              <w:b/>
              <w:bCs/>
            </w:rPr>
            <w:fldChar w:fldCharType="begin"/>
          </w:r>
          <w:r w:rsidRPr="00CD4258">
            <w:rPr>
              <w:b/>
              <w:bCs/>
              <w:rtl/>
            </w:rPr>
            <w:instrText xml:space="preserve"> </w:instrText>
          </w:r>
          <w:r w:rsidRPr="00CD4258">
            <w:rPr>
              <w:b/>
              <w:bCs/>
            </w:rPr>
            <w:instrText>PAGEREF</w:instrText>
          </w:r>
          <w:r w:rsidRPr="00CD4258">
            <w:rPr>
              <w:b/>
              <w:bCs/>
              <w:rtl/>
            </w:rPr>
            <w:instrText xml:space="preserve"> _</w:instrText>
          </w:r>
          <w:r w:rsidRPr="00CD4258">
            <w:rPr>
              <w:b/>
              <w:bCs/>
            </w:rPr>
            <w:instrText>Toc204504385 \h</w:instrText>
          </w:r>
          <w:r w:rsidRPr="00CD4258">
            <w:rPr>
              <w:b/>
              <w:bCs/>
              <w:rtl/>
            </w:rPr>
            <w:instrText xml:space="preserve"> </w:instrText>
          </w:r>
          <w:r w:rsidRPr="00CD4258">
            <w:rPr>
              <w:b/>
              <w:bCs/>
            </w:rPr>
          </w:r>
          <w:r w:rsidRPr="00CD4258">
            <w:rPr>
              <w:b/>
              <w:bCs/>
            </w:rPr>
            <w:fldChar w:fldCharType="separate"/>
          </w:r>
          <w:r w:rsidR="00683F08">
            <w:rPr>
              <w:b/>
              <w:bCs/>
              <w:rtl/>
            </w:rPr>
            <w:t>7</w:t>
          </w:r>
          <w:r w:rsidRPr="00CD4258">
            <w:rPr>
              <w:b/>
              <w:bCs/>
            </w:rPr>
            <w:fldChar w:fldCharType="end"/>
          </w:r>
        </w:p>
        <w:p w:rsidR="00236F3C" w:rsidRPr="00CD4258" w:rsidRDefault="00236F3C">
          <w:pPr>
            <w:pStyle w:val="TOC1"/>
            <w:rPr>
              <w:rFonts w:eastAsiaTheme="minorEastAsia"/>
              <w:b/>
              <w:bCs/>
              <w:rtl/>
            </w:rPr>
          </w:pPr>
          <w:r w:rsidRPr="00CD4258">
            <w:rPr>
              <w:rFonts w:hint="eastAsia"/>
              <w:b/>
              <w:bCs/>
              <w:rtl/>
            </w:rPr>
            <w:t>סוגיית</w:t>
          </w:r>
          <w:r w:rsidRPr="00CD4258">
            <w:rPr>
              <w:b/>
              <w:bCs/>
              <w:rtl/>
            </w:rPr>
            <w:t xml:space="preserve"> </w:t>
          </w:r>
          <w:r w:rsidRPr="00CD4258">
            <w:rPr>
              <w:rFonts w:hint="eastAsia"/>
              <w:b/>
              <w:bCs/>
              <w:rtl/>
            </w:rPr>
            <w:t>הפטורים</w:t>
          </w:r>
          <w:r w:rsidRPr="00CD4258">
            <w:rPr>
              <w:b/>
              <w:bCs/>
              <w:rtl/>
            </w:rPr>
            <w:t xml:space="preserve"> </w:t>
          </w:r>
          <w:r w:rsidRPr="00CD4258">
            <w:rPr>
              <w:rFonts w:hint="eastAsia"/>
              <w:b/>
              <w:bCs/>
              <w:rtl/>
            </w:rPr>
            <w:t>בשומה</w:t>
          </w:r>
          <w:r w:rsidRPr="00CD4258">
            <w:rPr>
              <w:b/>
              <w:bCs/>
              <w:rtl/>
            </w:rPr>
            <w:t xml:space="preserve"> </w:t>
          </w:r>
          <w:r w:rsidRPr="00CD4258">
            <w:rPr>
              <w:rFonts w:hint="eastAsia"/>
              <w:b/>
              <w:bCs/>
              <w:rtl/>
            </w:rPr>
            <w:t>המכרעת</w:t>
          </w:r>
          <w:r w:rsidRPr="00CD4258">
            <w:rPr>
              <w:b/>
              <w:bCs/>
              <w:rtl/>
            </w:rPr>
            <w:t xml:space="preserve"> - </w:t>
          </w:r>
          <w:r w:rsidRPr="00CD4258">
            <w:rPr>
              <w:rFonts w:hint="eastAsia"/>
              <w:b/>
              <w:bCs/>
              <w:rtl/>
            </w:rPr>
            <w:t>כללי</w:t>
          </w:r>
          <w:r w:rsidRPr="00CD4258">
            <w:rPr>
              <w:b/>
              <w:bCs/>
              <w:rtl/>
            </w:rPr>
            <w:tab/>
          </w:r>
          <w:r w:rsidRPr="00CD4258">
            <w:rPr>
              <w:b/>
              <w:bCs/>
            </w:rPr>
            <w:fldChar w:fldCharType="begin"/>
          </w:r>
          <w:r w:rsidRPr="00CD4258">
            <w:rPr>
              <w:b/>
              <w:bCs/>
              <w:rtl/>
            </w:rPr>
            <w:instrText xml:space="preserve"> </w:instrText>
          </w:r>
          <w:r w:rsidRPr="00CD4258">
            <w:rPr>
              <w:b/>
              <w:bCs/>
            </w:rPr>
            <w:instrText>PAGEREF</w:instrText>
          </w:r>
          <w:r w:rsidRPr="00CD4258">
            <w:rPr>
              <w:b/>
              <w:bCs/>
              <w:rtl/>
            </w:rPr>
            <w:instrText xml:space="preserve"> _</w:instrText>
          </w:r>
          <w:r w:rsidRPr="00CD4258">
            <w:rPr>
              <w:b/>
              <w:bCs/>
            </w:rPr>
            <w:instrText>Toc204504386 \h</w:instrText>
          </w:r>
          <w:r w:rsidRPr="00CD4258">
            <w:rPr>
              <w:b/>
              <w:bCs/>
              <w:rtl/>
            </w:rPr>
            <w:instrText xml:space="preserve"> </w:instrText>
          </w:r>
          <w:r w:rsidRPr="00CD4258">
            <w:rPr>
              <w:b/>
              <w:bCs/>
            </w:rPr>
          </w:r>
          <w:r w:rsidRPr="00CD4258">
            <w:rPr>
              <w:b/>
              <w:bCs/>
            </w:rPr>
            <w:fldChar w:fldCharType="separate"/>
          </w:r>
          <w:r w:rsidR="00683F08">
            <w:rPr>
              <w:b/>
              <w:bCs/>
              <w:rtl/>
            </w:rPr>
            <w:t>7</w:t>
          </w:r>
          <w:r w:rsidRPr="00CD4258">
            <w:rPr>
              <w:b/>
              <w:bCs/>
            </w:rPr>
            <w:fldChar w:fldCharType="end"/>
          </w:r>
        </w:p>
        <w:p w:rsidR="00236F3C" w:rsidRPr="00CD4258" w:rsidRDefault="00236F3C">
          <w:pPr>
            <w:pStyle w:val="TOC1"/>
            <w:rPr>
              <w:rFonts w:eastAsiaTheme="minorEastAsia"/>
              <w:b/>
              <w:bCs/>
              <w:rtl/>
            </w:rPr>
          </w:pPr>
          <w:r w:rsidRPr="00CD4258">
            <w:rPr>
              <w:rFonts w:hint="eastAsia"/>
              <w:b/>
              <w:bCs/>
              <w:rtl/>
            </w:rPr>
            <w:t>פטור</w:t>
          </w:r>
          <w:r w:rsidRPr="00CD4258">
            <w:rPr>
              <w:b/>
              <w:bCs/>
              <w:rtl/>
            </w:rPr>
            <w:t xml:space="preserve"> </w:t>
          </w:r>
          <w:r w:rsidRPr="00CD4258">
            <w:rPr>
              <w:rFonts w:hint="eastAsia"/>
              <w:b/>
              <w:bCs/>
              <w:rtl/>
            </w:rPr>
            <w:t>שיקום</w:t>
          </w:r>
          <w:r w:rsidRPr="00CD4258">
            <w:rPr>
              <w:b/>
              <w:bCs/>
              <w:rtl/>
            </w:rPr>
            <w:t xml:space="preserve"> </w:t>
          </w:r>
          <w:r w:rsidRPr="00CD4258">
            <w:rPr>
              <w:rFonts w:hint="eastAsia"/>
              <w:b/>
              <w:bCs/>
              <w:rtl/>
            </w:rPr>
            <w:t>שכונות</w:t>
          </w:r>
          <w:r w:rsidRPr="00CD4258">
            <w:rPr>
              <w:b/>
              <w:bCs/>
              <w:rtl/>
            </w:rPr>
            <w:tab/>
          </w:r>
          <w:r w:rsidRPr="00CD4258">
            <w:rPr>
              <w:b/>
              <w:bCs/>
            </w:rPr>
            <w:fldChar w:fldCharType="begin"/>
          </w:r>
          <w:r w:rsidRPr="00CD4258">
            <w:rPr>
              <w:b/>
              <w:bCs/>
              <w:rtl/>
            </w:rPr>
            <w:instrText xml:space="preserve"> </w:instrText>
          </w:r>
          <w:r w:rsidRPr="00CD4258">
            <w:rPr>
              <w:b/>
              <w:bCs/>
            </w:rPr>
            <w:instrText>PAGEREF</w:instrText>
          </w:r>
          <w:r w:rsidRPr="00CD4258">
            <w:rPr>
              <w:b/>
              <w:bCs/>
              <w:rtl/>
            </w:rPr>
            <w:instrText xml:space="preserve"> _</w:instrText>
          </w:r>
          <w:r w:rsidRPr="00CD4258">
            <w:rPr>
              <w:b/>
              <w:bCs/>
            </w:rPr>
            <w:instrText>Toc204504387 \h</w:instrText>
          </w:r>
          <w:r w:rsidRPr="00CD4258">
            <w:rPr>
              <w:b/>
              <w:bCs/>
              <w:rtl/>
            </w:rPr>
            <w:instrText xml:space="preserve"> </w:instrText>
          </w:r>
          <w:r w:rsidRPr="00CD4258">
            <w:rPr>
              <w:b/>
              <w:bCs/>
            </w:rPr>
          </w:r>
          <w:r w:rsidRPr="00CD4258">
            <w:rPr>
              <w:b/>
              <w:bCs/>
            </w:rPr>
            <w:fldChar w:fldCharType="separate"/>
          </w:r>
          <w:r w:rsidR="00683F08">
            <w:rPr>
              <w:b/>
              <w:bCs/>
              <w:rtl/>
            </w:rPr>
            <w:t>8</w:t>
          </w:r>
          <w:r w:rsidRPr="00CD4258">
            <w:rPr>
              <w:b/>
              <w:bCs/>
            </w:rPr>
            <w:fldChar w:fldCharType="end"/>
          </w:r>
        </w:p>
        <w:p w:rsidR="00236F3C" w:rsidRPr="00CD4258" w:rsidRDefault="00236F3C">
          <w:pPr>
            <w:pStyle w:val="TOC2"/>
            <w:tabs>
              <w:tab w:val="right" w:leader="dot" w:pos="9204"/>
            </w:tabs>
            <w:rPr>
              <w:rFonts w:ascii="David" w:eastAsiaTheme="minorEastAsia" w:hAnsi="David" w:cs="David"/>
              <w:b/>
              <w:bCs/>
              <w:noProof/>
              <w:rtl/>
            </w:rPr>
          </w:pPr>
          <w:r w:rsidRPr="00CD4258">
            <w:rPr>
              <w:rFonts w:ascii="David" w:hAnsi="David" w:cs="David" w:hint="eastAsia"/>
              <w:b/>
              <w:bCs/>
              <w:noProof/>
              <w:rtl/>
            </w:rPr>
            <w:t>א</w:t>
          </w:r>
          <w:r w:rsidRPr="00CD4258">
            <w:rPr>
              <w:rFonts w:ascii="David" w:hAnsi="David" w:cs="David"/>
              <w:b/>
              <w:bCs/>
              <w:noProof/>
              <w:rtl/>
            </w:rPr>
            <w:t xml:space="preserve">. </w:t>
          </w:r>
          <w:r w:rsidRPr="00CD4258">
            <w:rPr>
              <w:rFonts w:ascii="David" w:hAnsi="David" w:cs="David" w:hint="eastAsia"/>
              <w:b/>
              <w:bCs/>
              <w:noProof/>
              <w:rtl/>
            </w:rPr>
            <w:t>סוגיית</w:t>
          </w:r>
          <w:r w:rsidRPr="00CD4258">
            <w:rPr>
              <w:rFonts w:ascii="David" w:hAnsi="David" w:cs="David"/>
              <w:b/>
              <w:bCs/>
              <w:noProof/>
              <w:rtl/>
            </w:rPr>
            <w:t xml:space="preserve"> </w:t>
          </w:r>
          <w:r w:rsidRPr="00CD4258">
            <w:rPr>
              <w:rFonts w:ascii="David" w:hAnsi="David" w:cs="David" w:hint="eastAsia"/>
              <w:b/>
              <w:bCs/>
              <w:noProof/>
              <w:rtl/>
            </w:rPr>
            <w:t>מתן</w:t>
          </w:r>
          <w:r w:rsidRPr="00CD4258">
            <w:rPr>
              <w:rFonts w:ascii="David" w:hAnsi="David" w:cs="David"/>
              <w:b/>
              <w:bCs/>
              <w:noProof/>
              <w:rtl/>
            </w:rPr>
            <w:t xml:space="preserve"> </w:t>
          </w:r>
          <w:r w:rsidRPr="00CD4258">
            <w:rPr>
              <w:rFonts w:ascii="David" w:hAnsi="David" w:cs="David" w:hint="eastAsia"/>
              <w:b/>
              <w:bCs/>
              <w:noProof/>
              <w:rtl/>
            </w:rPr>
            <w:t>פטור</w:t>
          </w:r>
          <w:r w:rsidRPr="00CD4258">
            <w:rPr>
              <w:rFonts w:ascii="David" w:hAnsi="David" w:cs="David"/>
              <w:b/>
              <w:bCs/>
              <w:noProof/>
              <w:rtl/>
            </w:rPr>
            <w:t xml:space="preserve"> </w:t>
          </w:r>
          <w:r w:rsidRPr="00CD4258">
            <w:rPr>
              <w:rFonts w:ascii="David" w:hAnsi="David" w:cs="David" w:hint="eastAsia"/>
              <w:b/>
              <w:bCs/>
              <w:noProof/>
              <w:rtl/>
            </w:rPr>
            <w:t>בגין</w:t>
          </w:r>
          <w:r w:rsidRPr="00CD4258">
            <w:rPr>
              <w:rFonts w:ascii="David" w:hAnsi="David" w:cs="David"/>
              <w:b/>
              <w:bCs/>
              <w:noProof/>
              <w:rtl/>
            </w:rPr>
            <w:t xml:space="preserve"> </w:t>
          </w:r>
          <w:r w:rsidRPr="00CD4258">
            <w:rPr>
              <w:rFonts w:ascii="David" w:hAnsi="David" w:cs="David" w:hint="eastAsia"/>
              <w:b/>
              <w:bCs/>
              <w:noProof/>
              <w:rtl/>
            </w:rPr>
            <w:t>שיקום</w:t>
          </w:r>
          <w:r w:rsidRPr="00CD4258">
            <w:rPr>
              <w:rFonts w:ascii="David" w:hAnsi="David" w:cs="David"/>
              <w:b/>
              <w:bCs/>
              <w:noProof/>
              <w:rtl/>
            </w:rPr>
            <w:t xml:space="preserve"> </w:t>
          </w:r>
          <w:r w:rsidRPr="00CD4258">
            <w:rPr>
              <w:rFonts w:ascii="David" w:hAnsi="David" w:cs="David" w:hint="eastAsia"/>
              <w:b/>
              <w:bCs/>
              <w:noProof/>
              <w:rtl/>
            </w:rPr>
            <w:t>שכונות</w:t>
          </w:r>
          <w:r w:rsidRPr="00CD4258">
            <w:rPr>
              <w:rFonts w:ascii="David" w:hAnsi="David" w:cs="David"/>
              <w:b/>
              <w:bCs/>
              <w:noProof/>
              <w:rtl/>
            </w:rPr>
            <w:tab/>
          </w:r>
          <w:r w:rsidRPr="00CD4258">
            <w:rPr>
              <w:rFonts w:ascii="David" w:hAnsi="David" w:cs="David"/>
              <w:b/>
              <w:bCs/>
              <w:noProof/>
            </w:rPr>
            <w:fldChar w:fldCharType="begin"/>
          </w:r>
          <w:r w:rsidRPr="00CD4258">
            <w:rPr>
              <w:rFonts w:ascii="David" w:hAnsi="David" w:cs="David"/>
              <w:b/>
              <w:bCs/>
              <w:noProof/>
              <w:rtl/>
            </w:rPr>
            <w:instrText xml:space="preserve"> </w:instrText>
          </w:r>
          <w:r w:rsidRPr="00CD4258">
            <w:rPr>
              <w:rFonts w:ascii="David" w:hAnsi="David" w:cs="David"/>
              <w:b/>
              <w:bCs/>
              <w:noProof/>
            </w:rPr>
            <w:instrText>PAGEREF</w:instrText>
          </w:r>
          <w:r w:rsidRPr="00CD4258">
            <w:rPr>
              <w:rFonts w:ascii="David" w:hAnsi="David" w:cs="David"/>
              <w:b/>
              <w:bCs/>
              <w:noProof/>
              <w:rtl/>
            </w:rPr>
            <w:instrText xml:space="preserve"> _</w:instrText>
          </w:r>
          <w:r w:rsidRPr="00CD4258">
            <w:rPr>
              <w:rFonts w:ascii="David" w:hAnsi="David" w:cs="David"/>
              <w:b/>
              <w:bCs/>
              <w:noProof/>
            </w:rPr>
            <w:instrText>Toc204504388 \h</w:instrText>
          </w:r>
          <w:r w:rsidRPr="00CD4258">
            <w:rPr>
              <w:rFonts w:ascii="David" w:hAnsi="David" w:cs="David"/>
              <w:b/>
              <w:bCs/>
              <w:noProof/>
              <w:rtl/>
            </w:rPr>
            <w:instrText xml:space="preserve"> </w:instrText>
          </w:r>
          <w:r w:rsidRPr="00CD4258">
            <w:rPr>
              <w:rFonts w:ascii="David" w:hAnsi="David" w:cs="David"/>
              <w:b/>
              <w:bCs/>
              <w:noProof/>
            </w:rPr>
          </w:r>
          <w:r w:rsidRPr="00CD4258">
            <w:rPr>
              <w:rFonts w:ascii="David" w:hAnsi="David" w:cs="David"/>
              <w:b/>
              <w:bCs/>
              <w:noProof/>
            </w:rPr>
            <w:fldChar w:fldCharType="separate"/>
          </w:r>
          <w:r w:rsidR="00683F08">
            <w:rPr>
              <w:rFonts w:ascii="David" w:hAnsi="David" w:cs="David"/>
              <w:b/>
              <w:bCs/>
              <w:noProof/>
              <w:rtl/>
            </w:rPr>
            <w:t>8</w:t>
          </w:r>
          <w:r w:rsidRPr="00CD4258">
            <w:rPr>
              <w:rFonts w:ascii="David" w:hAnsi="David" w:cs="David"/>
              <w:b/>
              <w:bCs/>
              <w:noProof/>
            </w:rPr>
            <w:fldChar w:fldCharType="end"/>
          </w:r>
        </w:p>
        <w:p w:rsidR="00236F3C" w:rsidRPr="00CD4258" w:rsidRDefault="00236F3C">
          <w:pPr>
            <w:pStyle w:val="TOC3"/>
            <w:tabs>
              <w:tab w:val="right" w:leader="dot" w:pos="9204"/>
            </w:tabs>
            <w:rPr>
              <w:rFonts w:ascii="David" w:eastAsiaTheme="minorEastAsia" w:hAnsi="David" w:cs="David"/>
              <w:b/>
              <w:bCs/>
              <w:noProof/>
              <w:rtl/>
            </w:rPr>
          </w:pPr>
          <w:r w:rsidRPr="00CD4258">
            <w:rPr>
              <w:rFonts w:ascii="David" w:hAnsi="David" w:cs="David" w:hint="eastAsia"/>
              <w:b/>
              <w:bCs/>
              <w:noProof/>
              <w:rtl/>
            </w:rPr>
            <w:t>א</w:t>
          </w:r>
          <w:r w:rsidRPr="00CD4258">
            <w:rPr>
              <w:rFonts w:ascii="David" w:hAnsi="David" w:cs="David"/>
              <w:b/>
              <w:bCs/>
              <w:noProof/>
              <w:rtl/>
            </w:rPr>
            <w:t xml:space="preserve">.1 </w:t>
          </w:r>
          <w:r w:rsidRPr="00CD4258">
            <w:rPr>
              <w:rFonts w:ascii="David" w:hAnsi="David" w:cs="David" w:hint="eastAsia"/>
              <w:b/>
              <w:bCs/>
              <w:noProof/>
              <w:rtl/>
            </w:rPr>
            <w:t>בקשת</w:t>
          </w:r>
          <w:r w:rsidRPr="00CD4258">
            <w:rPr>
              <w:rFonts w:ascii="David" w:hAnsi="David" w:cs="David"/>
              <w:b/>
              <w:bCs/>
              <w:noProof/>
              <w:rtl/>
            </w:rPr>
            <w:t xml:space="preserve"> </w:t>
          </w:r>
          <w:r w:rsidRPr="00CD4258">
            <w:rPr>
              <w:rFonts w:ascii="David" w:hAnsi="David" w:cs="David" w:hint="eastAsia"/>
              <w:b/>
              <w:bCs/>
              <w:noProof/>
              <w:rtl/>
            </w:rPr>
            <w:t>הוועדה</w:t>
          </w:r>
          <w:r w:rsidRPr="00CD4258">
            <w:rPr>
              <w:rFonts w:ascii="David" w:hAnsi="David" w:cs="David"/>
              <w:b/>
              <w:bCs/>
              <w:noProof/>
              <w:rtl/>
            </w:rPr>
            <w:t xml:space="preserve"> </w:t>
          </w:r>
          <w:r w:rsidRPr="00CD4258">
            <w:rPr>
              <w:rFonts w:ascii="David" w:hAnsi="David" w:cs="David" w:hint="eastAsia"/>
              <w:b/>
              <w:bCs/>
              <w:noProof/>
              <w:rtl/>
            </w:rPr>
            <w:t>המקומית</w:t>
          </w:r>
          <w:r w:rsidRPr="00CD4258">
            <w:rPr>
              <w:rFonts w:ascii="David" w:hAnsi="David" w:cs="David"/>
              <w:b/>
              <w:bCs/>
              <w:noProof/>
              <w:rtl/>
            </w:rPr>
            <w:t xml:space="preserve"> </w:t>
          </w:r>
          <w:r w:rsidRPr="00CD4258">
            <w:rPr>
              <w:rFonts w:ascii="David" w:hAnsi="David" w:cs="David" w:hint="eastAsia"/>
              <w:b/>
              <w:bCs/>
              <w:noProof/>
              <w:rtl/>
            </w:rPr>
            <w:t>לפירוט</w:t>
          </w:r>
          <w:r w:rsidRPr="00CD4258">
            <w:rPr>
              <w:rFonts w:ascii="David" w:hAnsi="David" w:cs="David"/>
              <w:b/>
              <w:bCs/>
              <w:noProof/>
              <w:rtl/>
            </w:rPr>
            <w:t xml:space="preserve"> </w:t>
          </w:r>
          <w:r w:rsidRPr="00CD4258">
            <w:rPr>
              <w:rFonts w:ascii="David" w:hAnsi="David" w:cs="David" w:hint="eastAsia"/>
              <w:b/>
              <w:bCs/>
              <w:noProof/>
              <w:rtl/>
            </w:rPr>
            <w:t>טענה</w:t>
          </w:r>
          <w:r w:rsidRPr="00CD4258">
            <w:rPr>
              <w:rFonts w:ascii="David" w:hAnsi="David" w:cs="David"/>
              <w:b/>
              <w:bCs/>
              <w:noProof/>
              <w:rtl/>
            </w:rPr>
            <w:t xml:space="preserve"> </w:t>
          </w:r>
          <w:r w:rsidRPr="00CD4258">
            <w:rPr>
              <w:rFonts w:ascii="David" w:hAnsi="David" w:cs="David" w:hint="eastAsia"/>
              <w:b/>
              <w:bCs/>
              <w:noProof/>
              <w:rtl/>
            </w:rPr>
            <w:t>שהועלתה</w:t>
          </w:r>
          <w:r w:rsidRPr="00CD4258">
            <w:rPr>
              <w:rFonts w:ascii="David" w:hAnsi="David" w:cs="David"/>
              <w:b/>
              <w:bCs/>
              <w:noProof/>
              <w:rtl/>
            </w:rPr>
            <w:t xml:space="preserve"> </w:t>
          </w:r>
          <w:r w:rsidRPr="00CD4258">
            <w:rPr>
              <w:rFonts w:ascii="David" w:hAnsi="David" w:cs="David" w:hint="eastAsia"/>
              <w:b/>
              <w:bCs/>
              <w:noProof/>
              <w:rtl/>
            </w:rPr>
            <w:t>בכתב</w:t>
          </w:r>
          <w:r w:rsidRPr="00CD4258">
            <w:rPr>
              <w:rFonts w:ascii="David" w:hAnsi="David" w:cs="David"/>
              <w:b/>
              <w:bCs/>
              <w:noProof/>
              <w:rtl/>
            </w:rPr>
            <w:t xml:space="preserve"> </w:t>
          </w:r>
          <w:r w:rsidRPr="00CD4258">
            <w:rPr>
              <w:rFonts w:ascii="David" w:hAnsi="David" w:cs="David" w:hint="eastAsia"/>
              <w:b/>
              <w:bCs/>
              <w:noProof/>
              <w:rtl/>
            </w:rPr>
            <w:t>הערר</w:t>
          </w:r>
          <w:r w:rsidRPr="00CD4258">
            <w:rPr>
              <w:rFonts w:ascii="David" w:hAnsi="David" w:cs="David"/>
              <w:b/>
              <w:bCs/>
              <w:noProof/>
              <w:rtl/>
            </w:rPr>
            <w:t xml:space="preserve"> </w:t>
          </w:r>
          <w:r w:rsidRPr="00CD4258">
            <w:rPr>
              <w:rFonts w:ascii="David" w:hAnsi="David" w:cs="David" w:hint="eastAsia"/>
              <w:b/>
              <w:bCs/>
              <w:noProof/>
              <w:rtl/>
            </w:rPr>
            <w:t>אך</w:t>
          </w:r>
          <w:r w:rsidRPr="00CD4258">
            <w:rPr>
              <w:rFonts w:ascii="David" w:hAnsi="David" w:cs="David"/>
              <w:b/>
              <w:bCs/>
              <w:noProof/>
              <w:rtl/>
            </w:rPr>
            <w:t xml:space="preserve"> </w:t>
          </w:r>
          <w:r w:rsidRPr="00CD4258">
            <w:rPr>
              <w:rFonts w:ascii="David" w:hAnsi="David" w:cs="David" w:hint="eastAsia"/>
              <w:b/>
              <w:bCs/>
              <w:noProof/>
              <w:rtl/>
            </w:rPr>
            <w:t>לא</w:t>
          </w:r>
          <w:r w:rsidRPr="00CD4258">
            <w:rPr>
              <w:rFonts w:ascii="David" w:hAnsi="David" w:cs="David"/>
              <w:b/>
              <w:bCs/>
              <w:noProof/>
              <w:rtl/>
            </w:rPr>
            <w:t xml:space="preserve"> </w:t>
          </w:r>
          <w:r w:rsidRPr="00CD4258">
            <w:rPr>
              <w:rFonts w:ascii="David" w:hAnsi="David" w:cs="David" w:hint="eastAsia"/>
              <w:b/>
              <w:bCs/>
              <w:noProof/>
              <w:rtl/>
            </w:rPr>
            <w:t>פורטה</w:t>
          </w:r>
          <w:r w:rsidRPr="00CD4258">
            <w:rPr>
              <w:rFonts w:ascii="David" w:hAnsi="David" w:cs="David"/>
              <w:b/>
              <w:bCs/>
              <w:noProof/>
              <w:rtl/>
            </w:rPr>
            <w:t xml:space="preserve"> </w:t>
          </w:r>
          <w:r w:rsidRPr="00CD4258">
            <w:rPr>
              <w:rFonts w:ascii="David" w:hAnsi="David" w:cs="David" w:hint="eastAsia"/>
              <w:b/>
              <w:bCs/>
              <w:noProof/>
              <w:rtl/>
            </w:rPr>
            <w:t>כנגד</w:t>
          </w:r>
          <w:r w:rsidRPr="00CD4258">
            <w:rPr>
              <w:rFonts w:ascii="David" w:hAnsi="David" w:cs="David"/>
              <w:b/>
              <w:bCs/>
              <w:noProof/>
              <w:rtl/>
            </w:rPr>
            <w:t xml:space="preserve"> </w:t>
          </w:r>
          <w:r w:rsidRPr="00CD4258">
            <w:rPr>
              <w:rFonts w:ascii="David" w:hAnsi="David" w:cs="David" w:hint="eastAsia"/>
              <w:b/>
              <w:bCs/>
              <w:noProof/>
              <w:rtl/>
            </w:rPr>
            <w:t>פטור</w:t>
          </w:r>
          <w:r w:rsidRPr="00CD4258">
            <w:rPr>
              <w:rFonts w:ascii="David" w:hAnsi="David" w:cs="David"/>
              <w:b/>
              <w:bCs/>
              <w:noProof/>
              <w:rtl/>
            </w:rPr>
            <w:t xml:space="preserve"> </w:t>
          </w:r>
          <w:r w:rsidRPr="00CD4258">
            <w:rPr>
              <w:rFonts w:ascii="David" w:hAnsi="David" w:cs="David" w:hint="eastAsia"/>
              <w:b/>
              <w:bCs/>
              <w:noProof/>
              <w:rtl/>
            </w:rPr>
            <w:t>שיקום</w:t>
          </w:r>
          <w:r w:rsidRPr="00CD4258">
            <w:rPr>
              <w:rFonts w:ascii="David" w:hAnsi="David" w:cs="David"/>
              <w:b/>
              <w:bCs/>
              <w:noProof/>
              <w:rtl/>
            </w:rPr>
            <w:t xml:space="preserve"> </w:t>
          </w:r>
          <w:r w:rsidRPr="00CD4258">
            <w:rPr>
              <w:rFonts w:ascii="David" w:hAnsi="David" w:cs="David" w:hint="eastAsia"/>
              <w:b/>
              <w:bCs/>
              <w:noProof/>
              <w:rtl/>
            </w:rPr>
            <w:t>שכונות</w:t>
          </w:r>
          <w:r w:rsidRPr="00CD4258">
            <w:rPr>
              <w:rFonts w:ascii="David" w:hAnsi="David" w:cs="David"/>
              <w:b/>
              <w:bCs/>
              <w:noProof/>
              <w:rtl/>
            </w:rPr>
            <w:t xml:space="preserve"> </w:t>
          </w:r>
          <w:r w:rsidRPr="00CD4258">
            <w:rPr>
              <w:rFonts w:ascii="David" w:hAnsi="David" w:cs="David" w:hint="eastAsia"/>
              <w:b/>
              <w:bCs/>
              <w:noProof/>
              <w:rtl/>
            </w:rPr>
            <w:t>לדירות</w:t>
          </w:r>
          <w:r w:rsidRPr="00CD4258">
            <w:rPr>
              <w:rFonts w:ascii="David" w:hAnsi="David" w:cs="David"/>
              <w:b/>
              <w:bCs/>
              <w:noProof/>
              <w:rtl/>
            </w:rPr>
            <w:t xml:space="preserve"> </w:t>
          </w:r>
          <w:r w:rsidRPr="00CD4258">
            <w:rPr>
              <w:rFonts w:ascii="David" w:hAnsi="David" w:cs="David" w:hint="eastAsia"/>
              <w:b/>
              <w:bCs/>
              <w:noProof/>
              <w:rtl/>
            </w:rPr>
            <w:t>הבעלים</w:t>
          </w:r>
          <w:r w:rsidRPr="00CD4258">
            <w:rPr>
              <w:rFonts w:ascii="David" w:hAnsi="David" w:cs="David"/>
              <w:b/>
              <w:bCs/>
              <w:noProof/>
              <w:rtl/>
            </w:rPr>
            <w:tab/>
          </w:r>
          <w:r w:rsidRPr="00CD4258">
            <w:rPr>
              <w:rFonts w:ascii="David" w:hAnsi="David" w:cs="David"/>
              <w:b/>
              <w:bCs/>
              <w:noProof/>
            </w:rPr>
            <w:fldChar w:fldCharType="begin"/>
          </w:r>
          <w:r w:rsidRPr="00CD4258">
            <w:rPr>
              <w:rFonts w:ascii="David" w:hAnsi="David" w:cs="David"/>
              <w:b/>
              <w:bCs/>
              <w:noProof/>
              <w:rtl/>
            </w:rPr>
            <w:instrText xml:space="preserve"> </w:instrText>
          </w:r>
          <w:r w:rsidRPr="00CD4258">
            <w:rPr>
              <w:rFonts w:ascii="David" w:hAnsi="David" w:cs="David"/>
              <w:b/>
              <w:bCs/>
              <w:noProof/>
            </w:rPr>
            <w:instrText>PAGEREF</w:instrText>
          </w:r>
          <w:r w:rsidRPr="00CD4258">
            <w:rPr>
              <w:rFonts w:ascii="David" w:hAnsi="David" w:cs="David"/>
              <w:b/>
              <w:bCs/>
              <w:noProof/>
              <w:rtl/>
            </w:rPr>
            <w:instrText xml:space="preserve"> _</w:instrText>
          </w:r>
          <w:r w:rsidRPr="00CD4258">
            <w:rPr>
              <w:rFonts w:ascii="David" w:hAnsi="David" w:cs="David"/>
              <w:b/>
              <w:bCs/>
              <w:noProof/>
            </w:rPr>
            <w:instrText>Toc204504389 \h</w:instrText>
          </w:r>
          <w:r w:rsidRPr="00CD4258">
            <w:rPr>
              <w:rFonts w:ascii="David" w:hAnsi="David" w:cs="David"/>
              <w:b/>
              <w:bCs/>
              <w:noProof/>
              <w:rtl/>
            </w:rPr>
            <w:instrText xml:space="preserve"> </w:instrText>
          </w:r>
          <w:r w:rsidRPr="00CD4258">
            <w:rPr>
              <w:rFonts w:ascii="David" w:hAnsi="David" w:cs="David"/>
              <w:b/>
              <w:bCs/>
              <w:noProof/>
            </w:rPr>
          </w:r>
          <w:r w:rsidRPr="00CD4258">
            <w:rPr>
              <w:rFonts w:ascii="David" w:hAnsi="David" w:cs="David"/>
              <w:b/>
              <w:bCs/>
              <w:noProof/>
            </w:rPr>
            <w:fldChar w:fldCharType="separate"/>
          </w:r>
          <w:r w:rsidR="00683F08">
            <w:rPr>
              <w:rFonts w:ascii="David" w:hAnsi="David" w:cs="David"/>
              <w:b/>
              <w:bCs/>
              <w:noProof/>
              <w:rtl/>
            </w:rPr>
            <w:t>8</w:t>
          </w:r>
          <w:r w:rsidRPr="00CD4258">
            <w:rPr>
              <w:rFonts w:ascii="David" w:hAnsi="David" w:cs="David"/>
              <w:b/>
              <w:bCs/>
              <w:noProof/>
            </w:rPr>
            <w:fldChar w:fldCharType="end"/>
          </w:r>
        </w:p>
        <w:p w:rsidR="00236F3C" w:rsidRPr="00CD4258" w:rsidRDefault="00236F3C">
          <w:pPr>
            <w:pStyle w:val="TOC3"/>
            <w:tabs>
              <w:tab w:val="right" w:leader="dot" w:pos="9204"/>
            </w:tabs>
            <w:rPr>
              <w:rFonts w:ascii="David" w:eastAsiaTheme="minorEastAsia" w:hAnsi="David" w:cs="David"/>
              <w:b/>
              <w:bCs/>
              <w:noProof/>
              <w:rtl/>
            </w:rPr>
          </w:pPr>
          <w:r w:rsidRPr="00CD4258">
            <w:rPr>
              <w:rFonts w:ascii="David" w:hAnsi="David" w:cs="David" w:hint="eastAsia"/>
              <w:b/>
              <w:bCs/>
              <w:noProof/>
              <w:rtl/>
            </w:rPr>
            <w:t>א</w:t>
          </w:r>
          <w:r w:rsidRPr="00CD4258">
            <w:rPr>
              <w:rFonts w:ascii="David" w:hAnsi="David" w:cs="David"/>
              <w:b/>
              <w:bCs/>
              <w:noProof/>
              <w:rtl/>
            </w:rPr>
            <w:t xml:space="preserve">.2 </w:t>
          </w:r>
          <w:r w:rsidRPr="00CD4258">
            <w:rPr>
              <w:rFonts w:ascii="David" w:hAnsi="David" w:cs="David" w:hint="eastAsia"/>
              <w:b/>
              <w:bCs/>
              <w:noProof/>
              <w:rtl/>
            </w:rPr>
            <w:t>פטור</w:t>
          </w:r>
          <w:r w:rsidRPr="00CD4258">
            <w:rPr>
              <w:rFonts w:ascii="David" w:hAnsi="David" w:cs="David"/>
              <w:b/>
              <w:bCs/>
              <w:noProof/>
              <w:rtl/>
            </w:rPr>
            <w:t xml:space="preserve"> </w:t>
          </w:r>
          <w:r w:rsidRPr="00CD4258">
            <w:rPr>
              <w:rFonts w:ascii="David" w:hAnsi="David" w:cs="David" w:hint="eastAsia"/>
              <w:b/>
              <w:bCs/>
              <w:noProof/>
              <w:rtl/>
            </w:rPr>
            <w:t>שיקום</w:t>
          </w:r>
          <w:r w:rsidRPr="00CD4258">
            <w:rPr>
              <w:rFonts w:ascii="David" w:hAnsi="David" w:cs="David"/>
              <w:b/>
              <w:bCs/>
              <w:noProof/>
              <w:rtl/>
            </w:rPr>
            <w:t xml:space="preserve"> </w:t>
          </w:r>
          <w:r w:rsidRPr="00CD4258">
            <w:rPr>
              <w:rFonts w:ascii="David" w:hAnsi="David" w:cs="David" w:hint="eastAsia"/>
              <w:b/>
              <w:bCs/>
              <w:noProof/>
              <w:rtl/>
            </w:rPr>
            <w:t>שכונות</w:t>
          </w:r>
          <w:r w:rsidRPr="00CD4258">
            <w:rPr>
              <w:rFonts w:ascii="David" w:hAnsi="David" w:cs="David"/>
              <w:b/>
              <w:bCs/>
              <w:noProof/>
              <w:rtl/>
            </w:rPr>
            <w:tab/>
          </w:r>
          <w:r w:rsidRPr="00CD4258">
            <w:rPr>
              <w:rFonts w:ascii="David" w:hAnsi="David" w:cs="David"/>
              <w:b/>
              <w:bCs/>
              <w:noProof/>
            </w:rPr>
            <w:fldChar w:fldCharType="begin"/>
          </w:r>
          <w:r w:rsidRPr="00CD4258">
            <w:rPr>
              <w:rFonts w:ascii="David" w:hAnsi="David" w:cs="David"/>
              <w:b/>
              <w:bCs/>
              <w:noProof/>
              <w:rtl/>
            </w:rPr>
            <w:instrText xml:space="preserve"> </w:instrText>
          </w:r>
          <w:r w:rsidRPr="00CD4258">
            <w:rPr>
              <w:rFonts w:ascii="David" w:hAnsi="David" w:cs="David"/>
              <w:b/>
              <w:bCs/>
              <w:noProof/>
            </w:rPr>
            <w:instrText>PAGEREF</w:instrText>
          </w:r>
          <w:r w:rsidRPr="00CD4258">
            <w:rPr>
              <w:rFonts w:ascii="David" w:hAnsi="David" w:cs="David"/>
              <w:b/>
              <w:bCs/>
              <w:noProof/>
              <w:rtl/>
            </w:rPr>
            <w:instrText xml:space="preserve"> _</w:instrText>
          </w:r>
          <w:r w:rsidRPr="00CD4258">
            <w:rPr>
              <w:rFonts w:ascii="David" w:hAnsi="David" w:cs="David"/>
              <w:b/>
              <w:bCs/>
              <w:noProof/>
            </w:rPr>
            <w:instrText>Toc204504390 \h</w:instrText>
          </w:r>
          <w:r w:rsidRPr="00CD4258">
            <w:rPr>
              <w:rFonts w:ascii="David" w:hAnsi="David" w:cs="David"/>
              <w:b/>
              <w:bCs/>
              <w:noProof/>
              <w:rtl/>
            </w:rPr>
            <w:instrText xml:space="preserve"> </w:instrText>
          </w:r>
          <w:r w:rsidRPr="00CD4258">
            <w:rPr>
              <w:rFonts w:ascii="David" w:hAnsi="David" w:cs="David"/>
              <w:b/>
              <w:bCs/>
              <w:noProof/>
            </w:rPr>
          </w:r>
          <w:r w:rsidRPr="00CD4258">
            <w:rPr>
              <w:rFonts w:ascii="David" w:hAnsi="David" w:cs="David"/>
              <w:b/>
              <w:bCs/>
              <w:noProof/>
            </w:rPr>
            <w:fldChar w:fldCharType="separate"/>
          </w:r>
          <w:r w:rsidR="00683F08">
            <w:rPr>
              <w:rFonts w:ascii="David" w:hAnsi="David" w:cs="David"/>
              <w:b/>
              <w:bCs/>
              <w:noProof/>
              <w:rtl/>
            </w:rPr>
            <w:t>10</w:t>
          </w:r>
          <w:r w:rsidRPr="00CD4258">
            <w:rPr>
              <w:rFonts w:ascii="David" w:hAnsi="David" w:cs="David"/>
              <w:b/>
              <w:bCs/>
              <w:noProof/>
            </w:rPr>
            <w:fldChar w:fldCharType="end"/>
          </w:r>
        </w:p>
        <w:p w:rsidR="00236F3C" w:rsidRPr="00CD4258" w:rsidRDefault="00236F3C">
          <w:pPr>
            <w:pStyle w:val="TOC3"/>
            <w:tabs>
              <w:tab w:val="right" w:leader="dot" w:pos="9204"/>
            </w:tabs>
            <w:rPr>
              <w:rFonts w:ascii="David" w:eastAsiaTheme="minorEastAsia" w:hAnsi="David" w:cs="David"/>
              <w:b/>
              <w:bCs/>
              <w:noProof/>
              <w:rtl/>
            </w:rPr>
          </w:pPr>
          <w:r w:rsidRPr="00CD4258">
            <w:rPr>
              <w:rFonts w:ascii="David" w:hAnsi="David" w:cs="David" w:hint="eastAsia"/>
              <w:b/>
              <w:bCs/>
              <w:noProof/>
              <w:rtl/>
            </w:rPr>
            <w:t>א</w:t>
          </w:r>
          <w:r w:rsidRPr="00CD4258">
            <w:rPr>
              <w:rFonts w:ascii="David" w:hAnsi="David" w:cs="David"/>
              <w:b/>
              <w:bCs/>
              <w:noProof/>
              <w:rtl/>
            </w:rPr>
            <w:t xml:space="preserve">.3 </w:t>
          </w:r>
          <w:r w:rsidRPr="00CD4258">
            <w:rPr>
              <w:rFonts w:ascii="David" w:hAnsi="David" w:cs="David" w:hint="eastAsia"/>
              <w:b/>
              <w:bCs/>
              <w:noProof/>
              <w:rtl/>
            </w:rPr>
            <w:t>טענת</w:t>
          </w:r>
          <w:r w:rsidRPr="00CD4258">
            <w:rPr>
              <w:rFonts w:ascii="David" w:hAnsi="David" w:cs="David"/>
              <w:b/>
              <w:bCs/>
              <w:noProof/>
              <w:rtl/>
            </w:rPr>
            <w:t xml:space="preserve"> </w:t>
          </w:r>
          <w:r w:rsidRPr="00CD4258">
            <w:rPr>
              <w:rFonts w:ascii="David" w:hAnsi="David" w:cs="David" w:hint="eastAsia"/>
              <w:b/>
              <w:bCs/>
              <w:noProof/>
              <w:rtl/>
            </w:rPr>
            <w:t>הועדה</w:t>
          </w:r>
          <w:r w:rsidRPr="00CD4258">
            <w:rPr>
              <w:rFonts w:ascii="David" w:hAnsi="David" w:cs="David"/>
              <w:b/>
              <w:bCs/>
              <w:noProof/>
              <w:rtl/>
            </w:rPr>
            <w:t xml:space="preserve"> </w:t>
          </w:r>
          <w:r w:rsidRPr="00CD4258">
            <w:rPr>
              <w:rFonts w:ascii="David" w:hAnsi="David" w:cs="David" w:hint="eastAsia"/>
              <w:b/>
              <w:bCs/>
              <w:noProof/>
              <w:rtl/>
            </w:rPr>
            <w:t>המקומית</w:t>
          </w:r>
          <w:r w:rsidRPr="00CD4258">
            <w:rPr>
              <w:rFonts w:ascii="David" w:hAnsi="David" w:cs="David"/>
              <w:b/>
              <w:bCs/>
              <w:noProof/>
              <w:rtl/>
            </w:rPr>
            <w:t xml:space="preserve"> </w:t>
          </w:r>
          <w:r w:rsidRPr="00CD4258">
            <w:rPr>
              <w:rFonts w:ascii="David" w:hAnsi="David" w:cs="David" w:hint="eastAsia"/>
              <w:b/>
              <w:bCs/>
              <w:noProof/>
              <w:rtl/>
            </w:rPr>
            <w:t>לטעות</w:t>
          </w:r>
          <w:r w:rsidRPr="00CD4258">
            <w:rPr>
              <w:rFonts w:ascii="David" w:hAnsi="David" w:cs="David"/>
              <w:b/>
              <w:bCs/>
              <w:noProof/>
              <w:rtl/>
            </w:rPr>
            <w:t xml:space="preserve"> </w:t>
          </w:r>
          <w:r w:rsidRPr="00CD4258">
            <w:rPr>
              <w:rFonts w:ascii="David" w:hAnsi="David" w:cs="David" w:hint="eastAsia"/>
              <w:b/>
              <w:bCs/>
              <w:noProof/>
              <w:rtl/>
            </w:rPr>
            <w:t>במתן</w:t>
          </w:r>
          <w:r w:rsidRPr="00CD4258">
            <w:rPr>
              <w:rFonts w:ascii="David" w:hAnsi="David" w:cs="David"/>
              <w:b/>
              <w:bCs/>
              <w:noProof/>
              <w:rtl/>
            </w:rPr>
            <w:t xml:space="preserve"> </w:t>
          </w:r>
          <w:r w:rsidRPr="00CD4258">
            <w:rPr>
              <w:rFonts w:ascii="David" w:hAnsi="David" w:cs="David" w:hint="eastAsia"/>
              <w:b/>
              <w:bCs/>
              <w:noProof/>
              <w:rtl/>
            </w:rPr>
            <w:t>פטור</w:t>
          </w:r>
          <w:r w:rsidRPr="00CD4258">
            <w:rPr>
              <w:rFonts w:ascii="David" w:hAnsi="David" w:cs="David"/>
              <w:b/>
              <w:bCs/>
              <w:noProof/>
              <w:rtl/>
            </w:rPr>
            <w:t xml:space="preserve"> </w:t>
          </w:r>
          <w:r w:rsidRPr="00CD4258">
            <w:rPr>
              <w:rFonts w:ascii="David" w:hAnsi="David" w:cs="David" w:hint="eastAsia"/>
              <w:b/>
              <w:bCs/>
              <w:noProof/>
              <w:rtl/>
            </w:rPr>
            <w:t>מהיטל</w:t>
          </w:r>
          <w:r w:rsidRPr="00CD4258">
            <w:rPr>
              <w:rFonts w:ascii="David" w:hAnsi="David" w:cs="David"/>
              <w:b/>
              <w:bCs/>
              <w:noProof/>
              <w:rtl/>
            </w:rPr>
            <w:t xml:space="preserve"> </w:t>
          </w:r>
          <w:r w:rsidRPr="00CD4258">
            <w:rPr>
              <w:rFonts w:ascii="David" w:hAnsi="David" w:cs="David" w:hint="eastAsia"/>
              <w:b/>
              <w:bCs/>
              <w:noProof/>
              <w:rtl/>
            </w:rPr>
            <w:t>השבחה</w:t>
          </w:r>
          <w:r w:rsidRPr="00CD4258">
            <w:rPr>
              <w:rFonts w:ascii="David" w:hAnsi="David" w:cs="David"/>
              <w:b/>
              <w:bCs/>
              <w:noProof/>
              <w:rtl/>
            </w:rPr>
            <w:t xml:space="preserve"> </w:t>
          </w:r>
          <w:r w:rsidRPr="00CD4258">
            <w:rPr>
              <w:rFonts w:ascii="David" w:hAnsi="David" w:cs="David" w:hint="eastAsia"/>
              <w:b/>
              <w:bCs/>
              <w:noProof/>
              <w:rtl/>
            </w:rPr>
            <w:t>בגין</w:t>
          </w:r>
          <w:r w:rsidRPr="00CD4258">
            <w:rPr>
              <w:rFonts w:ascii="David" w:hAnsi="David" w:cs="David"/>
              <w:b/>
              <w:bCs/>
              <w:noProof/>
              <w:rtl/>
            </w:rPr>
            <w:t xml:space="preserve"> </w:t>
          </w:r>
          <w:r w:rsidRPr="00CD4258">
            <w:rPr>
              <w:rFonts w:ascii="David" w:hAnsi="David" w:cs="David" w:hint="eastAsia"/>
              <w:b/>
              <w:bCs/>
              <w:noProof/>
              <w:rtl/>
            </w:rPr>
            <w:t>שיקום</w:t>
          </w:r>
          <w:r w:rsidRPr="00CD4258">
            <w:rPr>
              <w:rFonts w:ascii="David" w:hAnsi="David" w:cs="David"/>
              <w:b/>
              <w:bCs/>
              <w:noProof/>
              <w:rtl/>
            </w:rPr>
            <w:t xml:space="preserve"> </w:t>
          </w:r>
          <w:r w:rsidRPr="00CD4258">
            <w:rPr>
              <w:rFonts w:ascii="David" w:hAnsi="David" w:cs="David" w:hint="eastAsia"/>
              <w:b/>
              <w:bCs/>
              <w:noProof/>
              <w:rtl/>
            </w:rPr>
            <w:t>שכונות</w:t>
          </w:r>
          <w:r w:rsidRPr="00CD4258">
            <w:rPr>
              <w:rFonts w:ascii="David" w:hAnsi="David" w:cs="David"/>
              <w:b/>
              <w:bCs/>
              <w:noProof/>
              <w:rtl/>
            </w:rPr>
            <w:t xml:space="preserve"> </w:t>
          </w:r>
          <w:r w:rsidRPr="00CD4258">
            <w:rPr>
              <w:rFonts w:ascii="David" w:hAnsi="David" w:cs="David" w:hint="eastAsia"/>
              <w:b/>
              <w:bCs/>
              <w:noProof/>
              <w:rtl/>
            </w:rPr>
            <w:t>ביחס</w:t>
          </w:r>
          <w:r w:rsidRPr="00CD4258">
            <w:rPr>
              <w:rFonts w:ascii="David" w:hAnsi="David" w:cs="David"/>
              <w:b/>
              <w:bCs/>
              <w:noProof/>
              <w:rtl/>
            </w:rPr>
            <w:t xml:space="preserve"> </w:t>
          </w:r>
          <w:r w:rsidRPr="00CD4258">
            <w:rPr>
              <w:rFonts w:ascii="David" w:hAnsi="David" w:cs="David" w:hint="eastAsia"/>
              <w:b/>
              <w:bCs/>
              <w:noProof/>
              <w:rtl/>
            </w:rPr>
            <w:t>למדרגת</w:t>
          </w:r>
          <w:r w:rsidRPr="00CD4258">
            <w:rPr>
              <w:rFonts w:ascii="David" w:hAnsi="David" w:cs="David"/>
              <w:b/>
              <w:bCs/>
              <w:noProof/>
              <w:rtl/>
            </w:rPr>
            <w:t xml:space="preserve"> </w:t>
          </w:r>
          <w:r w:rsidRPr="00CD4258">
            <w:rPr>
              <w:rFonts w:ascii="David" w:hAnsi="David" w:cs="David" w:hint="eastAsia"/>
              <w:b/>
              <w:bCs/>
              <w:noProof/>
              <w:rtl/>
            </w:rPr>
            <w:t>ההשבחה</w:t>
          </w:r>
          <w:r w:rsidRPr="00CD4258">
            <w:rPr>
              <w:rFonts w:ascii="David" w:hAnsi="David" w:cs="David"/>
              <w:b/>
              <w:bCs/>
              <w:noProof/>
              <w:rtl/>
            </w:rPr>
            <w:t xml:space="preserve"> </w:t>
          </w:r>
          <w:r w:rsidRPr="00CD4258">
            <w:rPr>
              <w:rFonts w:ascii="David" w:hAnsi="David" w:cs="David" w:hint="eastAsia"/>
              <w:b/>
              <w:bCs/>
              <w:noProof/>
              <w:rtl/>
            </w:rPr>
            <w:t>בגין</w:t>
          </w:r>
          <w:r w:rsidRPr="00CD4258">
            <w:rPr>
              <w:rFonts w:ascii="David" w:hAnsi="David" w:cs="David"/>
              <w:b/>
              <w:bCs/>
              <w:noProof/>
              <w:rtl/>
            </w:rPr>
            <w:t xml:space="preserve"> </w:t>
          </w:r>
          <w:r w:rsidRPr="00CD4258">
            <w:rPr>
              <w:rFonts w:ascii="David" w:hAnsi="David" w:cs="David" w:hint="eastAsia"/>
              <w:b/>
              <w:bCs/>
              <w:noProof/>
              <w:rtl/>
            </w:rPr>
            <w:t>ההקלה</w:t>
          </w:r>
          <w:r w:rsidRPr="00CD4258">
            <w:rPr>
              <w:rFonts w:ascii="David" w:hAnsi="David" w:cs="David"/>
              <w:b/>
              <w:bCs/>
              <w:noProof/>
              <w:rtl/>
            </w:rPr>
            <w:t xml:space="preserve"> </w:t>
          </w:r>
          <w:r w:rsidRPr="00CD4258">
            <w:rPr>
              <w:rFonts w:ascii="David" w:hAnsi="David" w:cs="David" w:hint="eastAsia"/>
              <w:b/>
              <w:bCs/>
              <w:noProof/>
              <w:rtl/>
            </w:rPr>
            <w:t>לתוספת</w:t>
          </w:r>
          <w:r w:rsidRPr="00CD4258">
            <w:rPr>
              <w:rFonts w:ascii="David" w:hAnsi="David" w:cs="David"/>
              <w:b/>
              <w:bCs/>
              <w:noProof/>
              <w:rtl/>
            </w:rPr>
            <w:t xml:space="preserve"> 90 </w:t>
          </w:r>
          <w:r w:rsidRPr="00CD4258">
            <w:rPr>
              <w:rFonts w:ascii="David" w:hAnsi="David" w:cs="David" w:hint="eastAsia"/>
              <w:b/>
              <w:bCs/>
              <w:noProof/>
              <w:rtl/>
            </w:rPr>
            <w:t>יח</w:t>
          </w:r>
          <w:r w:rsidRPr="00CD4258">
            <w:rPr>
              <w:rFonts w:ascii="David" w:hAnsi="David" w:cs="David"/>
              <w:b/>
              <w:bCs/>
              <w:noProof/>
              <w:rtl/>
            </w:rPr>
            <w:t>"</w:t>
          </w:r>
          <w:r w:rsidRPr="00CD4258">
            <w:rPr>
              <w:rFonts w:ascii="David" w:hAnsi="David" w:cs="David" w:hint="eastAsia"/>
              <w:b/>
              <w:bCs/>
              <w:noProof/>
              <w:rtl/>
            </w:rPr>
            <w:t>ד</w:t>
          </w:r>
          <w:r w:rsidRPr="00CD4258">
            <w:rPr>
              <w:rFonts w:ascii="David" w:hAnsi="David" w:cs="David"/>
              <w:b/>
              <w:bCs/>
              <w:noProof/>
              <w:rtl/>
            </w:rPr>
            <w:t>.</w:t>
          </w:r>
          <w:r w:rsidRPr="00CD4258">
            <w:rPr>
              <w:rFonts w:ascii="David" w:hAnsi="David" w:cs="David"/>
              <w:b/>
              <w:bCs/>
              <w:noProof/>
              <w:rtl/>
            </w:rPr>
            <w:tab/>
          </w:r>
          <w:r w:rsidRPr="00CD4258">
            <w:rPr>
              <w:rFonts w:ascii="David" w:hAnsi="David" w:cs="David"/>
              <w:b/>
              <w:bCs/>
              <w:noProof/>
            </w:rPr>
            <w:fldChar w:fldCharType="begin"/>
          </w:r>
          <w:r w:rsidRPr="00CD4258">
            <w:rPr>
              <w:rFonts w:ascii="David" w:hAnsi="David" w:cs="David"/>
              <w:b/>
              <w:bCs/>
              <w:noProof/>
              <w:rtl/>
            </w:rPr>
            <w:instrText xml:space="preserve"> </w:instrText>
          </w:r>
          <w:r w:rsidRPr="00CD4258">
            <w:rPr>
              <w:rFonts w:ascii="David" w:hAnsi="David" w:cs="David"/>
              <w:b/>
              <w:bCs/>
              <w:noProof/>
            </w:rPr>
            <w:instrText>PAGEREF</w:instrText>
          </w:r>
          <w:r w:rsidRPr="00CD4258">
            <w:rPr>
              <w:rFonts w:ascii="David" w:hAnsi="David" w:cs="David"/>
              <w:b/>
              <w:bCs/>
              <w:noProof/>
              <w:rtl/>
            </w:rPr>
            <w:instrText xml:space="preserve"> _</w:instrText>
          </w:r>
          <w:r w:rsidRPr="00CD4258">
            <w:rPr>
              <w:rFonts w:ascii="David" w:hAnsi="David" w:cs="David"/>
              <w:b/>
              <w:bCs/>
              <w:noProof/>
            </w:rPr>
            <w:instrText>Toc204504391 \h</w:instrText>
          </w:r>
          <w:r w:rsidRPr="00CD4258">
            <w:rPr>
              <w:rFonts w:ascii="David" w:hAnsi="David" w:cs="David"/>
              <w:b/>
              <w:bCs/>
              <w:noProof/>
              <w:rtl/>
            </w:rPr>
            <w:instrText xml:space="preserve"> </w:instrText>
          </w:r>
          <w:r w:rsidRPr="00CD4258">
            <w:rPr>
              <w:rFonts w:ascii="David" w:hAnsi="David" w:cs="David"/>
              <w:b/>
              <w:bCs/>
              <w:noProof/>
            </w:rPr>
          </w:r>
          <w:r w:rsidRPr="00CD4258">
            <w:rPr>
              <w:rFonts w:ascii="David" w:hAnsi="David" w:cs="David"/>
              <w:b/>
              <w:bCs/>
              <w:noProof/>
            </w:rPr>
            <w:fldChar w:fldCharType="separate"/>
          </w:r>
          <w:r w:rsidR="00683F08">
            <w:rPr>
              <w:rFonts w:ascii="David" w:hAnsi="David" w:cs="David"/>
              <w:b/>
              <w:bCs/>
              <w:noProof/>
              <w:rtl/>
            </w:rPr>
            <w:t>18</w:t>
          </w:r>
          <w:r w:rsidRPr="00CD4258">
            <w:rPr>
              <w:rFonts w:ascii="David" w:hAnsi="David" w:cs="David"/>
              <w:b/>
              <w:bCs/>
              <w:noProof/>
            </w:rPr>
            <w:fldChar w:fldCharType="end"/>
          </w:r>
        </w:p>
        <w:p w:rsidR="00236F3C" w:rsidRPr="00CD4258" w:rsidRDefault="00236F3C">
          <w:pPr>
            <w:pStyle w:val="TOC1"/>
            <w:rPr>
              <w:rFonts w:eastAsiaTheme="minorEastAsia"/>
              <w:b/>
              <w:bCs/>
              <w:rtl/>
            </w:rPr>
          </w:pPr>
          <w:r w:rsidRPr="00CD4258">
            <w:rPr>
              <w:rFonts w:hint="eastAsia"/>
              <w:b/>
              <w:bCs/>
              <w:rtl/>
            </w:rPr>
            <w:t>פטור</w:t>
          </w:r>
          <w:r w:rsidRPr="00CD4258">
            <w:rPr>
              <w:b/>
              <w:bCs/>
              <w:rtl/>
            </w:rPr>
            <w:t xml:space="preserve"> </w:t>
          </w:r>
          <w:r w:rsidRPr="00CD4258">
            <w:rPr>
              <w:rFonts w:hint="eastAsia"/>
              <w:b/>
              <w:bCs/>
              <w:rtl/>
            </w:rPr>
            <w:t>ממ</w:t>
          </w:r>
          <w:r w:rsidRPr="00CD4258">
            <w:rPr>
              <w:b/>
              <w:bCs/>
              <w:rtl/>
            </w:rPr>
            <w:t>"</w:t>
          </w:r>
          <w:r w:rsidRPr="00CD4258">
            <w:rPr>
              <w:rFonts w:hint="eastAsia"/>
              <w:b/>
              <w:bCs/>
              <w:rtl/>
            </w:rPr>
            <w:t>דים</w:t>
          </w:r>
          <w:r w:rsidRPr="00CD4258">
            <w:rPr>
              <w:b/>
              <w:bCs/>
              <w:rtl/>
            </w:rPr>
            <w:tab/>
          </w:r>
          <w:r w:rsidRPr="00CD4258">
            <w:rPr>
              <w:b/>
              <w:bCs/>
            </w:rPr>
            <w:fldChar w:fldCharType="begin"/>
          </w:r>
          <w:r w:rsidRPr="00CD4258">
            <w:rPr>
              <w:b/>
              <w:bCs/>
              <w:rtl/>
            </w:rPr>
            <w:instrText xml:space="preserve"> </w:instrText>
          </w:r>
          <w:r w:rsidRPr="00CD4258">
            <w:rPr>
              <w:b/>
              <w:bCs/>
            </w:rPr>
            <w:instrText>PAGEREF</w:instrText>
          </w:r>
          <w:r w:rsidRPr="00CD4258">
            <w:rPr>
              <w:b/>
              <w:bCs/>
              <w:rtl/>
            </w:rPr>
            <w:instrText xml:space="preserve"> _</w:instrText>
          </w:r>
          <w:r w:rsidRPr="00CD4258">
            <w:rPr>
              <w:b/>
              <w:bCs/>
            </w:rPr>
            <w:instrText>Toc204504392 \h</w:instrText>
          </w:r>
          <w:r w:rsidRPr="00CD4258">
            <w:rPr>
              <w:b/>
              <w:bCs/>
              <w:rtl/>
            </w:rPr>
            <w:instrText xml:space="preserve"> </w:instrText>
          </w:r>
          <w:r w:rsidRPr="00CD4258">
            <w:rPr>
              <w:b/>
              <w:bCs/>
            </w:rPr>
          </w:r>
          <w:r w:rsidRPr="00CD4258">
            <w:rPr>
              <w:b/>
              <w:bCs/>
            </w:rPr>
            <w:fldChar w:fldCharType="separate"/>
          </w:r>
          <w:r w:rsidR="00683F08">
            <w:rPr>
              <w:b/>
              <w:bCs/>
              <w:rtl/>
            </w:rPr>
            <w:t>20</w:t>
          </w:r>
          <w:r w:rsidRPr="00CD4258">
            <w:rPr>
              <w:b/>
              <w:bCs/>
            </w:rPr>
            <w:fldChar w:fldCharType="end"/>
          </w:r>
        </w:p>
        <w:p w:rsidR="00236F3C" w:rsidRPr="00CD4258" w:rsidRDefault="00236F3C">
          <w:pPr>
            <w:pStyle w:val="TOC2"/>
            <w:tabs>
              <w:tab w:val="right" w:leader="dot" w:pos="9204"/>
            </w:tabs>
            <w:rPr>
              <w:rFonts w:ascii="David" w:eastAsiaTheme="minorEastAsia" w:hAnsi="David" w:cs="David"/>
              <w:b/>
              <w:bCs/>
              <w:noProof/>
              <w:rtl/>
            </w:rPr>
          </w:pPr>
          <w:r w:rsidRPr="00CD4258">
            <w:rPr>
              <w:rFonts w:ascii="David" w:hAnsi="David" w:cs="David" w:hint="eastAsia"/>
              <w:b/>
              <w:bCs/>
              <w:noProof/>
              <w:rtl/>
            </w:rPr>
            <w:t>ב</w:t>
          </w:r>
          <w:r w:rsidRPr="00CD4258">
            <w:rPr>
              <w:rFonts w:ascii="David" w:hAnsi="David" w:cs="David"/>
              <w:b/>
              <w:bCs/>
              <w:noProof/>
              <w:rtl/>
            </w:rPr>
            <w:t xml:space="preserve">. </w:t>
          </w:r>
          <w:r w:rsidRPr="00CD4258">
            <w:rPr>
              <w:rFonts w:ascii="David" w:hAnsi="David" w:cs="David" w:hint="eastAsia"/>
              <w:b/>
              <w:bCs/>
              <w:noProof/>
              <w:rtl/>
            </w:rPr>
            <w:t>טעות</w:t>
          </w:r>
          <w:r w:rsidRPr="00CD4258">
            <w:rPr>
              <w:rFonts w:ascii="David" w:hAnsi="David" w:cs="David"/>
              <w:b/>
              <w:bCs/>
              <w:noProof/>
              <w:rtl/>
            </w:rPr>
            <w:t xml:space="preserve"> </w:t>
          </w:r>
          <w:r w:rsidRPr="00CD4258">
            <w:rPr>
              <w:rFonts w:ascii="David" w:hAnsi="David" w:cs="David" w:hint="eastAsia"/>
              <w:b/>
              <w:bCs/>
              <w:noProof/>
              <w:rtl/>
            </w:rPr>
            <w:t>במתן</w:t>
          </w:r>
          <w:r w:rsidRPr="00CD4258">
            <w:rPr>
              <w:rFonts w:ascii="David" w:hAnsi="David" w:cs="David"/>
              <w:b/>
              <w:bCs/>
              <w:noProof/>
              <w:rtl/>
            </w:rPr>
            <w:t xml:space="preserve"> </w:t>
          </w:r>
          <w:r w:rsidRPr="00CD4258">
            <w:rPr>
              <w:rFonts w:ascii="David" w:hAnsi="David" w:cs="David" w:hint="eastAsia"/>
              <w:b/>
              <w:bCs/>
              <w:noProof/>
              <w:rtl/>
            </w:rPr>
            <w:t>פטור</w:t>
          </w:r>
          <w:r w:rsidRPr="00CD4258">
            <w:rPr>
              <w:rFonts w:ascii="David" w:hAnsi="David" w:cs="David"/>
              <w:b/>
              <w:bCs/>
              <w:noProof/>
              <w:rtl/>
            </w:rPr>
            <w:t xml:space="preserve"> </w:t>
          </w:r>
          <w:r w:rsidRPr="00CD4258">
            <w:rPr>
              <w:rFonts w:ascii="David" w:hAnsi="David" w:cs="David" w:hint="eastAsia"/>
              <w:b/>
              <w:bCs/>
              <w:noProof/>
              <w:rtl/>
            </w:rPr>
            <w:t>מהיטל</w:t>
          </w:r>
          <w:r w:rsidRPr="00CD4258">
            <w:rPr>
              <w:rFonts w:ascii="David" w:hAnsi="David" w:cs="David"/>
              <w:b/>
              <w:bCs/>
              <w:noProof/>
              <w:rtl/>
            </w:rPr>
            <w:t xml:space="preserve"> </w:t>
          </w:r>
          <w:r w:rsidRPr="00CD4258">
            <w:rPr>
              <w:rFonts w:ascii="David" w:hAnsi="David" w:cs="David" w:hint="eastAsia"/>
              <w:b/>
              <w:bCs/>
              <w:noProof/>
              <w:rtl/>
            </w:rPr>
            <w:t>השבחה</w:t>
          </w:r>
          <w:r w:rsidRPr="00CD4258">
            <w:rPr>
              <w:rFonts w:ascii="David" w:hAnsi="David" w:cs="David"/>
              <w:b/>
              <w:bCs/>
              <w:noProof/>
              <w:rtl/>
            </w:rPr>
            <w:t xml:space="preserve"> </w:t>
          </w:r>
          <w:r w:rsidRPr="00CD4258">
            <w:rPr>
              <w:rFonts w:ascii="David" w:hAnsi="David" w:cs="David" w:hint="eastAsia"/>
              <w:b/>
              <w:bCs/>
              <w:noProof/>
              <w:rtl/>
            </w:rPr>
            <w:t>בגין</w:t>
          </w:r>
          <w:r w:rsidRPr="00CD4258">
            <w:rPr>
              <w:rFonts w:ascii="David" w:hAnsi="David" w:cs="David"/>
              <w:b/>
              <w:bCs/>
              <w:noProof/>
              <w:rtl/>
            </w:rPr>
            <w:t xml:space="preserve"> </w:t>
          </w:r>
          <w:r w:rsidRPr="00CD4258">
            <w:rPr>
              <w:rFonts w:ascii="David" w:hAnsi="David" w:cs="David" w:hint="eastAsia"/>
              <w:b/>
              <w:bCs/>
              <w:noProof/>
              <w:rtl/>
            </w:rPr>
            <w:t>ממ</w:t>
          </w:r>
          <w:r w:rsidRPr="00CD4258">
            <w:rPr>
              <w:rFonts w:ascii="David" w:hAnsi="David" w:cs="David"/>
              <w:b/>
              <w:bCs/>
              <w:noProof/>
              <w:rtl/>
            </w:rPr>
            <w:t>"</w:t>
          </w:r>
          <w:r w:rsidRPr="00CD4258">
            <w:rPr>
              <w:rFonts w:ascii="David" w:hAnsi="David" w:cs="David" w:hint="eastAsia"/>
              <w:b/>
              <w:bCs/>
              <w:noProof/>
              <w:rtl/>
            </w:rPr>
            <w:t>דים</w:t>
          </w:r>
          <w:r w:rsidRPr="00CD4258">
            <w:rPr>
              <w:rFonts w:ascii="David" w:hAnsi="David" w:cs="David"/>
              <w:b/>
              <w:bCs/>
              <w:noProof/>
              <w:rtl/>
            </w:rPr>
            <w:t xml:space="preserve"> </w:t>
          </w:r>
          <w:r w:rsidRPr="00CD4258">
            <w:rPr>
              <w:rFonts w:ascii="David" w:hAnsi="David" w:cs="David" w:hint="eastAsia"/>
              <w:b/>
              <w:bCs/>
              <w:noProof/>
              <w:rtl/>
            </w:rPr>
            <w:t>שנמכרו</w:t>
          </w:r>
          <w:r w:rsidRPr="00CD4258">
            <w:rPr>
              <w:rFonts w:ascii="David" w:hAnsi="David" w:cs="David"/>
              <w:b/>
              <w:bCs/>
              <w:noProof/>
              <w:rtl/>
            </w:rPr>
            <w:t xml:space="preserve"> </w:t>
          </w:r>
          <w:r w:rsidRPr="00CD4258">
            <w:rPr>
              <w:rFonts w:ascii="David" w:hAnsi="David" w:cs="David" w:hint="eastAsia"/>
              <w:b/>
              <w:bCs/>
              <w:noProof/>
              <w:rtl/>
            </w:rPr>
            <w:t>על</w:t>
          </w:r>
          <w:r w:rsidRPr="00CD4258">
            <w:rPr>
              <w:rFonts w:ascii="David" w:hAnsi="David" w:cs="David"/>
              <w:b/>
              <w:bCs/>
              <w:noProof/>
              <w:rtl/>
            </w:rPr>
            <w:t xml:space="preserve"> </w:t>
          </w:r>
          <w:r w:rsidRPr="00CD4258">
            <w:rPr>
              <w:rFonts w:ascii="David" w:hAnsi="David" w:cs="David" w:hint="eastAsia"/>
              <w:b/>
              <w:bCs/>
              <w:noProof/>
              <w:rtl/>
            </w:rPr>
            <w:t>ידי</w:t>
          </w:r>
          <w:r w:rsidRPr="00CD4258">
            <w:rPr>
              <w:rFonts w:ascii="David" w:hAnsi="David" w:cs="David"/>
              <w:b/>
              <w:bCs/>
              <w:noProof/>
              <w:rtl/>
            </w:rPr>
            <w:t xml:space="preserve"> </w:t>
          </w:r>
          <w:r w:rsidRPr="00CD4258">
            <w:rPr>
              <w:rFonts w:ascii="David" w:hAnsi="David" w:cs="David" w:hint="eastAsia"/>
              <w:b/>
              <w:bCs/>
              <w:noProof/>
              <w:rtl/>
            </w:rPr>
            <w:t>הבעלים</w:t>
          </w:r>
          <w:r w:rsidRPr="00CD4258">
            <w:rPr>
              <w:rFonts w:ascii="David" w:hAnsi="David" w:cs="David"/>
              <w:b/>
              <w:bCs/>
              <w:noProof/>
              <w:rtl/>
            </w:rPr>
            <w:t xml:space="preserve"> </w:t>
          </w:r>
          <w:r w:rsidRPr="00CD4258">
            <w:rPr>
              <w:rFonts w:ascii="David" w:hAnsi="David" w:cs="David" w:hint="eastAsia"/>
              <w:b/>
              <w:bCs/>
              <w:noProof/>
              <w:rtl/>
            </w:rPr>
            <w:t>ליזם</w:t>
          </w:r>
          <w:r w:rsidRPr="00CD4258">
            <w:rPr>
              <w:rFonts w:ascii="David" w:hAnsi="David" w:cs="David"/>
              <w:b/>
              <w:bCs/>
              <w:noProof/>
              <w:rtl/>
            </w:rPr>
            <w:t>.</w:t>
          </w:r>
          <w:r w:rsidRPr="00CD4258">
            <w:rPr>
              <w:rFonts w:ascii="David" w:hAnsi="David" w:cs="David"/>
              <w:b/>
              <w:bCs/>
              <w:noProof/>
              <w:rtl/>
            </w:rPr>
            <w:tab/>
          </w:r>
          <w:r w:rsidRPr="00CD4258">
            <w:rPr>
              <w:rFonts w:ascii="David" w:hAnsi="David" w:cs="David"/>
              <w:b/>
              <w:bCs/>
              <w:noProof/>
            </w:rPr>
            <w:fldChar w:fldCharType="begin"/>
          </w:r>
          <w:r w:rsidRPr="00CD4258">
            <w:rPr>
              <w:rFonts w:ascii="David" w:hAnsi="David" w:cs="David"/>
              <w:b/>
              <w:bCs/>
              <w:noProof/>
              <w:rtl/>
            </w:rPr>
            <w:instrText xml:space="preserve"> </w:instrText>
          </w:r>
          <w:r w:rsidRPr="00CD4258">
            <w:rPr>
              <w:rFonts w:ascii="David" w:hAnsi="David" w:cs="David"/>
              <w:b/>
              <w:bCs/>
              <w:noProof/>
            </w:rPr>
            <w:instrText>PAGEREF</w:instrText>
          </w:r>
          <w:r w:rsidRPr="00CD4258">
            <w:rPr>
              <w:rFonts w:ascii="David" w:hAnsi="David" w:cs="David"/>
              <w:b/>
              <w:bCs/>
              <w:noProof/>
              <w:rtl/>
            </w:rPr>
            <w:instrText xml:space="preserve"> _</w:instrText>
          </w:r>
          <w:r w:rsidRPr="00CD4258">
            <w:rPr>
              <w:rFonts w:ascii="David" w:hAnsi="David" w:cs="David"/>
              <w:b/>
              <w:bCs/>
              <w:noProof/>
            </w:rPr>
            <w:instrText>Toc204504393 \h</w:instrText>
          </w:r>
          <w:r w:rsidRPr="00CD4258">
            <w:rPr>
              <w:rFonts w:ascii="David" w:hAnsi="David" w:cs="David"/>
              <w:b/>
              <w:bCs/>
              <w:noProof/>
              <w:rtl/>
            </w:rPr>
            <w:instrText xml:space="preserve"> </w:instrText>
          </w:r>
          <w:r w:rsidRPr="00CD4258">
            <w:rPr>
              <w:rFonts w:ascii="David" w:hAnsi="David" w:cs="David"/>
              <w:b/>
              <w:bCs/>
              <w:noProof/>
            </w:rPr>
          </w:r>
          <w:r w:rsidRPr="00CD4258">
            <w:rPr>
              <w:rFonts w:ascii="David" w:hAnsi="David" w:cs="David"/>
              <w:b/>
              <w:bCs/>
              <w:noProof/>
            </w:rPr>
            <w:fldChar w:fldCharType="separate"/>
          </w:r>
          <w:r w:rsidR="00683F08">
            <w:rPr>
              <w:rFonts w:ascii="David" w:hAnsi="David" w:cs="David"/>
              <w:b/>
              <w:bCs/>
              <w:noProof/>
              <w:rtl/>
            </w:rPr>
            <w:t>20</w:t>
          </w:r>
          <w:r w:rsidRPr="00CD4258">
            <w:rPr>
              <w:rFonts w:ascii="David" w:hAnsi="David" w:cs="David"/>
              <w:b/>
              <w:bCs/>
              <w:noProof/>
            </w:rPr>
            <w:fldChar w:fldCharType="end"/>
          </w:r>
        </w:p>
        <w:p w:rsidR="00236F3C" w:rsidRPr="00CD4258" w:rsidRDefault="00236F3C">
          <w:pPr>
            <w:pStyle w:val="TOC1"/>
            <w:rPr>
              <w:rFonts w:eastAsiaTheme="minorEastAsia"/>
              <w:b/>
              <w:bCs/>
              <w:rtl/>
            </w:rPr>
          </w:pPr>
          <w:r w:rsidRPr="00CD4258">
            <w:rPr>
              <w:rFonts w:hint="eastAsia"/>
              <w:b/>
              <w:bCs/>
              <w:rtl/>
            </w:rPr>
            <w:t>עררי</w:t>
          </w:r>
          <w:r w:rsidRPr="00CD4258">
            <w:rPr>
              <w:b/>
              <w:bCs/>
              <w:rtl/>
            </w:rPr>
            <w:t xml:space="preserve"> </w:t>
          </w:r>
          <w:r w:rsidRPr="00CD4258">
            <w:rPr>
              <w:rFonts w:hint="eastAsia"/>
              <w:b/>
              <w:bCs/>
              <w:rtl/>
            </w:rPr>
            <w:t>הועדה</w:t>
          </w:r>
          <w:r w:rsidRPr="00CD4258">
            <w:rPr>
              <w:b/>
              <w:bCs/>
              <w:rtl/>
            </w:rPr>
            <w:t xml:space="preserve"> </w:t>
          </w:r>
          <w:r w:rsidRPr="00CD4258">
            <w:rPr>
              <w:rFonts w:hint="eastAsia"/>
              <w:b/>
              <w:bCs/>
              <w:rtl/>
            </w:rPr>
            <w:t>המקומית</w:t>
          </w:r>
          <w:r w:rsidRPr="00CD4258">
            <w:rPr>
              <w:b/>
              <w:bCs/>
              <w:rtl/>
            </w:rPr>
            <w:t xml:space="preserve"> 86007/0223+86008/0223</w:t>
          </w:r>
          <w:r w:rsidRPr="00CD4258">
            <w:rPr>
              <w:b/>
              <w:bCs/>
              <w:rtl/>
            </w:rPr>
            <w:tab/>
          </w:r>
          <w:r w:rsidRPr="00CD4258">
            <w:rPr>
              <w:b/>
              <w:bCs/>
            </w:rPr>
            <w:fldChar w:fldCharType="begin"/>
          </w:r>
          <w:r w:rsidRPr="00CD4258">
            <w:rPr>
              <w:b/>
              <w:bCs/>
              <w:rtl/>
            </w:rPr>
            <w:instrText xml:space="preserve"> </w:instrText>
          </w:r>
          <w:r w:rsidRPr="00CD4258">
            <w:rPr>
              <w:b/>
              <w:bCs/>
            </w:rPr>
            <w:instrText>PAGEREF</w:instrText>
          </w:r>
          <w:r w:rsidRPr="00CD4258">
            <w:rPr>
              <w:b/>
              <w:bCs/>
              <w:rtl/>
            </w:rPr>
            <w:instrText xml:space="preserve"> _</w:instrText>
          </w:r>
          <w:r w:rsidRPr="00CD4258">
            <w:rPr>
              <w:b/>
              <w:bCs/>
            </w:rPr>
            <w:instrText>Toc204504394 \h</w:instrText>
          </w:r>
          <w:r w:rsidRPr="00CD4258">
            <w:rPr>
              <w:b/>
              <w:bCs/>
              <w:rtl/>
            </w:rPr>
            <w:instrText xml:space="preserve"> </w:instrText>
          </w:r>
          <w:r w:rsidRPr="00CD4258">
            <w:rPr>
              <w:b/>
              <w:bCs/>
            </w:rPr>
          </w:r>
          <w:r w:rsidRPr="00CD4258">
            <w:rPr>
              <w:b/>
              <w:bCs/>
            </w:rPr>
            <w:fldChar w:fldCharType="separate"/>
          </w:r>
          <w:r w:rsidR="00683F08">
            <w:rPr>
              <w:b/>
              <w:bCs/>
              <w:rtl/>
            </w:rPr>
            <w:t>27</w:t>
          </w:r>
          <w:r w:rsidRPr="00CD4258">
            <w:rPr>
              <w:b/>
              <w:bCs/>
            </w:rPr>
            <w:fldChar w:fldCharType="end"/>
          </w:r>
        </w:p>
        <w:p w:rsidR="00236F3C" w:rsidRPr="00CD4258" w:rsidRDefault="00236F3C">
          <w:pPr>
            <w:pStyle w:val="TOC2"/>
            <w:tabs>
              <w:tab w:val="right" w:leader="dot" w:pos="9204"/>
            </w:tabs>
            <w:rPr>
              <w:rFonts w:ascii="David" w:eastAsiaTheme="minorEastAsia" w:hAnsi="David" w:cs="David"/>
              <w:b/>
              <w:bCs/>
              <w:noProof/>
              <w:rtl/>
            </w:rPr>
          </w:pPr>
          <w:r w:rsidRPr="00CD4258">
            <w:rPr>
              <w:rFonts w:ascii="David" w:hAnsi="David" w:cs="David" w:hint="eastAsia"/>
              <w:b/>
              <w:bCs/>
              <w:noProof/>
              <w:rtl/>
            </w:rPr>
            <w:t>א</w:t>
          </w:r>
          <w:r w:rsidRPr="00CD4258">
            <w:rPr>
              <w:rFonts w:ascii="David" w:hAnsi="David" w:cs="David"/>
              <w:b/>
              <w:bCs/>
              <w:noProof/>
              <w:rtl/>
            </w:rPr>
            <w:t xml:space="preserve">. </w:t>
          </w:r>
          <w:r w:rsidRPr="00CD4258">
            <w:rPr>
              <w:rFonts w:ascii="David" w:hAnsi="David" w:cs="David" w:hint="eastAsia"/>
              <w:b/>
              <w:bCs/>
              <w:noProof/>
              <w:rtl/>
            </w:rPr>
            <w:t>טעות</w:t>
          </w:r>
          <w:r w:rsidRPr="00CD4258">
            <w:rPr>
              <w:rFonts w:ascii="David" w:hAnsi="David" w:cs="David"/>
              <w:b/>
              <w:bCs/>
              <w:noProof/>
              <w:rtl/>
            </w:rPr>
            <w:t xml:space="preserve"> </w:t>
          </w:r>
          <w:r w:rsidRPr="00CD4258">
            <w:rPr>
              <w:rFonts w:ascii="David" w:hAnsi="David" w:cs="David" w:hint="eastAsia"/>
              <w:b/>
              <w:bCs/>
              <w:noProof/>
              <w:rtl/>
            </w:rPr>
            <w:t>במתן</w:t>
          </w:r>
          <w:r w:rsidRPr="00CD4258">
            <w:rPr>
              <w:rFonts w:ascii="David" w:hAnsi="David" w:cs="David"/>
              <w:b/>
              <w:bCs/>
              <w:noProof/>
              <w:rtl/>
            </w:rPr>
            <w:t xml:space="preserve"> </w:t>
          </w:r>
          <w:r w:rsidRPr="00CD4258">
            <w:rPr>
              <w:rFonts w:ascii="David" w:hAnsi="David" w:cs="David" w:hint="eastAsia"/>
              <w:b/>
              <w:bCs/>
              <w:noProof/>
              <w:rtl/>
            </w:rPr>
            <w:t>פטור</w:t>
          </w:r>
          <w:r w:rsidRPr="00CD4258">
            <w:rPr>
              <w:rFonts w:ascii="David" w:hAnsi="David" w:cs="David"/>
              <w:b/>
              <w:bCs/>
              <w:noProof/>
              <w:rtl/>
            </w:rPr>
            <w:t xml:space="preserve"> </w:t>
          </w:r>
          <w:r w:rsidRPr="00CD4258">
            <w:rPr>
              <w:rFonts w:ascii="David" w:hAnsi="David" w:cs="David" w:hint="eastAsia"/>
              <w:b/>
              <w:bCs/>
              <w:noProof/>
              <w:rtl/>
            </w:rPr>
            <w:t>מהיטל</w:t>
          </w:r>
          <w:r w:rsidRPr="00CD4258">
            <w:rPr>
              <w:rFonts w:ascii="David" w:hAnsi="David" w:cs="David"/>
              <w:b/>
              <w:bCs/>
              <w:noProof/>
              <w:rtl/>
            </w:rPr>
            <w:t xml:space="preserve"> </w:t>
          </w:r>
          <w:r w:rsidRPr="00CD4258">
            <w:rPr>
              <w:rFonts w:ascii="David" w:hAnsi="David" w:cs="David" w:hint="eastAsia"/>
              <w:b/>
              <w:bCs/>
              <w:noProof/>
              <w:rtl/>
            </w:rPr>
            <w:t>השבחה</w:t>
          </w:r>
          <w:r w:rsidRPr="00CD4258">
            <w:rPr>
              <w:rFonts w:ascii="David" w:hAnsi="David" w:cs="David"/>
              <w:b/>
              <w:bCs/>
              <w:noProof/>
              <w:rtl/>
            </w:rPr>
            <w:t xml:space="preserve"> </w:t>
          </w:r>
          <w:r w:rsidRPr="00CD4258">
            <w:rPr>
              <w:rFonts w:ascii="David" w:hAnsi="David" w:cs="David" w:hint="eastAsia"/>
              <w:b/>
              <w:bCs/>
              <w:noProof/>
              <w:rtl/>
            </w:rPr>
            <w:t>בגין</w:t>
          </w:r>
          <w:r w:rsidRPr="00CD4258">
            <w:rPr>
              <w:rFonts w:ascii="David" w:hAnsi="David" w:cs="David"/>
              <w:b/>
              <w:bCs/>
              <w:noProof/>
              <w:rtl/>
            </w:rPr>
            <w:t xml:space="preserve"> </w:t>
          </w:r>
          <w:r w:rsidRPr="00CD4258">
            <w:rPr>
              <w:rFonts w:ascii="David" w:hAnsi="David" w:cs="David" w:hint="eastAsia"/>
              <w:b/>
              <w:bCs/>
              <w:noProof/>
              <w:rtl/>
            </w:rPr>
            <w:t>תכנית</w:t>
          </w:r>
          <w:r w:rsidRPr="00CD4258">
            <w:rPr>
              <w:rFonts w:ascii="David" w:hAnsi="David" w:cs="David"/>
              <w:b/>
              <w:bCs/>
              <w:noProof/>
              <w:rtl/>
            </w:rPr>
            <w:t xml:space="preserve"> </w:t>
          </w:r>
          <w:r w:rsidRPr="00CD4258">
            <w:rPr>
              <w:rFonts w:ascii="David" w:hAnsi="David" w:cs="David" w:hint="eastAsia"/>
              <w:b/>
              <w:bCs/>
              <w:noProof/>
              <w:rtl/>
            </w:rPr>
            <w:t>בי</w:t>
          </w:r>
          <w:r w:rsidRPr="00CD4258">
            <w:rPr>
              <w:rFonts w:ascii="David" w:hAnsi="David" w:cs="David"/>
              <w:b/>
              <w:bCs/>
              <w:noProof/>
              <w:rtl/>
            </w:rPr>
            <w:t>/319</w:t>
          </w:r>
          <w:r w:rsidRPr="00CD4258">
            <w:rPr>
              <w:rFonts w:ascii="David" w:hAnsi="David" w:cs="David"/>
              <w:b/>
              <w:bCs/>
              <w:noProof/>
              <w:rtl/>
            </w:rPr>
            <w:tab/>
          </w:r>
          <w:r w:rsidRPr="00CD4258">
            <w:rPr>
              <w:rFonts w:ascii="David" w:hAnsi="David" w:cs="David"/>
              <w:b/>
              <w:bCs/>
              <w:noProof/>
            </w:rPr>
            <w:fldChar w:fldCharType="begin"/>
          </w:r>
          <w:r w:rsidRPr="00CD4258">
            <w:rPr>
              <w:rFonts w:ascii="David" w:hAnsi="David" w:cs="David"/>
              <w:b/>
              <w:bCs/>
              <w:noProof/>
              <w:rtl/>
            </w:rPr>
            <w:instrText xml:space="preserve"> </w:instrText>
          </w:r>
          <w:r w:rsidRPr="00CD4258">
            <w:rPr>
              <w:rFonts w:ascii="David" w:hAnsi="David" w:cs="David"/>
              <w:b/>
              <w:bCs/>
              <w:noProof/>
            </w:rPr>
            <w:instrText>PAGEREF</w:instrText>
          </w:r>
          <w:r w:rsidRPr="00CD4258">
            <w:rPr>
              <w:rFonts w:ascii="David" w:hAnsi="David" w:cs="David"/>
              <w:b/>
              <w:bCs/>
              <w:noProof/>
              <w:rtl/>
            </w:rPr>
            <w:instrText xml:space="preserve"> _</w:instrText>
          </w:r>
          <w:r w:rsidRPr="00CD4258">
            <w:rPr>
              <w:rFonts w:ascii="David" w:hAnsi="David" w:cs="David"/>
              <w:b/>
              <w:bCs/>
              <w:noProof/>
            </w:rPr>
            <w:instrText>Toc204504395 \h</w:instrText>
          </w:r>
          <w:r w:rsidRPr="00CD4258">
            <w:rPr>
              <w:rFonts w:ascii="David" w:hAnsi="David" w:cs="David"/>
              <w:b/>
              <w:bCs/>
              <w:noProof/>
              <w:rtl/>
            </w:rPr>
            <w:instrText xml:space="preserve"> </w:instrText>
          </w:r>
          <w:r w:rsidRPr="00CD4258">
            <w:rPr>
              <w:rFonts w:ascii="David" w:hAnsi="David" w:cs="David"/>
              <w:b/>
              <w:bCs/>
              <w:noProof/>
            </w:rPr>
          </w:r>
          <w:r w:rsidRPr="00CD4258">
            <w:rPr>
              <w:rFonts w:ascii="David" w:hAnsi="David" w:cs="David"/>
              <w:b/>
              <w:bCs/>
              <w:noProof/>
            </w:rPr>
            <w:fldChar w:fldCharType="separate"/>
          </w:r>
          <w:r w:rsidR="00683F08">
            <w:rPr>
              <w:rFonts w:ascii="David" w:hAnsi="David" w:cs="David"/>
              <w:b/>
              <w:bCs/>
              <w:noProof/>
              <w:rtl/>
            </w:rPr>
            <w:t>27</w:t>
          </w:r>
          <w:r w:rsidRPr="00CD4258">
            <w:rPr>
              <w:rFonts w:ascii="David" w:hAnsi="David" w:cs="David"/>
              <w:b/>
              <w:bCs/>
              <w:noProof/>
            </w:rPr>
            <w:fldChar w:fldCharType="end"/>
          </w:r>
        </w:p>
        <w:p w:rsidR="00236F3C" w:rsidRPr="00CD4258" w:rsidRDefault="00236F3C">
          <w:pPr>
            <w:pStyle w:val="TOC2"/>
            <w:tabs>
              <w:tab w:val="right" w:leader="dot" w:pos="9204"/>
            </w:tabs>
            <w:rPr>
              <w:rFonts w:ascii="David" w:eastAsiaTheme="minorEastAsia" w:hAnsi="David" w:cs="David"/>
              <w:b/>
              <w:bCs/>
              <w:noProof/>
              <w:rtl/>
            </w:rPr>
          </w:pPr>
          <w:r w:rsidRPr="00CD4258">
            <w:rPr>
              <w:rFonts w:ascii="David" w:hAnsi="David" w:cs="David" w:hint="eastAsia"/>
              <w:b/>
              <w:bCs/>
              <w:noProof/>
              <w:rtl/>
            </w:rPr>
            <w:t>ב</w:t>
          </w:r>
          <w:r w:rsidRPr="00CD4258">
            <w:rPr>
              <w:rFonts w:ascii="David" w:hAnsi="David" w:cs="David"/>
              <w:b/>
              <w:bCs/>
              <w:noProof/>
              <w:rtl/>
            </w:rPr>
            <w:t xml:space="preserve">. </w:t>
          </w:r>
          <w:r w:rsidRPr="00CD4258">
            <w:rPr>
              <w:rFonts w:ascii="David" w:hAnsi="David" w:cs="David" w:hint="eastAsia"/>
              <w:b/>
              <w:bCs/>
              <w:noProof/>
              <w:rtl/>
            </w:rPr>
            <w:t>טעות</w:t>
          </w:r>
          <w:r w:rsidRPr="00CD4258">
            <w:rPr>
              <w:rFonts w:ascii="David" w:hAnsi="David" w:cs="David"/>
              <w:b/>
              <w:bCs/>
              <w:noProof/>
              <w:rtl/>
            </w:rPr>
            <w:t xml:space="preserve"> </w:t>
          </w:r>
          <w:r w:rsidRPr="00CD4258">
            <w:rPr>
              <w:rFonts w:ascii="David" w:hAnsi="David" w:cs="David" w:hint="eastAsia"/>
              <w:b/>
              <w:bCs/>
              <w:noProof/>
              <w:rtl/>
            </w:rPr>
            <w:t>בגין</w:t>
          </w:r>
          <w:r w:rsidRPr="00CD4258">
            <w:rPr>
              <w:rFonts w:ascii="David" w:hAnsi="David" w:cs="David"/>
              <w:b/>
              <w:bCs/>
              <w:noProof/>
              <w:rtl/>
            </w:rPr>
            <w:t xml:space="preserve"> </w:t>
          </w:r>
          <w:r w:rsidRPr="00CD4258">
            <w:rPr>
              <w:rFonts w:ascii="David" w:hAnsi="David" w:cs="David" w:hint="eastAsia"/>
              <w:b/>
              <w:bCs/>
              <w:noProof/>
              <w:rtl/>
            </w:rPr>
            <w:t>הפחתת</w:t>
          </w:r>
          <w:r w:rsidRPr="00CD4258">
            <w:rPr>
              <w:rFonts w:ascii="David" w:hAnsi="David" w:cs="David"/>
              <w:b/>
              <w:bCs/>
              <w:noProof/>
              <w:rtl/>
            </w:rPr>
            <w:t xml:space="preserve"> </w:t>
          </w:r>
          <w:r w:rsidRPr="00CD4258">
            <w:rPr>
              <w:rFonts w:ascii="David" w:hAnsi="David" w:cs="David" w:hint="eastAsia"/>
              <w:b/>
              <w:bCs/>
              <w:noProof/>
              <w:rtl/>
            </w:rPr>
            <w:t>שווי</w:t>
          </w:r>
          <w:r w:rsidRPr="00CD4258">
            <w:rPr>
              <w:rFonts w:ascii="David" w:hAnsi="David" w:cs="David"/>
              <w:b/>
              <w:bCs/>
              <w:noProof/>
              <w:rtl/>
            </w:rPr>
            <w:t xml:space="preserve"> </w:t>
          </w:r>
          <w:r w:rsidRPr="00CD4258">
            <w:rPr>
              <w:rFonts w:ascii="David" w:hAnsi="David" w:cs="David" w:hint="eastAsia"/>
              <w:b/>
              <w:bCs/>
              <w:noProof/>
              <w:rtl/>
            </w:rPr>
            <w:t>מצב</w:t>
          </w:r>
          <w:r w:rsidRPr="00CD4258">
            <w:rPr>
              <w:rFonts w:ascii="David" w:hAnsi="David" w:cs="David"/>
              <w:b/>
              <w:bCs/>
              <w:noProof/>
              <w:rtl/>
            </w:rPr>
            <w:t xml:space="preserve"> </w:t>
          </w:r>
          <w:r w:rsidRPr="00CD4258">
            <w:rPr>
              <w:rFonts w:ascii="David" w:hAnsi="David" w:cs="David" w:hint="eastAsia"/>
              <w:b/>
              <w:bCs/>
              <w:noProof/>
              <w:rtl/>
            </w:rPr>
            <w:t>חדש</w:t>
          </w:r>
          <w:r w:rsidRPr="00CD4258">
            <w:rPr>
              <w:rFonts w:ascii="David" w:hAnsi="David" w:cs="David"/>
              <w:b/>
              <w:bCs/>
              <w:noProof/>
              <w:rtl/>
            </w:rPr>
            <w:t xml:space="preserve"> </w:t>
          </w:r>
          <w:r w:rsidRPr="00CD4258">
            <w:rPr>
              <w:rFonts w:ascii="David" w:hAnsi="David" w:cs="David" w:hint="eastAsia"/>
              <w:b/>
              <w:bCs/>
              <w:noProof/>
              <w:rtl/>
            </w:rPr>
            <w:t>עפ</w:t>
          </w:r>
          <w:r w:rsidRPr="00CD4258">
            <w:rPr>
              <w:rFonts w:ascii="David" w:hAnsi="David" w:cs="David"/>
              <w:b/>
              <w:bCs/>
              <w:noProof/>
              <w:rtl/>
            </w:rPr>
            <w:t>"</w:t>
          </w:r>
          <w:r w:rsidRPr="00CD4258">
            <w:rPr>
              <w:rFonts w:ascii="David" w:hAnsi="David" w:cs="David" w:hint="eastAsia"/>
              <w:b/>
              <w:bCs/>
              <w:noProof/>
              <w:rtl/>
            </w:rPr>
            <w:t>י</w:t>
          </w:r>
          <w:r w:rsidRPr="00CD4258">
            <w:rPr>
              <w:rFonts w:ascii="David" w:hAnsi="David" w:cs="David"/>
              <w:b/>
              <w:bCs/>
              <w:noProof/>
              <w:rtl/>
            </w:rPr>
            <w:t xml:space="preserve"> </w:t>
          </w:r>
          <w:r w:rsidRPr="00CD4258">
            <w:rPr>
              <w:rFonts w:ascii="David" w:hAnsi="David" w:cs="David" w:hint="eastAsia"/>
              <w:b/>
              <w:bCs/>
              <w:noProof/>
              <w:rtl/>
            </w:rPr>
            <w:t>תכנית</w:t>
          </w:r>
          <w:r w:rsidRPr="00CD4258">
            <w:rPr>
              <w:rFonts w:ascii="David" w:hAnsi="David" w:cs="David"/>
              <w:b/>
              <w:bCs/>
              <w:noProof/>
              <w:rtl/>
            </w:rPr>
            <w:t xml:space="preserve"> </w:t>
          </w:r>
          <w:r w:rsidRPr="00CD4258">
            <w:rPr>
              <w:rFonts w:ascii="David" w:hAnsi="David" w:cs="David" w:hint="eastAsia"/>
              <w:b/>
              <w:bCs/>
              <w:noProof/>
              <w:rtl/>
            </w:rPr>
            <w:t>בי</w:t>
          </w:r>
          <w:r w:rsidRPr="00CD4258">
            <w:rPr>
              <w:rFonts w:ascii="David" w:hAnsi="David" w:cs="David"/>
              <w:b/>
              <w:bCs/>
              <w:noProof/>
              <w:rtl/>
            </w:rPr>
            <w:t xml:space="preserve">/517 </w:t>
          </w:r>
          <w:r w:rsidRPr="00CD4258">
            <w:rPr>
              <w:rFonts w:ascii="David" w:hAnsi="David" w:cs="David" w:hint="eastAsia"/>
              <w:b/>
              <w:bCs/>
              <w:noProof/>
              <w:rtl/>
            </w:rPr>
            <w:t>ושווי</w:t>
          </w:r>
          <w:r w:rsidRPr="00CD4258">
            <w:rPr>
              <w:rFonts w:ascii="David" w:hAnsi="David" w:cs="David"/>
              <w:b/>
              <w:bCs/>
              <w:noProof/>
              <w:rtl/>
            </w:rPr>
            <w:t xml:space="preserve"> </w:t>
          </w:r>
          <w:r w:rsidRPr="00CD4258">
            <w:rPr>
              <w:rFonts w:ascii="David" w:hAnsi="David" w:cs="David" w:hint="eastAsia"/>
              <w:b/>
              <w:bCs/>
              <w:noProof/>
              <w:rtl/>
            </w:rPr>
            <w:t>מצב</w:t>
          </w:r>
          <w:r w:rsidRPr="00CD4258">
            <w:rPr>
              <w:rFonts w:ascii="David" w:hAnsi="David" w:cs="David"/>
              <w:b/>
              <w:bCs/>
              <w:noProof/>
              <w:rtl/>
            </w:rPr>
            <w:t xml:space="preserve"> </w:t>
          </w:r>
          <w:r w:rsidRPr="00CD4258">
            <w:rPr>
              <w:rFonts w:ascii="David" w:hAnsi="David" w:cs="David" w:hint="eastAsia"/>
              <w:b/>
              <w:bCs/>
              <w:noProof/>
              <w:rtl/>
            </w:rPr>
            <w:t>קודם</w:t>
          </w:r>
          <w:r w:rsidRPr="00CD4258">
            <w:rPr>
              <w:rFonts w:ascii="David" w:hAnsi="David" w:cs="David"/>
              <w:b/>
              <w:bCs/>
              <w:noProof/>
              <w:rtl/>
            </w:rPr>
            <w:t xml:space="preserve"> </w:t>
          </w:r>
          <w:r w:rsidRPr="00CD4258">
            <w:rPr>
              <w:rFonts w:ascii="David" w:hAnsi="David" w:cs="David" w:hint="eastAsia"/>
              <w:b/>
              <w:bCs/>
              <w:noProof/>
              <w:rtl/>
            </w:rPr>
            <w:t>לתכנית</w:t>
          </w:r>
          <w:r w:rsidRPr="00CD4258">
            <w:rPr>
              <w:rFonts w:ascii="David" w:hAnsi="David" w:cs="David"/>
              <w:b/>
              <w:bCs/>
              <w:noProof/>
              <w:rtl/>
            </w:rPr>
            <w:t xml:space="preserve"> </w:t>
          </w:r>
          <w:r w:rsidRPr="00CD4258">
            <w:rPr>
              <w:rFonts w:ascii="David" w:hAnsi="David" w:cs="David" w:hint="eastAsia"/>
              <w:b/>
              <w:bCs/>
              <w:noProof/>
              <w:rtl/>
            </w:rPr>
            <w:t>בי</w:t>
          </w:r>
          <w:r w:rsidRPr="00CD4258">
            <w:rPr>
              <w:rFonts w:ascii="David" w:hAnsi="David" w:cs="David"/>
              <w:b/>
              <w:bCs/>
              <w:noProof/>
              <w:rtl/>
            </w:rPr>
            <w:t xml:space="preserve">/1/517 </w:t>
          </w:r>
          <w:r w:rsidRPr="00CD4258">
            <w:rPr>
              <w:rFonts w:ascii="David" w:hAnsi="David" w:cs="David" w:hint="eastAsia"/>
              <w:b/>
              <w:bCs/>
              <w:noProof/>
              <w:rtl/>
            </w:rPr>
            <w:t>בגין</w:t>
          </w:r>
          <w:r w:rsidRPr="00CD4258">
            <w:rPr>
              <w:rFonts w:ascii="David" w:hAnsi="David" w:cs="David"/>
              <w:b/>
              <w:bCs/>
              <w:noProof/>
              <w:rtl/>
            </w:rPr>
            <w:t xml:space="preserve"> </w:t>
          </w:r>
          <w:r w:rsidRPr="00CD4258">
            <w:rPr>
              <w:rFonts w:ascii="David" w:hAnsi="David" w:cs="David" w:hint="eastAsia"/>
              <w:b/>
              <w:bCs/>
              <w:noProof/>
              <w:rtl/>
            </w:rPr>
            <w:t>סיכון</w:t>
          </w:r>
          <w:r w:rsidRPr="00CD4258">
            <w:rPr>
              <w:rFonts w:ascii="David" w:hAnsi="David" w:cs="David"/>
              <w:b/>
              <w:bCs/>
              <w:noProof/>
              <w:rtl/>
            </w:rPr>
            <w:t xml:space="preserve"> </w:t>
          </w:r>
          <w:r w:rsidRPr="00CD4258">
            <w:rPr>
              <w:rFonts w:ascii="David" w:hAnsi="David" w:cs="David" w:hint="eastAsia"/>
              <w:b/>
              <w:bCs/>
              <w:noProof/>
              <w:rtl/>
            </w:rPr>
            <w:t>להתכלות</w:t>
          </w:r>
          <w:r w:rsidRPr="00CD4258">
            <w:rPr>
              <w:rFonts w:ascii="David" w:hAnsi="David" w:cs="David"/>
              <w:b/>
              <w:bCs/>
              <w:noProof/>
              <w:rtl/>
            </w:rPr>
            <w:t xml:space="preserve"> </w:t>
          </w:r>
          <w:r w:rsidRPr="00CD4258">
            <w:rPr>
              <w:rFonts w:ascii="David" w:hAnsi="David" w:cs="David" w:hint="eastAsia"/>
              <w:b/>
              <w:bCs/>
              <w:noProof/>
              <w:rtl/>
            </w:rPr>
            <w:t>התכנית</w:t>
          </w:r>
          <w:r w:rsidRPr="00CD4258">
            <w:rPr>
              <w:rFonts w:ascii="David" w:hAnsi="David" w:cs="David"/>
              <w:b/>
              <w:bCs/>
              <w:noProof/>
              <w:rtl/>
            </w:rPr>
            <w:t>.</w:t>
          </w:r>
          <w:r w:rsidRPr="00CD4258">
            <w:rPr>
              <w:rFonts w:ascii="David" w:hAnsi="David" w:cs="David"/>
              <w:b/>
              <w:bCs/>
              <w:noProof/>
              <w:rtl/>
            </w:rPr>
            <w:tab/>
          </w:r>
          <w:r w:rsidRPr="00CD4258">
            <w:rPr>
              <w:rFonts w:ascii="David" w:hAnsi="David" w:cs="David"/>
              <w:b/>
              <w:bCs/>
              <w:noProof/>
            </w:rPr>
            <w:fldChar w:fldCharType="begin"/>
          </w:r>
          <w:r w:rsidRPr="00CD4258">
            <w:rPr>
              <w:rFonts w:ascii="David" w:hAnsi="David" w:cs="David"/>
              <w:b/>
              <w:bCs/>
              <w:noProof/>
              <w:rtl/>
            </w:rPr>
            <w:instrText xml:space="preserve"> </w:instrText>
          </w:r>
          <w:r w:rsidRPr="00CD4258">
            <w:rPr>
              <w:rFonts w:ascii="David" w:hAnsi="David" w:cs="David"/>
              <w:b/>
              <w:bCs/>
              <w:noProof/>
            </w:rPr>
            <w:instrText>PAGEREF</w:instrText>
          </w:r>
          <w:r w:rsidRPr="00CD4258">
            <w:rPr>
              <w:rFonts w:ascii="David" w:hAnsi="David" w:cs="David"/>
              <w:b/>
              <w:bCs/>
              <w:noProof/>
              <w:rtl/>
            </w:rPr>
            <w:instrText xml:space="preserve"> _</w:instrText>
          </w:r>
          <w:r w:rsidRPr="00CD4258">
            <w:rPr>
              <w:rFonts w:ascii="David" w:hAnsi="David" w:cs="David"/>
              <w:b/>
              <w:bCs/>
              <w:noProof/>
            </w:rPr>
            <w:instrText>Toc204504396 \h</w:instrText>
          </w:r>
          <w:r w:rsidRPr="00CD4258">
            <w:rPr>
              <w:rFonts w:ascii="David" w:hAnsi="David" w:cs="David"/>
              <w:b/>
              <w:bCs/>
              <w:noProof/>
              <w:rtl/>
            </w:rPr>
            <w:instrText xml:space="preserve"> </w:instrText>
          </w:r>
          <w:r w:rsidRPr="00CD4258">
            <w:rPr>
              <w:rFonts w:ascii="David" w:hAnsi="David" w:cs="David"/>
              <w:b/>
              <w:bCs/>
              <w:noProof/>
            </w:rPr>
          </w:r>
          <w:r w:rsidRPr="00CD4258">
            <w:rPr>
              <w:rFonts w:ascii="David" w:hAnsi="David" w:cs="David"/>
              <w:b/>
              <w:bCs/>
              <w:noProof/>
            </w:rPr>
            <w:fldChar w:fldCharType="separate"/>
          </w:r>
          <w:r w:rsidR="00683F08">
            <w:rPr>
              <w:rFonts w:ascii="David" w:hAnsi="David" w:cs="David"/>
              <w:b/>
              <w:bCs/>
              <w:noProof/>
              <w:rtl/>
            </w:rPr>
            <w:t>34</w:t>
          </w:r>
          <w:r w:rsidRPr="00CD4258">
            <w:rPr>
              <w:rFonts w:ascii="David" w:hAnsi="David" w:cs="David"/>
              <w:b/>
              <w:bCs/>
              <w:noProof/>
            </w:rPr>
            <w:fldChar w:fldCharType="end"/>
          </w:r>
        </w:p>
        <w:p w:rsidR="00236F3C" w:rsidRPr="00CD4258" w:rsidRDefault="00236F3C">
          <w:pPr>
            <w:pStyle w:val="TOC2"/>
            <w:tabs>
              <w:tab w:val="right" w:leader="dot" w:pos="9204"/>
            </w:tabs>
            <w:rPr>
              <w:rFonts w:ascii="David" w:eastAsiaTheme="minorEastAsia" w:hAnsi="David" w:cs="David"/>
              <w:b/>
              <w:bCs/>
              <w:noProof/>
              <w:rtl/>
            </w:rPr>
          </w:pPr>
          <w:r w:rsidRPr="00CD4258">
            <w:rPr>
              <w:rFonts w:ascii="David" w:hAnsi="David" w:cs="David" w:hint="eastAsia"/>
              <w:b/>
              <w:bCs/>
              <w:noProof/>
              <w:rtl/>
            </w:rPr>
            <w:t>ג</w:t>
          </w:r>
          <w:r w:rsidRPr="00CD4258">
            <w:rPr>
              <w:rFonts w:ascii="David" w:hAnsi="David" w:cs="David"/>
              <w:b/>
              <w:bCs/>
              <w:noProof/>
              <w:rtl/>
            </w:rPr>
            <w:t xml:space="preserve">. </w:t>
          </w:r>
          <w:r w:rsidRPr="00CD4258">
            <w:rPr>
              <w:rFonts w:ascii="David" w:hAnsi="David" w:cs="David" w:hint="eastAsia"/>
              <w:b/>
              <w:bCs/>
              <w:noProof/>
              <w:rtl/>
            </w:rPr>
            <w:t>טעות</w:t>
          </w:r>
          <w:r w:rsidRPr="00CD4258">
            <w:rPr>
              <w:rFonts w:ascii="David" w:hAnsi="David" w:cs="David"/>
              <w:b/>
              <w:bCs/>
              <w:noProof/>
              <w:rtl/>
            </w:rPr>
            <w:t xml:space="preserve"> </w:t>
          </w:r>
          <w:r w:rsidRPr="00CD4258">
            <w:rPr>
              <w:rFonts w:ascii="David" w:hAnsi="David" w:cs="David" w:hint="eastAsia"/>
              <w:b/>
              <w:bCs/>
              <w:noProof/>
              <w:rtl/>
            </w:rPr>
            <w:t>באומדן</w:t>
          </w:r>
          <w:r w:rsidRPr="00CD4258">
            <w:rPr>
              <w:rFonts w:ascii="David" w:hAnsi="David" w:cs="David"/>
              <w:b/>
              <w:bCs/>
              <w:noProof/>
              <w:rtl/>
            </w:rPr>
            <w:t xml:space="preserve"> </w:t>
          </w:r>
          <w:r w:rsidRPr="00CD4258">
            <w:rPr>
              <w:rFonts w:ascii="David" w:hAnsi="David" w:cs="David" w:hint="eastAsia"/>
              <w:b/>
              <w:bCs/>
              <w:noProof/>
              <w:rtl/>
            </w:rPr>
            <w:t>המטלה</w:t>
          </w:r>
          <w:r w:rsidRPr="00CD4258">
            <w:rPr>
              <w:rFonts w:ascii="David" w:hAnsi="David" w:cs="David"/>
              <w:b/>
              <w:bCs/>
              <w:noProof/>
              <w:rtl/>
            </w:rPr>
            <w:t xml:space="preserve"> </w:t>
          </w:r>
          <w:r w:rsidRPr="00CD4258">
            <w:rPr>
              <w:rFonts w:ascii="David" w:hAnsi="David" w:cs="David" w:hint="eastAsia"/>
              <w:b/>
              <w:bCs/>
              <w:noProof/>
              <w:rtl/>
            </w:rPr>
            <w:t>הציבורית</w:t>
          </w:r>
          <w:r w:rsidRPr="00CD4258">
            <w:rPr>
              <w:rFonts w:ascii="David" w:hAnsi="David" w:cs="David"/>
              <w:b/>
              <w:bCs/>
              <w:noProof/>
              <w:rtl/>
            </w:rPr>
            <w:t xml:space="preserve"> </w:t>
          </w:r>
          <w:r w:rsidRPr="00CD4258">
            <w:rPr>
              <w:rFonts w:ascii="David" w:hAnsi="David" w:cs="David" w:hint="eastAsia"/>
              <w:b/>
              <w:bCs/>
              <w:noProof/>
              <w:rtl/>
            </w:rPr>
            <w:t>בניגוד</w:t>
          </w:r>
          <w:r w:rsidRPr="00CD4258">
            <w:rPr>
              <w:rFonts w:ascii="David" w:hAnsi="David" w:cs="David"/>
              <w:b/>
              <w:bCs/>
              <w:noProof/>
              <w:rtl/>
            </w:rPr>
            <w:t xml:space="preserve"> </w:t>
          </w:r>
          <w:r w:rsidRPr="00CD4258">
            <w:rPr>
              <w:rFonts w:ascii="David" w:hAnsi="David" w:cs="David" w:hint="eastAsia"/>
              <w:b/>
              <w:bCs/>
              <w:noProof/>
              <w:rtl/>
            </w:rPr>
            <w:t>לקבוע</w:t>
          </w:r>
          <w:r w:rsidRPr="00CD4258">
            <w:rPr>
              <w:rFonts w:ascii="David" w:hAnsi="David" w:cs="David"/>
              <w:b/>
              <w:bCs/>
              <w:noProof/>
              <w:rtl/>
            </w:rPr>
            <w:t xml:space="preserve"> </w:t>
          </w:r>
          <w:r w:rsidRPr="00CD4258">
            <w:rPr>
              <w:rFonts w:ascii="David" w:hAnsi="David" w:cs="David" w:hint="eastAsia"/>
              <w:b/>
              <w:bCs/>
              <w:noProof/>
              <w:rtl/>
            </w:rPr>
            <w:t>בהסכם</w:t>
          </w:r>
          <w:r w:rsidRPr="00CD4258">
            <w:rPr>
              <w:rFonts w:ascii="David" w:hAnsi="David" w:cs="David"/>
              <w:b/>
              <w:bCs/>
              <w:noProof/>
              <w:rtl/>
            </w:rPr>
            <w:t xml:space="preserve"> </w:t>
          </w:r>
          <w:r w:rsidRPr="00CD4258">
            <w:rPr>
              <w:rFonts w:ascii="David" w:hAnsi="David" w:cs="David" w:hint="eastAsia"/>
              <w:b/>
              <w:bCs/>
              <w:noProof/>
              <w:rtl/>
            </w:rPr>
            <w:t>הפיתוח</w:t>
          </w:r>
          <w:r w:rsidRPr="00CD4258">
            <w:rPr>
              <w:rFonts w:ascii="David" w:hAnsi="David" w:cs="David"/>
              <w:b/>
              <w:bCs/>
              <w:noProof/>
              <w:rtl/>
            </w:rPr>
            <w:t>.</w:t>
          </w:r>
          <w:r w:rsidRPr="00CD4258">
            <w:rPr>
              <w:rFonts w:ascii="David" w:hAnsi="David" w:cs="David"/>
              <w:b/>
              <w:bCs/>
              <w:noProof/>
              <w:rtl/>
            </w:rPr>
            <w:tab/>
          </w:r>
          <w:r w:rsidRPr="00CD4258">
            <w:rPr>
              <w:rFonts w:ascii="David" w:hAnsi="David" w:cs="David"/>
              <w:b/>
              <w:bCs/>
              <w:noProof/>
            </w:rPr>
            <w:fldChar w:fldCharType="begin"/>
          </w:r>
          <w:r w:rsidRPr="00CD4258">
            <w:rPr>
              <w:rFonts w:ascii="David" w:hAnsi="David" w:cs="David"/>
              <w:b/>
              <w:bCs/>
              <w:noProof/>
              <w:rtl/>
            </w:rPr>
            <w:instrText xml:space="preserve"> </w:instrText>
          </w:r>
          <w:r w:rsidRPr="00CD4258">
            <w:rPr>
              <w:rFonts w:ascii="David" w:hAnsi="David" w:cs="David"/>
              <w:b/>
              <w:bCs/>
              <w:noProof/>
            </w:rPr>
            <w:instrText>PAGEREF</w:instrText>
          </w:r>
          <w:r w:rsidRPr="00CD4258">
            <w:rPr>
              <w:rFonts w:ascii="David" w:hAnsi="David" w:cs="David"/>
              <w:b/>
              <w:bCs/>
              <w:noProof/>
              <w:rtl/>
            </w:rPr>
            <w:instrText xml:space="preserve"> _</w:instrText>
          </w:r>
          <w:r w:rsidRPr="00CD4258">
            <w:rPr>
              <w:rFonts w:ascii="David" w:hAnsi="David" w:cs="David"/>
              <w:b/>
              <w:bCs/>
              <w:noProof/>
            </w:rPr>
            <w:instrText>Toc204504397 \h</w:instrText>
          </w:r>
          <w:r w:rsidRPr="00CD4258">
            <w:rPr>
              <w:rFonts w:ascii="David" w:hAnsi="David" w:cs="David"/>
              <w:b/>
              <w:bCs/>
              <w:noProof/>
              <w:rtl/>
            </w:rPr>
            <w:instrText xml:space="preserve"> </w:instrText>
          </w:r>
          <w:r w:rsidRPr="00CD4258">
            <w:rPr>
              <w:rFonts w:ascii="David" w:hAnsi="David" w:cs="David"/>
              <w:b/>
              <w:bCs/>
              <w:noProof/>
            </w:rPr>
          </w:r>
          <w:r w:rsidRPr="00CD4258">
            <w:rPr>
              <w:rFonts w:ascii="David" w:hAnsi="David" w:cs="David"/>
              <w:b/>
              <w:bCs/>
              <w:noProof/>
            </w:rPr>
            <w:fldChar w:fldCharType="separate"/>
          </w:r>
          <w:r w:rsidR="00683F08">
            <w:rPr>
              <w:rFonts w:ascii="David" w:hAnsi="David" w:cs="David"/>
              <w:b/>
              <w:bCs/>
              <w:noProof/>
              <w:rtl/>
            </w:rPr>
            <w:t>40</w:t>
          </w:r>
          <w:r w:rsidRPr="00CD4258">
            <w:rPr>
              <w:rFonts w:ascii="David" w:hAnsi="David" w:cs="David"/>
              <w:b/>
              <w:bCs/>
              <w:noProof/>
            </w:rPr>
            <w:fldChar w:fldCharType="end"/>
          </w:r>
        </w:p>
        <w:p w:rsidR="00236F3C" w:rsidRPr="00CD4258" w:rsidRDefault="00236F3C">
          <w:pPr>
            <w:pStyle w:val="TOC2"/>
            <w:tabs>
              <w:tab w:val="right" w:leader="dot" w:pos="9204"/>
            </w:tabs>
            <w:rPr>
              <w:rFonts w:ascii="David" w:eastAsiaTheme="minorEastAsia" w:hAnsi="David" w:cs="David"/>
              <w:b/>
              <w:bCs/>
              <w:noProof/>
              <w:rtl/>
            </w:rPr>
          </w:pPr>
          <w:r w:rsidRPr="00CD4258">
            <w:rPr>
              <w:rFonts w:ascii="David" w:hAnsi="David" w:cs="David" w:hint="eastAsia"/>
              <w:b/>
              <w:bCs/>
              <w:noProof/>
              <w:rtl/>
            </w:rPr>
            <w:t>ד</w:t>
          </w:r>
          <w:r w:rsidRPr="00CD4258">
            <w:rPr>
              <w:rFonts w:ascii="David" w:hAnsi="David" w:cs="David"/>
              <w:b/>
              <w:bCs/>
              <w:noProof/>
              <w:rtl/>
            </w:rPr>
            <w:t xml:space="preserve">. </w:t>
          </w:r>
          <w:r w:rsidRPr="00CD4258">
            <w:rPr>
              <w:rFonts w:ascii="David" w:hAnsi="David" w:cs="David" w:hint="eastAsia"/>
              <w:b/>
              <w:bCs/>
              <w:noProof/>
              <w:rtl/>
            </w:rPr>
            <w:t>טעות</w:t>
          </w:r>
          <w:r w:rsidRPr="00CD4258">
            <w:rPr>
              <w:rFonts w:ascii="David" w:hAnsi="David" w:cs="David"/>
              <w:b/>
              <w:bCs/>
              <w:noProof/>
              <w:rtl/>
            </w:rPr>
            <w:t xml:space="preserve"> </w:t>
          </w:r>
          <w:r w:rsidRPr="00CD4258">
            <w:rPr>
              <w:rFonts w:ascii="David" w:hAnsi="David" w:cs="David" w:hint="eastAsia"/>
              <w:b/>
              <w:bCs/>
              <w:noProof/>
              <w:rtl/>
            </w:rPr>
            <w:t>בחישוב</w:t>
          </w:r>
          <w:r w:rsidRPr="00CD4258">
            <w:rPr>
              <w:rFonts w:ascii="David" w:hAnsi="David" w:cs="David"/>
              <w:b/>
              <w:bCs/>
              <w:noProof/>
              <w:rtl/>
            </w:rPr>
            <w:t xml:space="preserve"> </w:t>
          </w:r>
          <w:r w:rsidRPr="00CD4258">
            <w:rPr>
              <w:rFonts w:ascii="David" w:hAnsi="David" w:cs="David" w:hint="eastAsia"/>
              <w:b/>
              <w:bCs/>
              <w:noProof/>
              <w:rtl/>
            </w:rPr>
            <w:t>שווי</w:t>
          </w:r>
          <w:r w:rsidRPr="00CD4258">
            <w:rPr>
              <w:rFonts w:ascii="David" w:hAnsi="David" w:cs="David"/>
              <w:b/>
              <w:bCs/>
              <w:noProof/>
              <w:rtl/>
            </w:rPr>
            <w:t xml:space="preserve"> </w:t>
          </w:r>
          <w:r w:rsidRPr="00CD4258">
            <w:rPr>
              <w:rFonts w:ascii="David" w:hAnsi="David" w:cs="David" w:hint="eastAsia"/>
              <w:b/>
              <w:bCs/>
              <w:noProof/>
              <w:rtl/>
            </w:rPr>
            <w:t>הפטור</w:t>
          </w:r>
          <w:r w:rsidRPr="00CD4258">
            <w:rPr>
              <w:rFonts w:ascii="David" w:hAnsi="David" w:cs="David"/>
              <w:b/>
              <w:bCs/>
              <w:noProof/>
              <w:rtl/>
            </w:rPr>
            <w:t xml:space="preserve"> </w:t>
          </w:r>
          <w:r w:rsidRPr="00CD4258">
            <w:rPr>
              <w:rFonts w:ascii="David" w:hAnsi="David" w:cs="David" w:hint="eastAsia"/>
              <w:b/>
              <w:bCs/>
              <w:noProof/>
              <w:rtl/>
            </w:rPr>
            <w:t>בגין</w:t>
          </w:r>
          <w:r w:rsidRPr="00CD4258">
            <w:rPr>
              <w:rFonts w:ascii="David" w:hAnsi="David" w:cs="David"/>
              <w:b/>
              <w:bCs/>
              <w:noProof/>
              <w:rtl/>
            </w:rPr>
            <w:t xml:space="preserve"> </w:t>
          </w:r>
          <w:r w:rsidRPr="00CD4258">
            <w:rPr>
              <w:rFonts w:ascii="David" w:hAnsi="David" w:cs="David" w:hint="eastAsia"/>
              <w:b/>
              <w:bCs/>
              <w:noProof/>
              <w:rtl/>
            </w:rPr>
            <w:t>שיקום</w:t>
          </w:r>
          <w:r w:rsidRPr="00CD4258">
            <w:rPr>
              <w:rFonts w:ascii="David" w:hAnsi="David" w:cs="David"/>
              <w:b/>
              <w:bCs/>
              <w:noProof/>
              <w:rtl/>
            </w:rPr>
            <w:t xml:space="preserve"> </w:t>
          </w:r>
          <w:r w:rsidRPr="00CD4258">
            <w:rPr>
              <w:rFonts w:ascii="David" w:hAnsi="David" w:cs="David" w:hint="eastAsia"/>
              <w:b/>
              <w:bCs/>
              <w:noProof/>
              <w:rtl/>
            </w:rPr>
            <w:t>שכונות</w:t>
          </w:r>
          <w:r w:rsidRPr="00CD4258">
            <w:rPr>
              <w:rFonts w:ascii="David" w:hAnsi="David" w:cs="David"/>
              <w:b/>
              <w:bCs/>
              <w:noProof/>
              <w:rtl/>
            </w:rPr>
            <w:t xml:space="preserve"> </w:t>
          </w:r>
          <w:r w:rsidRPr="00CD4258">
            <w:rPr>
              <w:rFonts w:ascii="David" w:hAnsi="David" w:cs="David" w:hint="eastAsia"/>
              <w:b/>
              <w:bCs/>
              <w:noProof/>
              <w:rtl/>
            </w:rPr>
            <w:t>ללא</w:t>
          </w:r>
          <w:r w:rsidRPr="00CD4258">
            <w:rPr>
              <w:rFonts w:ascii="David" w:hAnsi="David" w:cs="David"/>
              <w:b/>
              <w:bCs/>
              <w:noProof/>
              <w:rtl/>
            </w:rPr>
            <w:t xml:space="preserve"> </w:t>
          </w:r>
          <w:r w:rsidRPr="00CD4258">
            <w:rPr>
              <w:rFonts w:ascii="David" w:hAnsi="David" w:cs="David" w:hint="eastAsia"/>
              <w:b/>
              <w:bCs/>
              <w:noProof/>
              <w:rtl/>
            </w:rPr>
            <w:t>מרכיב</w:t>
          </w:r>
          <w:r w:rsidRPr="00CD4258">
            <w:rPr>
              <w:rFonts w:ascii="David" w:hAnsi="David" w:cs="David"/>
              <w:b/>
              <w:bCs/>
              <w:noProof/>
              <w:rtl/>
            </w:rPr>
            <w:t xml:space="preserve"> </w:t>
          </w:r>
          <w:r w:rsidRPr="00CD4258">
            <w:rPr>
              <w:rFonts w:ascii="David" w:hAnsi="David" w:cs="David" w:hint="eastAsia"/>
              <w:b/>
              <w:bCs/>
              <w:noProof/>
              <w:rtl/>
            </w:rPr>
            <w:t>הממ</w:t>
          </w:r>
          <w:r w:rsidRPr="00CD4258">
            <w:rPr>
              <w:rFonts w:ascii="David" w:hAnsi="David" w:cs="David"/>
              <w:b/>
              <w:bCs/>
              <w:noProof/>
              <w:rtl/>
            </w:rPr>
            <w:t>"</w:t>
          </w:r>
          <w:r w:rsidRPr="00CD4258">
            <w:rPr>
              <w:rFonts w:ascii="David" w:hAnsi="David" w:cs="David" w:hint="eastAsia"/>
              <w:b/>
              <w:bCs/>
              <w:noProof/>
              <w:rtl/>
            </w:rPr>
            <w:t>דים</w:t>
          </w:r>
          <w:r w:rsidRPr="00CD4258">
            <w:rPr>
              <w:rFonts w:ascii="David" w:hAnsi="David" w:cs="David"/>
              <w:b/>
              <w:bCs/>
              <w:noProof/>
              <w:rtl/>
            </w:rPr>
            <w:t xml:space="preserve"> </w:t>
          </w:r>
          <w:r w:rsidRPr="00CD4258">
            <w:rPr>
              <w:rFonts w:ascii="David" w:hAnsi="David" w:cs="David" w:hint="eastAsia"/>
              <w:b/>
              <w:bCs/>
              <w:noProof/>
              <w:rtl/>
            </w:rPr>
            <w:t>באומדן</w:t>
          </w:r>
          <w:r w:rsidRPr="00CD4258">
            <w:rPr>
              <w:rFonts w:ascii="David" w:hAnsi="David" w:cs="David"/>
              <w:b/>
              <w:bCs/>
              <w:noProof/>
              <w:rtl/>
            </w:rPr>
            <w:t xml:space="preserve"> </w:t>
          </w:r>
          <w:r w:rsidRPr="00CD4258">
            <w:rPr>
              <w:rFonts w:ascii="David" w:hAnsi="David" w:cs="David" w:hint="eastAsia"/>
              <w:b/>
              <w:bCs/>
              <w:noProof/>
              <w:rtl/>
            </w:rPr>
            <w:t>השבחה</w:t>
          </w:r>
          <w:r w:rsidRPr="00CD4258">
            <w:rPr>
              <w:rFonts w:ascii="David" w:hAnsi="David" w:cs="David"/>
              <w:b/>
              <w:bCs/>
              <w:noProof/>
              <w:rtl/>
            </w:rPr>
            <w:t xml:space="preserve"> </w:t>
          </w:r>
          <w:r w:rsidRPr="00CD4258">
            <w:rPr>
              <w:rFonts w:ascii="David" w:hAnsi="David" w:cs="David" w:hint="eastAsia"/>
              <w:b/>
              <w:bCs/>
              <w:noProof/>
              <w:rtl/>
            </w:rPr>
            <w:t>בגין</w:t>
          </w:r>
          <w:r w:rsidRPr="00CD4258">
            <w:rPr>
              <w:rFonts w:ascii="David" w:hAnsi="David" w:cs="David"/>
              <w:b/>
              <w:bCs/>
              <w:noProof/>
              <w:rtl/>
            </w:rPr>
            <w:t xml:space="preserve"> </w:t>
          </w:r>
          <w:r w:rsidRPr="00CD4258">
            <w:rPr>
              <w:rFonts w:ascii="David" w:hAnsi="David" w:cs="David" w:hint="eastAsia"/>
              <w:b/>
              <w:bCs/>
              <w:noProof/>
              <w:rtl/>
            </w:rPr>
            <w:t>תכניות</w:t>
          </w:r>
          <w:r w:rsidRPr="00CD4258">
            <w:rPr>
              <w:rFonts w:ascii="David" w:hAnsi="David" w:cs="David"/>
              <w:b/>
              <w:bCs/>
              <w:noProof/>
              <w:rtl/>
            </w:rPr>
            <w:t xml:space="preserve"> </w:t>
          </w:r>
          <w:r w:rsidRPr="00CD4258">
            <w:rPr>
              <w:rFonts w:ascii="David" w:hAnsi="David" w:cs="David" w:hint="eastAsia"/>
              <w:b/>
              <w:bCs/>
              <w:noProof/>
              <w:rtl/>
            </w:rPr>
            <w:t>בי</w:t>
          </w:r>
          <w:r w:rsidRPr="00CD4258">
            <w:rPr>
              <w:rFonts w:ascii="David" w:hAnsi="David" w:cs="David"/>
              <w:b/>
              <w:bCs/>
              <w:noProof/>
              <w:rtl/>
            </w:rPr>
            <w:t xml:space="preserve">/517, </w:t>
          </w:r>
          <w:r w:rsidRPr="00CD4258">
            <w:rPr>
              <w:rFonts w:ascii="David" w:hAnsi="David" w:cs="David" w:hint="eastAsia"/>
              <w:b/>
              <w:bCs/>
              <w:noProof/>
              <w:rtl/>
            </w:rPr>
            <w:t>בי</w:t>
          </w:r>
          <w:r w:rsidRPr="00CD4258">
            <w:rPr>
              <w:rFonts w:ascii="David" w:hAnsi="David" w:cs="David"/>
              <w:b/>
              <w:bCs/>
              <w:noProof/>
              <w:rtl/>
            </w:rPr>
            <w:t xml:space="preserve">/1/517, </w:t>
          </w:r>
          <w:r w:rsidRPr="00CD4258">
            <w:rPr>
              <w:rFonts w:ascii="David" w:hAnsi="David" w:cs="David" w:hint="eastAsia"/>
              <w:b/>
              <w:bCs/>
              <w:noProof/>
              <w:rtl/>
            </w:rPr>
            <w:t>והקלות</w:t>
          </w:r>
          <w:r w:rsidRPr="00CD4258">
            <w:rPr>
              <w:rFonts w:ascii="David" w:hAnsi="David" w:cs="David"/>
              <w:b/>
              <w:bCs/>
              <w:noProof/>
              <w:rtl/>
            </w:rPr>
            <w:t>.</w:t>
          </w:r>
          <w:r w:rsidRPr="00CD4258">
            <w:rPr>
              <w:rFonts w:ascii="David" w:hAnsi="David" w:cs="David"/>
              <w:b/>
              <w:bCs/>
              <w:noProof/>
              <w:rtl/>
            </w:rPr>
            <w:tab/>
          </w:r>
          <w:r w:rsidRPr="00CD4258">
            <w:rPr>
              <w:rFonts w:ascii="David" w:hAnsi="David" w:cs="David"/>
              <w:b/>
              <w:bCs/>
              <w:noProof/>
            </w:rPr>
            <w:fldChar w:fldCharType="begin"/>
          </w:r>
          <w:r w:rsidRPr="00CD4258">
            <w:rPr>
              <w:rFonts w:ascii="David" w:hAnsi="David" w:cs="David"/>
              <w:b/>
              <w:bCs/>
              <w:noProof/>
              <w:rtl/>
            </w:rPr>
            <w:instrText xml:space="preserve"> </w:instrText>
          </w:r>
          <w:r w:rsidRPr="00CD4258">
            <w:rPr>
              <w:rFonts w:ascii="David" w:hAnsi="David" w:cs="David"/>
              <w:b/>
              <w:bCs/>
              <w:noProof/>
            </w:rPr>
            <w:instrText>PAGEREF</w:instrText>
          </w:r>
          <w:r w:rsidRPr="00CD4258">
            <w:rPr>
              <w:rFonts w:ascii="David" w:hAnsi="David" w:cs="David"/>
              <w:b/>
              <w:bCs/>
              <w:noProof/>
              <w:rtl/>
            </w:rPr>
            <w:instrText xml:space="preserve"> _</w:instrText>
          </w:r>
          <w:r w:rsidRPr="00CD4258">
            <w:rPr>
              <w:rFonts w:ascii="David" w:hAnsi="David" w:cs="David"/>
              <w:b/>
              <w:bCs/>
              <w:noProof/>
            </w:rPr>
            <w:instrText>Toc204504398 \h</w:instrText>
          </w:r>
          <w:r w:rsidRPr="00CD4258">
            <w:rPr>
              <w:rFonts w:ascii="David" w:hAnsi="David" w:cs="David"/>
              <w:b/>
              <w:bCs/>
              <w:noProof/>
              <w:rtl/>
            </w:rPr>
            <w:instrText xml:space="preserve"> </w:instrText>
          </w:r>
          <w:r w:rsidRPr="00CD4258">
            <w:rPr>
              <w:rFonts w:ascii="David" w:hAnsi="David" w:cs="David"/>
              <w:b/>
              <w:bCs/>
              <w:noProof/>
            </w:rPr>
          </w:r>
          <w:r w:rsidRPr="00CD4258">
            <w:rPr>
              <w:rFonts w:ascii="David" w:hAnsi="David" w:cs="David"/>
              <w:b/>
              <w:bCs/>
              <w:noProof/>
            </w:rPr>
            <w:fldChar w:fldCharType="separate"/>
          </w:r>
          <w:r w:rsidR="00683F08">
            <w:rPr>
              <w:rFonts w:ascii="David" w:hAnsi="David" w:cs="David"/>
              <w:b/>
              <w:bCs/>
              <w:noProof/>
              <w:rtl/>
            </w:rPr>
            <w:t>42</w:t>
          </w:r>
          <w:r w:rsidRPr="00CD4258">
            <w:rPr>
              <w:rFonts w:ascii="David" w:hAnsi="David" w:cs="David"/>
              <w:b/>
              <w:bCs/>
              <w:noProof/>
            </w:rPr>
            <w:fldChar w:fldCharType="end"/>
          </w:r>
        </w:p>
        <w:p w:rsidR="00236F3C" w:rsidRPr="00CD4258" w:rsidRDefault="00236F3C">
          <w:pPr>
            <w:pStyle w:val="TOC1"/>
            <w:rPr>
              <w:rFonts w:eastAsiaTheme="minorEastAsia"/>
              <w:b/>
              <w:bCs/>
              <w:rtl/>
            </w:rPr>
          </w:pPr>
          <w:r w:rsidRPr="00CD4258">
            <w:rPr>
              <w:rFonts w:hint="eastAsia"/>
              <w:b/>
              <w:bCs/>
              <w:rtl/>
            </w:rPr>
            <w:t>עררי</w:t>
          </w:r>
          <w:r w:rsidRPr="00CD4258">
            <w:rPr>
              <w:b/>
              <w:bCs/>
              <w:rtl/>
            </w:rPr>
            <w:t xml:space="preserve"> </w:t>
          </w:r>
          <w:r w:rsidRPr="00CD4258">
            <w:rPr>
              <w:rFonts w:hint="eastAsia"/>
              <w:b/>
              <w:bCs/>
              <w:rtl/>
            </w:rPr>
            <w:t>החברה</w:t>
          </w:r>
          <w:r w:rsidRPr="00CD4258">
            <w:rPr>
              <w:b/>
              <w:bCs/>
              <w:rtl/>
            </w:rPr>
            <w:t xml:space="preserve"> 86010/0223+86009/0223</w:t>
          </w:r>
          <w:r w:rsidRPr="00CD4258">
            <w:rPr>
              <w:b/>
              <w:bCs/>
              <w:rtl/>
            </w:rPr>
            <w:tab/>
          </w:r>
          <w:r w:rsidRPr="00CD4258">
            <w:rPr>
              <w:b/>
              <w:bCs/>
            </w:rPr>
            <w:fldChar w:fldCharType="begin"/>
          </w:r>
          <w:r w:rsidRPr="00CD4258">
            <w:rPr>
              <w:b/>
              <w:bCs/>
              <w:rtl/>
            </w:rPr>
            <w:instrText xml:space="preserve"> </w:instrText>
          </w:r>
          <w:r w:rsidRPr="00CD4258">
            <w:rPr>
              <w:b/>
              <w:bCs/>
            </w:rPr>
            <w:instrText>PAGEREF</w:instrText>
          </w:r>
          <w:r w:rsidRPr="00CD4258">
            <w:rPr>
              <w:b/>
              <w:bCs/>
              <w:rtl/>
            </w:rPr>
            <w:instrText xml:space="preserve"> _</w:instrText>
          </w:r>
          <w:r w:rsidRPr="00CD4258">
            <w:rPr>
              <w:b/>
              <w:bCs/>
            </w:rPr>
            <w:instrText>Toc204504399 \h</w:instrText>
          </w:r>
          <w:r w:rsidRPr="00CD4258">
            <w:rPr>
              <w:b/>
              <w:bCs/>
              <w:rtl/>
            </w:rPr>
            <w:instrText xml:space="preserve"> </w:instrText>
          </w:r>
          <w:r w:rsidRPr="00CD4258">
            <w:rPr>
              <w:b/>
              <w:bCs/>
            </w:rPr>
          </w:r>
          <w:r w:rsidRPr="00CD4258">
            <w:rPr>
              <w:b/>
              <w:bCs/>
            </w:rPr>
            <w:fldChar w:fldCharType="separate"/>
          </w:r>
          <w:r w:rsidR="00683F08">
            <w:rPr>
              <w:b/>
              <w:bCs/>
              <w:rtl/>
            </w:rPr>
            <w:t>46</w:t>
          </w:r>
          <w:r w:rsidRPr="00CD4258">
            <w:rPr>
              <w:b/>
              <w:bCs/>
            </w:rPr>
            <w:fldChar w:fldCharType="end"/>
          </w:r>
        </w:p>
        <w:p w:rsidR="00236F3C" w:rsidRPr="00CD4258" w:rsidRDefault="00236F3C">
          <w:pPr>
            <w:pStyle w:val="TOC2"/>
            <w:tabs>
              <w:tab w:val="right" w:leader="dot" w:pos="9204"/>
            </w:tabs>
            <w:rPr>
              <w:rFonts w:ascii="David" w:eastAsiaTheme="minorEastAsia" w:hAnsi="David" w:cs="David"/>
              <w:b/>
              <w:bCs/>
              <w:noProof/>
              <w:rtl/>
            </w:rPr>
          </w:pPr>
          <w:r w:rsidRPr="00CD4258">
            <w:rPr>
              <w:rFonts w:ascii="David" w:hAnsi="David" w:cs="David" w:hint="eastAsia"/>
              <w:b/>
              <w:bCs/>
              <w:noProof/>
              <w:rtl/>
            </w:rPr>
            <w:t>א</w:t>
          </w:r>
          <w:r w:rsidRPr="00CD4258">
            <w:rPr>
              <w:rFonts w:ascii="David" w:hAnsi="David" w:cs="David"/>
              <w:b/>
              <w:bCs/>
              <w:noProof/>
              <w:rtl/>
            </w:rPr>
            <w:t xml:space="preserve">. </w:t>
          </w:r>
          <w:r w:rsidRPr="00CD4258">
            <w:rPr>
              <w:rFonts w:ascii="David" w:hAnsi="David" w:cs="David" w:hint="eastAsia"/>
              <w:b/>
              <w:bCs/>
              <w:noProof/>
              <w:rtl/>
            </w:rPr>
            <w:t>השומות</w:t>
          </w:r>
          <w:r w:rsidRPr="00CD4258">
            <w:rPr>
              <w:rFonts w:ascii="David" w:hAnsi="David" w:cs="David"/>
              <w:b/>
              <w:bCs/>
              <w:noProof/>
              <w:rtl/>
            </w:rPr>
            <w:t xml:space="preserve"> </w:t>
          </w:r>
          <w:r w:rsidRPr="00CD4258">
            <w:rPr>
              <w:rFonts w:ascii="David" w:hAnsi="David" w:cs="David" w:hint="eastAsia"/>
              <w:b/>
              <w:bCs/>
              <w:noProof/>
              <w:rtl/>
            </w:rPr>
            <w:t>המכריעות</w:t>
          </w:r>
          <w:r w:rsidRPr="00CD4258">
            <w:rPr>
              <w:rFonts w:ascii="David" w:hAnsi="David" w:cs="David"/>
              <w:b/>
              <w:bCs/>
              <w:noProof/>
              <w:rtl/>
            </w:rPr>
            <w:t xml:space="preserve"> </w:t>
          </w:r>
          <w:r w:rsidRPr="00CD4258">
            <w:rPr>
              <w:rFonts w:ascii="David" w:hAnsi="David" w:cs="David" w:hint="eastAsia"/>
              <w:b/>
              <w:bCs/>
              <w:noProof/>
              <w:rtl/>
            </w:rPr>
            <w:t>לוקות</w:t>
          </w:r>
          <w:r w:rsidRPr="00CD4258">
            <w:rPr>
              <w:rFonts w:ascii="David" w:hAnsi="David" w:cs="David"/>
              <w:b/>
              <w:bCs/>
              <w:noProof/>
              <w:rtl/>
            </w:rPr>
            <w:t xml:space="preserve"> </w:t>
          </w:r>
          <w:r w:rsidRPr="00CD4258">
            <w:rPr>
              <w:rFonts w:ascii="David" w:hAnsi="David" w:cs="David" w:hint="eastAsia"/>
              <w:b/>
              <w:bCs/>
              <w:noProof/>
              <w:rtl/>
            </w:rPr>
            <w:t>בחוסר</w:t>
          </w:r>
          <w:r w:rsidRPr="00CD4258">
            <w:rPr>
              <w:rFonts w:ascii="David" w:hAnsi="David" w:cs="David"/>
              <w:b/>
              <w:bCs/>
              <w:noProof/>
              <w:rtl/>
            </w:rPr>
            <w:t xml:space="preserve"> </w:t>
          </w:r>
          <w:r w:rsidRPr="00CD4258">
            <w:rPr>
              <w:rFonts w:ascii="David" w:hAnsi="David" w:cs="David" w:hint="eastAsia"/>
              <w:b/>
              <w:bCs/>
              <w:noProof/>
              <w:rtl/>
            </w:rPr>
            <w:t>סבירות</w:t>
          </w:r>
          <w:r w:rsidRPr="00CD4258">
            <w:rPr>
              <w:rFonts w:ascii="David" w:hAnsi="David" w:cs="David"/>
              <w:b/>
              <w:bCs/>
              <w:noProof/>
              <w:rtl/>
            </w:rPr>
            <w:t xml:space="preserve"> </w:t>
          </w:r>
          <w:r w:rsidRPr="00CD4258">
            <w:rPr>
              <w:rFonts w:ascii="David" w:hAnsi="David" w:cs="David" w:hint="eastAsia"/>
              <w:b/>
              <w:bCs/>
              <w:noProof/>
              <w:rtl/>
            </w:rPr>
            <w:t>קיצוני</w:t>
          </w:r>
          <w:r w:rsidRPr="00CD4258">
            <w:rPr>
              <w:rFonts w:ascii="David" w:hAnsi="David" w:cs="David"/>
              <w:b/>
              <w:bCs/>
              <w:noProof/>
              <w:rtl/>
            </w:rPr>
            <w:tab/>
          </w:r>
          <w:r w:rsidRPr="00CD4258">
            <w:rPr>
              <w:rFonts w:ascii="David" w:hAnsi="David" w:cs="David"/>
              <w:b/>
              <w:bCs/>
              <w:noProof/>
            </w:rPr>
            <w:fldChar w:fldCharType="begin"/>
          </w:r>
          <w:r w:rsidRPr="00CD4258">
            <w:rPr>
              <w:rFonts w:ascii="David" w:hAnsi="David" w:cs="David"/>
              <w:b/>
              <w:bCs/>
              <w:noProof/>
              <w:rtl/>
            </w:rPr>
            <w:instrText xml:space="preserve"> </w:instrText>
          </w:r>
          <w:r w:rsidRPr="00CD4258">
            <w:rPr>
              <w:rFonts w:ascii="David" w:hAnsi="David" w:cs="David"/>
              <w:b/>
              <w:bCs/>
              <w:noProof/>
            </w:rPr>
            <w:instrText>PAGEREF</w:instrText>
          </w:r>
          <w:r w:rsidRPr="00CD4258">
            <w:rPr>
              <w:rFonts w:ascii="David" w:hAnsi="David" w:cs="David"/>
              <w:b/>
              <w:bCs/>
              <w:noProof/>
              <w:rtl/>
            </w:rPr>
            <w:instrText xml:space="preserve"> _</w:instrText>
          </w:r>
          <w:r w:rsidRPr="00CD4258">
            <w:rPr>
              <w:rFonts w:ascii="David" w:hAnsi="David" w:cs="David"/>
              <w:b/>
              <w:bCs/>
              <w:noProof/>
            </w:rPr>
            <w:instrText>Toc204504400 \h</w:instrText>
          </w:r>
          <w:r w:rsidRPr="00CD4258">
            <w:rPr>
              <w:rFonts w:ascii="David" w:hAnsi="David" w:cs="David"/>
              <w:b/>
              <w:bCs/>
              <w:noProof/>
              <w:rtl/>
            </w:rPr>
            <w:instrText xml:space="preserve"> </w:instrText>
          </w:r>
          <w:r w:rsidRPr="00CD4258">
            <w:rPr>
              <w:rFonts w:ascii="David" w:hAnsi="David" w:cs="David"/>
              <w:b/>
              <w:bCs/>
              <w:noProof/>
            </w:rPr>
          </w:r>
          <w:r w:rsidRPr="00CD4258">
            <w:rPr>
              <w:rFonts w:ascii="David" w:hAnsi="David" w:cs="David"/>
              <w:b/>
              <w:bCs/>
              <w:noProof/>
            </w:rPr>
            <w:fldChar w:fldCharType="separate"/>
          </w:r>
          <w:r w:rsidR="00683F08">
            <w:rPr>
              <w:rFonts w:ascii="David" w:hAnsi="David" w:cs="David"/>
              <w:b/>
              <w:bCs/>
              <w:noProof/>
              <w:rtl/>
            </w:rPr>
            <w:t>46</w:t>
          </w:r>
          <w:r w:rsidRPr="00CD4258">
            <w:rPr>
              <w:rFonts w:ascii="David" w:hAnsi="David" w:cs="David"/>
              <w:b/>
              <w:bCs/>
              <w:noProof/>
            </w:rPr>
            <w:fldChar w:fldCharType="end"/>
          </w:r>
        </w:p>
        <w:p w:rsidR="00236F3C" w:rsidRPr="00CD4258" w:rsidRDefault="00236F3C">
          <w:pPr>
            <w:pStyle w:val="TOC2"/>
            <w:tabs>
              <w:tab w:val="right" w:leader="dot" w:pos="9204"/>
            </w:tabs>
            <w:rPr>
              <w:rFonts w:ascii="David" w:eastAsiaTheme="minorEastAsia" w:hAnsi="David" w:cs="David"/>
              <w:b/>
              <w:bCs/>
              <w:noProof/>
              <w:rtl/>
            </w:rPr>
          </w:pPr>
          <w:r w:rsidRPr="00CD4258">
            <w:rPr>
              <w:rFonts w:ascii="David" w:hAnsi="David" w:cs="David" w:hint="eastAsia"/>
              <w:b/>
              <w:bCs/>
              <w:noProof/>
              <w:rtl/>
            </w:rPr>
            <w:t>ב</w:t>
          </w:r>
          <w:r w:rsidRPr="00CD4258">
            <w:rPr>
              <w:rFonts w:ascii="David" w:hAnsi="David" w:cs="David"/>
              <w:b/>
              <w:bCs/>
              <w:noProof/>
              <w:rtl/>
            </w:rPr>
            <w:t xml:space="preserve">. </w:t>
          </w:r>
          <w:r w:rsidRPr="00CD4258">
            <w:rPr>
              <w:rFonts w:ascii="David" w:hAnsi="David" w:cs="David" w:hint="eastAsia"/>
              <w:b/>
              <w:bCs/>
              <w:noProof/>
              <w:rtl/>
            </w:rPr>
            <w:t>שווי</w:t>
          </w:r>
          <w:r w:rsidRPr="00CD4258">
            <w:rPr>
              <w:rFonts w:ascii="David" w:hAnsi="David" w:cs="David"/>
              <w:b/>
              <w:bCs/>
              <w:noProof/>
              <w:rtl/>
            </w:rPr>
            <w:t xml:space="preserve"> </w:t>
          </w:r>
          <w:r w:rsidRPr="00CD4258">
            <w:rPr>
              <w:rFonts w:ascii="David" w:hAnsi="David" w:cs="David" w:hint="eastAsia"/>
              <w:b/>
              <w:bCs/>
              <w:noProof/>
              <w:rtl/>
            </w:rPr>
            <w:t>מצב</w:t>
          </w:r>
          <w:r w:rsidRPr="00CD4258">
            <w:rPr>
              <w:rFonts w:ascii="David" w:hAnsi="David" w:cs="David"/>
              <w:b/>
              <w:bCs/>
              <w:noProof/>
              <w:rtl/>
            </w:rPr>
            <w:t xml:space="preserve"> </w:t>
          </w:r>
          <w:r w:rsidRPr="00CD4258">
            <w:rPr>
              <w:rFonts w:ascii="David" w:hAnsi="David" w:cs="David" w:hint="eastAsia"/>
              <w:b/>
              <w:bCs/>
              <w:noProof/>
              <w:rtl/>
            </w:rPr>
            <w:t>קודם</w:t>
          </w:r>
          <w:r w:rsidRPr="00CD4258">
            <w:rPr>
              <w:rFonts w:ascii="David" w:hAnsi="David" w:cs="David"/>
              <w:b/>
              <w:bCs/>
              <w:noProof/>
              <w:rtl/>
            </w:rPr>
            <w:t xml:space="preserve"> </w:t>
          </w:r>
          <w:r w:rsidRPr="00CD4258">
            <w:rPr>
              <w:rFonts w:ascii="David" w:hAnsi="David" w:cs="David" w:hint="eastAsia"/>
              <w:b/>
              <w:bCs/>
              <w:noProof/>
              <w:rtl/>
            </w:rPr>
            <w:t>בשומות</w:t>
          </w:r>
          <w:r w:rsidRPr="00CD4258">
            <w:rPr>
              <w:rFonts w:ascii="David" w:hAnsi="David" w:cs="David"/>
              <w:b/>
              <w:bCs/>
              <w:noProof/>
              <w:rtl/>
            </w:rPr>
            <w:t xml:space="preserve"> </w:t>
          </w:r>
          <w:r w:rsidRPr="00CD4258">
            <w:rPr>
              <w:rFonts w:ascii="David" w:hAnsi="David" w:cs="David" w:hint="eastAsia"/>
              <w:b/>
              <w:bCs/>
              <w:noProof/>
              <w:rtl/>
            </w:rPr>
            <w:t>המכריעות</w:t>
          </w:r>
          <w:r w:rsidRPr="00CD4258">
            <w:rPr>
              <w:rFonts w:ascii="David" w:hAnsi="David" w:cs="David"/>
              <w:b/>
              <w:bCs/>
              <w:noProof/>
              <w:rtl/>
            </w:rPr>
            <w:t xml:space="preserve"> </w:t>
          </w:r>
          <w:r w:rsidRPr="00CD4258">
            <w:rPr>
              <w:rFonts w:ascii="David" w:hAnsi="David" w:cs="David" w:hint="eastAsia"/>
              <w:b/>
              <w:bCs/>
              <w:noProof/>
              <w:rtl/>
            </w:rPr>
            <w:t>נמוך</w:t>
          </w:r>
          <w:r w:rsidRPr="00CD4258">
            <w:rPr>
              <w:rFonts w:ascii="David" w:hAnsi="David" w:cs="David"/>
              <w:b/>
              <w:bCs/>
              <w:noProof/>
              <w:rtl/>
            </w:rPr>
            <w:t xml:space="preserve"> </w:t>
          </w:r>
          <w:r w:rsidRPr="00CD4258">
            <w:rPr>
              <w:rFonts w:ascii="David" w:hAnsi="David" w:cs="David" w:hint="eastAsia"/>
              <w:b/>
              <w:bCs/>
              <w:noProof/>
              <w:rtl/>
            </w:rPr>
            <w:t>באופן</w:t>
          </w:r>
          <w:r w:rsidRPr="00CD4258">
            <w:rPr>
              <w:rFonts w:ascii="David" w:hAnsi="David" w:cs="David"/>
              <w:b/>
              <w:bCs/>
              <w:noProof/>
              <w:rtl/>
            </w:rPr>
            <w:t xml:space="preserve"> </w:t>
          </w:r>
          <w:r w:rsidRPr="00CD4258">
            <w:rPr>
              <w:rFonts w:ascii="David" w:hAnsi="David" w:cs="David" w:hint="eastAsia"/>
              <w:b/>
              <w:bCs/>
              <w:noProof/>
              <w:rtl/>
            </w:rPr>
            <w:t>קיצוני</w:t>
          </w:r>
          <w:r w:rsidRPr="00CD4258">
            <w:rPr>
              <w:rFonts w:ascii="David" w:hAnsi="David" w:cs="David"/>
              <w:b/>
              <w:bCs/>
              <w:noProof/>
              <w:rtl/>
            </w:rPr>
            <w:tab/>
          </w:r>
          <w:r w:rsidRPr="00CD4258">
            <w:rPr>
              <w:rFonts w:ascii="David" w:hAnsi="David" w:cs="David"/>
              <w:b/>
              <w:bCs/>
              <w:noProof/>
            </w:rPr>
            <w:fldChar w:fldCharType="begin"/>
          </w:r>
          <w:r w:rsidRPr="00CD4258">
            <w:rPr>
              <w:rFonts w:ascii="David" w:hAnsi="David" w:cs="David"/>
              <w:b/>
              <w:bCs/>
              <w:noProof/>
              <w:rtl/>
            </w:rPr>
            <w:instrText xml:space="preserve"> </w:instrText>
          </w:r>
          <w:r w:rsidRPr="00CD4258">
            <w:rPr>
              <w:rFonts w:ascii="David" w:hAnsi="David" w:cs="David"/>
              <w:b/>
              <w:bCs/>
              <w:noProof/>
            </w:rPr>
            <w:instrText>PAGEREF</w:instrText>
          </w:r>
          <w:r w:rsidRPr="00CD4258">
            <w:rPr>
              <w:rFonts w:ascii="David" w:hAnsi="David" w:cs="David"/>
              <w:b/>
              <w:bCs/>
              <w:noProof/>
              <w:rtl/>
            </w:rPr>
            <w:instrText xml:space="preserve"> _</w:instrText>
          </w:r>
          <w:r w:rsidRPr="00CD4258">
            <w:rPr>
              <w:rFonts w:ascii="David" w:hAnsi="David" w:cs="David"/>
              <w:b/>
              <w:bCs/>
              <w:noProof/>
            </w:rPr>
            <w:instrText>Toc204504401 \h</w:instrText>
          </w:r>
          <w:r w:rsidRPr="00CD4258">
            <w:rPr>
              <w:rFonts w:ascii="David" w:hAnsi="David" w:cs="David"/>
              <w:b/>
              <w:bCs/>
              <w:noProof/>
              <w:rtl/>
            </w:rPr>
            <w:instrText xml:space="preserve"> </w:instrText>
          </w:r>
          <w:r w:rsidRPr="00CD4258">
            <w:rPr>
              <w:rFonts w:ascii="David" w:hAnsi="David" w:cs="David"/>
              <w:b/>
              <w:bCs/>
              <w:noProof/>
            </w:rPr>
          </w:r>
          <w:r w:rsidRPr="00CD4258">
            <w:rPr>
              <w:rFonts w:ascii="David" w:hAnsi="David" w:cs="David"/>
              <w:b/>
              <w:bCs/>
              <w:noProof/>
            </w:rPr>
            <w:fldChar w:fldCharType="separate"/>
          </w:r>
          <w:r w:rsidR="00683F08">
            <w:rPr>
              <w:rFonts w:ascii="David" w:hAnsi="David" w:cs="David"/>
              <w:b/>
              <w:bCs/>
              <w:noProof/>
              <w:rtl/>
            </w:rPr>
            <w:t>52</w:t>
          </w:r>
          <w:r w:rsidRPr="00CD4258">
            <w:rPr>
              <w:rFonts w:ascii="David" w:hAnsi="David" w:cs="David"/>
              <w:b/>
              <w:bCs/>
              <w:noProof/>
            </w:rPr>
            <w:fldChar w:fldCharType="end"/>
          </w:r>
        </w:p>
        <w:p w:rsidR="00236F3C" w:rsidRPr="00CD4258" w:rsidRDefault="00236F3C">
          <w:pPr>
            <w:pStyle w:val="TOC2"/>
            <w:tabs>
              <w:tab w:val="right" w:leader="dot" w:pos="9204"/>
            </w:tabs>
            <w:rPr>
              <w:rFonts w:ascii="David" w:eastAsiaTheme="minorEastAsia" w:hAnsi="David" w:cs="David"/>
              <w:b/>
              <w:bCs/>
              <w:noProof/>
              <w:rtl/>
            </w:rPr>
          </w:pPr>
          <w:r w:rsidRPr="00CD4258">
            <w:rPr>
              <w:rFonts w:ascii="David" w:hAnsi="David" w:cs="David" w:hint="eastAsia"/>
              <w:b/>
              <w:bCs/>
              <w:noProof/>
              <w:rtl/>
            </w:rPr>
            <w:t>ג</w:t>
          </w:r>
          <w:r w:rsidRPr="00CD4258">
            <w:rPr>
              <w:rFonts w:ascii="David" w:hAnsi="David" w:cs="David"/>
              <w:b/>
              <w:bCs/>
              <w:noProof/>
              <w:rtl/>
            </w:rPr>
            <w:t xml:space="preserve">. </w:t>
          </w:r>
          <w:r w:rsidRPr="00CD4258">
            <w:rPr>
              <w:rFonts w:ascii="David" w:hAnsi="David" w:cs="David" w:hint="eastAsia"/>
              <w:b/>
              <w:bCs/>
              <w:noProof/>
              <w:rtl/>
            </w:rPr>
            <w:t>שאלת</w:t>
          </w:r>
          <w:r w:rsidRPr="00CD4258">
            <w:rPr>
              <w:rFonts w:ascii="David" w:hAnsi="David" w:cs="David"/>
              <w:b/>
              <w:bCs/>
              <w:noProof/>
              <w:rtl/>
            </w:rPr>
            <w:t xml:space="preserve"> </w:t>
          </w:r>
          <w:r w:rsidRPr="00CD4258">
            <w:rPr>
              <w:rFonts w:ascii="David" w:hAnsi="David" w:cs="David" w:hint="eastAsia"/>
              <w:b/>
              <w:bCs/>
              <w:noProof/>
              <w:rtl/>
            </w:rPr>
            <w:t>התחשבות</w:t>
          </w:r>
          <w:r w:rsidRPr="00CD4258">
            <w:rPr>
              <w:rFonts w:ascii="David" w:hAnsi="David" w:cs="David"/>
              <w:b/>
              <w:bCs/>
              <w:noProof/>
              <w:rtl/>
            </w:rPr>
            <w:t xml:space="preserve"> </w:t>
          </w:r>
          <w:r w:rsidRPr="00CD4258">
            <w:rPr>
              <w:rFonts w:ascii="David" w:hAnsi="David" w:cs="David" w:hint="eastAsia"/>
              <w:b/>
              <w:bCs/>
              <w:noProof/>
              <w:rtl/>
            </w:rPr>
            <w:t>בתמ</w:t>
          </w:r>
          <w:r w:rsidRPr="00CD4258">
            <w:rPr>
              <w:rFonts w:ascii="David" w:hAnsi="David" w:cs="David"/>
              <w:b/>
              <w:bCs/>
              <w:noProof/>
              <w:rtl/>
            </w:rPr>
            <w:t>"</w:t>
          </w:r>
          <w:r w:rsidRPr="00CD4258">
            <w:rPr>
              <w:rFonts w:ascii="David" w:hAnsi="David" w:cs="David" w:hint="eastAsia"/>
              <w:b/>
              <w:bCs/>
              <w:noProof/>
              <w:rtl/>
            </w:rPr>
            <w:t>א</w:t>
          </w:r>
          <w:r w:rsidRPr="00CD4258">
            <w:rPr>
              <w:rFonts w:ascii="David" w:hAnsi="David" w:cs="David"/>
              <w:b/>
              <w:bCs/>
              <w:noProof/>
              <w:rtl/>
            </w:rPr>
            <w:t xml:space="preserve"> 38 </w:t>
          </w:r>
          <w:r w:rsidRPr="00CD4258">
            <w:rPr>
              <w:rFonts w:ascii="David" w:hAnsi="David" w:cs="David" w:hint="eastAsia"/>
              <w:b/>
              <w:bCs/>
              <w:noProof/>
              <w:rtl/>
            </w:rPr>
            <w:t>במצב</w:t>
          </w:r>
          <w:r w:rsidRPr="00CD4258">
            <w:rPr>
              <w:rFonts w:ascii="David" w:hAnsi="David" w:cs="David"/>
              <w:b/>
              <w:bCs/>
              <w:noProof/>
              <w:rtl/>
            </w:rPr>
            <w:t xml:space="preserve"> </w:t>
          </w:r>
          <w:r w:rsidRPr="00CD4258">
            <w:rPr>
              <w:rFonts w:ascii="David" w:hAnsi="David" w:cs="David" w:hint="eastAsia"/>
              <w:b/>
              <w:bCs/>
              <w:noProof/>
              <w:rtl/>
            </w:rPr>
            <w:t>קודם</w:t>
          </w:r>
          <w:r w:rsidRPr="00CD4258">
            <w:rPr>
              <w:rFonts w:ascii="David" w:hAnsi="David" w:cs="David"/>
              <w:b/>
              <w:bCs/>
              <w:noProof/>
              <w:rtl/>
            </w:rPr>
            <w:tab/>
          </w:r>
          <w:r w:rsidRPr="00CD4258">
            <w:rPr>
              <w:rFonts w:ascii="David" w:hAnsi="David" w:cs="David"/>
              <w:b/>
              <w:bCs/>
              <w:noProof/>
            </w:rPr>
            <w:fldChar w:fldCharType="begin"/>
          </w:r>
          <w:r w:rsidRPr="00CD4258">
            <w:rPr>
              <w:rFonts w:ascii="David" w:hAnsi="David" w:cs="David"/>
              <w:b/>
              <w:bCs/>
              <w:noProof/>
              <w:rtl/>
            </w:rPr>
            <w:instrText xml:space="preserve"> </w:instrText>
          </w:r>
          <w:r w:rsidRPr="00CD4258">
            <w:rPr>
              <w:rFonts w:ascii="David" w:hAnsi="David" w:cs="David"/>
              <w:b/>
              <w:bCs/>
              <w:noProof/>
            </w:rPr>
            <w:instrText>PAGEREF</w:instrText>
          </w:r>
          <w:r w:rsidRPr="00CD4258">
            <w:rPr>
              <w:rFonts w:ascii="David" w:hAnsi="David" w:cs="David"/>
              <w:b/>
              <w:bCs/>
              <w:noProof/>
              <w:rtl/>
            </w:rPr>
            <w:instrText xml:space="preserve"> _</w:instrText>
          </w:r>
          <w:r w:rsidRPr="00CD4258">
            <w:rPr>
              <w:rFonts w:ascii="David" w:hAnsi="David" w:cs="David"/>
              <w:b/>
              <w:bCs/>
              <w:noProof/>
            </w:rPr>
            <w:instrText>Toc204504402 \h</w:instrText>
          </w:r>
          <w:r w:rsidRPr="00CD4258">
            <w:rPr>
              <w:rFonts w:ascii="David" w:hAnsi="David" w:cs="David"/>
              <w:b/>
              <w:bCs/>
              <w:noProof/>
              <w:rtl/>
            </w:rPr>
            <w:instrText xml:space="preserve"> </w:instrText>
          </w:r>
          <w:r w:rsidRPr="00CD4258">
            <w:rPr>
              <w:rFonts w:ascii="David" w:hAnsi="David" w:cs="David"/>
              <w:b/>
              <w:bCs/>
              <w:noProof/>
            </w:rPr>
          </w:r>
          <w:r w:rsidRPr="00CD4258">
            <w:rPr>
              <w:rFonts w:ascii="David" w:hAnsi="David" w:cs="David"/>
              <w:b/>
              <w:bCs/>
              <w:noProof/>
            </w:rPr>
            <w:fldChar w:fldCharType="separate"/>
          </w:r>
          <w:r w:rsidR="00683F08">
            <w:rPr>
              <w:rFonts w:ascii="David" w:hAnsi="David" w:cs="David"/>
              <w:b/>
              <w:bCs/>
              <w:noProof/>
              <w:rtl/>
            </w:rPr>
            <w:t>57</w:t>
          </w:r>
          <w:r w:rsidRPr="00CD4258">
            <w:rPr>
              <w:rFonts w:ascii="David" w:hAnsi="David" w:cs="David"/>
              <w:b/>
              <w:bCs/>
              <w:noProof/>
            </w:rPr>
            <w:fldChar w:fldCharType="end"/>
          </w:r>
        </w:p>
        <w:p w:rsidR="00236F3C" w:rsidRPr="00CD4258" w:rsidRDefault="00236F3C">
          <w:pPr>
            <w:pStyle w:val="TOC2"/>
            <w:tabs>
              <w:tab w:val="right" w:leader="dot" w:pos="9204"/>
            </w:tabs>
            <w:rPr>
              <w:rFonts w:ascii="David" w:eastAsiaTheme="minorEastAsia" w:hAnsi="David" w:cs="David"/>
              <w:b/>
              <w:bCs/>
              <w:noProof/>
              <w:rtl/>
            </w:rPr>
          </w:pPr>
          <w:r w:rsidRPr="00CD4258">
            <w:rPr>
              <w:rFonts w:ascii="David" w:hAnsi="David" w:cs="David" w:hint="eastAsia"/>
              <w:b/>
              <w:bCs/>
              <w:noProof/>
              <w:rtl/>
            </w:rPr>
            <w:t>ד</w:t>
          </w:r>
          <w:r w:rsidRPr="00CD4258">
            <w:rPr>
              <w:rFonts w:ascii="David" w:hAnsi="David" w:cs="David"/>
              <w:b/>
              <w:bCs/>
              <w:noProof/>
              <w:rtl/>
            </w:rPr>
            <w:t xml:space="preserve">. </w:t>
          </w:r>
          <w:r w:rsidRPr="00CD4258">
            <w:rPr>
              <w:rFonts w:ascii="David" w:hAnsi="David" w:cs="David" w:hint="eastAsia"/>
              <w:b/>
              <w:bCs/>
              <w:noProof/>
              <w:rtl/>
            </w:rPr>
            <w:t>שגגה</w:t>
          </w:r>
          <w:r w:rsidRPr="00CD4258">
            <w:rPr>
              <w:rFonts w:ascii="David" w:hAnsi="David" w:cs="David"/>
              <w:b/>
              <w:bCs/>
              <w:noProof/>
              <w:rtl/>
            </w:rPr>
            <w:t xml:space="preserve"> </w:t>
          </w:r>
          <w:r w:rsidRPr="00CD4258">
            <w:rPr>
              <w:rFonts w:ascii="David" w:hAnsi="David" w:cs="David" w:hint="eastAsia"/>
              <w:b/>
              <w:bCs/>
              <w:noProof/>
              <w:rtl/>
            </w:rPr>
            <w:t>באי</w:t>
          </w:r>
          <w:r w:rsidRPr="00CD4258">
            <w:rPr>
              <w:rFonts w:ascii="David" w:hAnsi="David" w:cs="David"/>
              <w:b/>
              <w:bCs/>
              <w:noProof/>
              <w:rtl/>
            </w:rPr>
            <w:t xml:space="preserve"> </w:t>
          </w:r>
          <w:r w:rsidRPr="00CD4258">
            <w:rPr>
              <w:rFonts w:ascii="David" w:hAnsi="David" w:cs="David" w:hint="eastAsia"/>
              <w:b/>
              <w:bCs/>
              <w:noProof/>
              <w:rtl/>
            </w:rPr>
            <w:t>התחשבות</w:t>
          </w:r>
          <w:r w:rsidRPr="00CD4258">
            <w:rPr>
              <w:rFonts w:ascii="David" w:hAnsi="David" w:cs="David"/>
              <w:b/>
              <w:bCs/>
              <w:noProof/>
              <w:rtl/>
            </w:rPr>
            <w:t xml:space="preserve"> </w:t>
          </w:r>
          <w:r w:rsidRPr="00CD4258">
            <w:rPr>
              <w:rFonts w:ascii="David" w:hAnsi="David" w:cs="David" w:hint="eastAsia"/>
              <w:b/>
              <w:bCs/>
              <w:noProof/>
              <w:rtl/>
            </w:rPr>
            <w:t>במקדם</w:t>
          </w:r>
          <w:r w:rsidRPr="00CD4258">
            <w:rPr>
              <w:rFonts w:ascii="David" w:hAnsi="David" w:cs="David"/>
              <w:b/>
              <w:bCs/>
              <w:noProof/>
              <w:rtl/>
            </w:rPr>
            <w:t xml:space="preserve"> </w:t>
          </w:r>
          <w:r w:rsidRPr="00CD4258">
            <w:rPr>
              <w:rFonts w:ascii="David" w:hAnsi="David" w:cs="David" w:hint="eastAsia"/>
              <w:b/>
              <w:bCs/>
              <w:noProof/>
              <w:rtl/>
            </w:rPr>
            <w:t>מושע</w:t>
          </w:r>
          <w:r w:rsidRPr="00CD4258">
            <w:rPr>
              <w:rFonts w:ascii="David" w:hAnsi="David" w:cs="David"/>
              <w:b/>
              <w:bCs/>
              <w:noProof/>
              <w:rtl/>
            </w:rPr>
            <w:t xml:space="preserve"> </w:t>
          </w:r>
          <w:r w:rsidRPr="00CD4258">
            <w:rPr>
              <w:rFonts w:ascii="David" w:hAnsi="David" w:cs="David" w:hint="eastAsia"/>
              <w:b/>
              <w:bCs/>
              <w:noProof/>
              <w:rtl/>
            </w:rPr>
            <w:t>במצב</w:t>
          </w:r>
          <w:r w:rsidRPr="00CD4258">
            <w:rPr>
              <w:rFonts w:ascii="David" w:hAnsi="David" w:cs="David"/>
              <w:b/>
              <w:bCs/>
              <w:noProof/>
              <w:rtl/>
            </w:rPr>
            <w:t xml:space="preserve"> </w:t>
          </w:r>
          <w:r w:rsidRPr="00CD4258">
            <w:rPr>
              <w:rFonts w:ascii="David" w:hAnsi="David" w:cs="David" w:hint="eastAsia"/>
              <w:b/>
              <w:bCs/>
              <w:noProof/>
              <w:rtl/>
            </w:rPr>
            <w:t>החדש</w:t>
          </w:r>
          <w:r w:rsidRPr="00CD4258">
            <w:rPr>
              <w:rFonts w:ascii="David" w:hAnsi="David" w:cs="David"/>
              <w:b/>
              <w:bCs/>
              <w:noProof/>
              <w:rtl/>
            </w:rPr>
            <w:t xml:space="preserve"> </w:t>
          </w:r>
          <w:r w:rsidRPr="00CD4258">
            <w:rPr>
              <w:rFonts w:ascii="David" w:hAnsi="David" w:cs="David" w:hint="eastAsia"/>
              <w:b/>
              <w:bCs/>
              <w:noProof/>
              <w:rtl/>
            </w:rPr>
            <w:t>לתכנית</w:t>
          </w:r>
          <w:r w:rsidRPr="00CD4258">
            <w:rPr>
              <w:rFonts w:ascii="David" w:hAnsi="David" w:cs="David"/>
              <w:b/>
              <w:bCs/>
              <w:noProof/>
              <w:rtl/>
            </w:rPr>
            <w:t xml:space="preserve"> </w:t>
          </w:r>
          <w:r w:rsidRPr="00CD4258">
            <w:rPr>
              <w:rFonts w:ascii="David" w:hAnsi="David" w:cs="David" w:hint="eastAsia"/>
              <w:b/>
              <w:bCs/>
              <w:noProof/>
              <w:rtl/>
            </w:rPr>
            <w:t>בי</w:t>
          </w:r>
          <w:r w:rsidRPr="00CD4258">
            <w:rPr>
              <w:rFonts w:ascii="David" w:hAnsi="David" w:cs="David"/>
              <w:b/>
              <w:bCs/>
              <w:noProof/>
              <w:rtl/>
            </w:rPr>
            <w:t xml:space="preserve">/517 </w:t>
          </w:r>
          <w:r w:rsidRPr="00CD4258">
            <w:rPr>
              <w:rFonts w:ascii="David" w:hAnsi="David" w:cs="David" w:hint="eastAsia"/>
              <w:b/>
              <w:bCs/>
              <w:noProof/>
              <w:rtl/>
            </w:rPr>
            <w:t>ושגגה</w:t>
          </w:r>
          <w:r w:rsidRPr="00CD4258">
            <w:rPr>
              <w:rFonts w:ascii="David" w:hAnsi="David" w:cs="David"/>
              <w:b/>
              <w:bCs/>
              <w:noProof/>
              <w:rtl/>
            </w:rPr>
            <w:t xml:space="preserve"> </w:t>
          </w:r>
          <w:r w:rsidRPr="00CD4258">
            <w:rPr>
              <w:rFonts w:ascii="David" w:hAnsi="David" w:cs="David" w:hint="eastAsia"/>
              <w:b/>
              <w:bCs/>
              <w:noProof/>
              <w:rtl/>
            </w:rPr>
            <w:t>בקביעת</w:t>
          </w:r>
          <w:r w:rsidRPr="00CD4258">
            <w:rPr>
              <w:rFonts w:ascii="David" w:hAnsi="David" w:cs="David"/>
              <w:b/>
              <w:bCs/>
              <w:noProof/>
              <w:rtl/>
            </w:rPr>
            <w:t xml:space="preserve"> </w:t>
          </w:r>
          <w:r w:rsidRPr="00CD4258">
            <w:rPr>
              <w:rFonts w:ascii="David" w:hAnsi="David" w:cs="David" w:hint="eastAsia"/>
              <w:b/>
              <w:bCs/>
              <w:noProof/>
              <w:rtl/>
            </w:rPr>
            <w:t>מקדם</w:t>
          </w:r>
          <w:r w:rsidRPr="00CD4258">
            <w:rPr>
              <w:rFonts w:ascii="David" w:hAnsi="David" w:cs="David"/>
              <w:b/>
              <w:bCs/>
              <w:noProof/>
              <w:rtl/>
            </w:rPr>
            <w:t xml:space="preserve"> </w:t>
          </w:r>
          <w:r w:rsidRPr="00CD4258">
            <w:rPr>
              <w:rFonts w:ascii="David" w:hAnsi="David" w:cs="David" w:hint="eastAsia"/>
              <w:b/>
              <w:bCs/>
              <w:noProof/>
              <w:rtl/>
            </w:rPr>
            <w:t>דחייה</w:t>
          </w:r>
          <w:r w:rsidRPr="00CD4258">
            <w:rPr>
              <w:rFonts w:ascii="David" w:hAnsi="David" w:cs="David"/>
              <w:b/>
              <w:bCs/>
              <w:noProof/>
              <w:rtl/>
            </w:rPr>
            <w:t xml:space="preserve"> </w:t>
          </w:r>
          <w:r w:rsidRPr="00CD4258">
            <w:rPr>
              <w:rFonts w:ascii="David" w:hAnsi="David" w:cs="David" w:hint="eastAsia"/>
              <w:b/>
              <w:bCs/>
              <w:noProof/>
              <w:rtl/>
            </w:rPr>
            <w:t>לתכנית</w:t>
          </w:r>
          <w:r w:rsidRPr="00CD4258">
            <w:rPr>
              <w:rFonts w:ascii="David" w:hAnsi="David" w:cs="David"/>
              <w:b/>
              <w:bCs/>
              <w:noProof/>
              <w:rtl/>
            </w:rPr>
            <w:t xml:space="preserve"> </w:t>
          </w:r>
          <w:r w:rsidRPr="00CD4258">
            <w:rPr>
              <w:rFonts w:ascii="David" w:hAnsi="David" w:cs="David" w:hint="eastAsia"/>
              <w:b/>
              <w:bCs/>
              <w:noProof/>
              <w:rtl/>
            </w:rPr>
            <w:t>בי</w:t>
          </w:r>
          <w:r w:rsidRPr="00CD4258">
            <w:rPr>
              <w:rFonts w:ascii="David" w:hAnsi="David" w:cs="David"/>
              <w:b/>
              <w:bCs/>
              <w:noProof/>
              <w:rtl/>
            </w:rPr>
            <w:t>/517</w:t>
          </w:r>
          <w:r w:rsidRPr="00CD4258">
            <w:rPr>
              <w:rFonts w:ascii="David" w:hAnsi="David" w:cs="David"/>
              <w:b/>
              <w:bCs/>
              <w:noProof/>
              <w:rtl/>
            </w:rPr>
            <w:tab/>
          </w:r>
          <w:r w:rsidRPr="00CD4258">
            <w:rPr>
              <w:rFonts w:ascii="David" w:hAnsi="David" w:cs="David"/>
              <w:b/>
              <w:bCs/>
              <w:noProof/>
            </w:rPr>
            <w:fldChar w:fldCharType="begin"/>
          </w:r>
          <w:r w:rsidRPr="00CD4258">
            <w:rPr>
              <w:rFonts w:ascii="David" w:hAnsi="David" w:cs="David"/>
              <w:b/>
              <w:bCs/>
              <w:noProof/>
              <w:rtl/>
            </w:rPr>
            <w:instrText xml:space="preserve"> </w:instrText>
          </w:r>
          <w:r w:rsidRPr="00CD4258">
            <w:rPr>
              <w:rFonts w:ascii="David" w:hAnsi="David" w:cs="David"/>
              <w:b/>
              <w:bCs/>
              <w:noProof/>
            </w:rPr>
            <w:instrText>PAGEREF</w:instrText>
          </w:r>
          <w:r w:rsidRPr="00CD4258">
            <w:rPr>
              <w:rFonts w:ascii="David" w:hAnsi="David" w:cs="David"/>
              <w:b/>
              <w:bCs/>
              <w:noProof/>
              <w:rtl/>
            </w:rPr>
            <w:instrText xml:space="preserve"> _</w:instrText>
          </w:r>
          <w:r w:rsidRPr="00CD4258">
            <w:rPr>
              <w:rFonts w:ascii="David" w:hAnsi="David" w:cs="David"/>
              <w:b/>
              <w:bCs/>
              <w:noProof/>
            </w:rPr>
            <w:instrText>Toc204504403 \h</w:instrText>
          </w:r>
          <w:r w:rsidRPr="00CD4258">
            <w:rPr>
              <w:rFonts w:ascii="David" w:hAnsi="David" w:cs="David"/>
              <w:b/>
              <w:bCs/>
              <w:noProof/>
              <w:rtl/>
            </w:rPr>
            <w:instrText xml:space="preserve"> </w:instrText>
          </w:r>
          <w:r w:rsidRPr="00CD4258">
            <w:rPr>
              <w:rFonts w:ascii="David" w:hAnsi="David" w:cs="David"/>
              <w:b/>
              <w:bCs/>
              <w:noProof/>
            </w:rPr>
          </w:r>
          <w:r w:rsidRPr="00CD4258">
            <w:rPr>
              <w:rFonts w:ascii="David" w:hAnsi="David" w:cs="David"/>
              <w:b/>
              <w:bCs/>
              <w:noProof/>
            </w:rPr>
            <w:fldChar w:fldCharType="separate"/>
          </w:r>
          <w:r w:rsidR="00683F08">
            <w:rPr>
              <w:rFonts w:ascii="David" w:hAnsi="David" w:cs="David"/>
              <w:b/>
              <w:bCs/>
              <w:noProof/>
              <w:rtl/>
            </w:rPr>
            <w:t>64</w:t>
          </w:r>
          <w:r w:rsidRPr="00CD4258">
            <w:rPr>
              <w:rFonts w:ascii="David" w:hAnsi="David" w:cs="David"/>
              <w:b/>
              <w:bCs/>
              <w:noProof/>
            </w:rPr>
            <w:fldChar w:fldCharType="end"/>
          </w:r>
        </w:p>
        <w:p w:rsidR="00236F3C" w:rsidRPr="00CD4258" w:rsidRDefault="00236F3C">
          <w:pPr>
            <w:pStyle w:val="TOC2"/>
            <w:tabs>
              <w:tab w:val="right" w:leader="dot" w:pos="9204"/>
            </w:tabs>
            <w:rPr>
              <w:rFonts w:ascii="David" w:eastAsiaTheme="minorEastAsia" w:hAnsi="David" w:cs="David"/>
              <w:b/>
              <w:bCs/>
              <w:noProof/>
              <w:rtl/>
            </w:rPr>
          </w:pPr>
          <w:r w:rsidRPr="00CD4258">
            <w:rPr>
              <w:rFonts w:ascii="David" w:hAnsi="David" w:cs="David" w:hint="eastAsia"/>
              <w:b/>
              <w:bCs/>
              <w:noProof/>
              <w:rtl/>
            </w:rPr>
            <w:t>ה</w:t>
          </w:r>
          <w:r w:rsidRPr="00CD4258">
            <w:rPr>
              <w:rFonts w:ascii="David" w:hAnsi="David" w:cs="David"/>
              <w:b/>
              <w:bCs/>
              <w:noProof/>
              <w:rtl/>
            </w:rPr>
            <w:t xml:space="preserve">. </w:t>
          </w:r>
          <w:r w:rsidRPr="00CD4258">
            <w:rPr>
              <w:rFonts w:ascii="David" w:hAnsi="David" w:cs="David" w:hint="eastAsia"/>
              <w:b/>
              <w:bCs/>
              <w:noProof/>
              <w:rtl/>
            </w:rPr>
            <w:t>קיזוז</w:t>
          </w:r>
          <w:r w:rsidRPr="00CD4258">
            <w:rPr>
              <w:rFonts w:ascii="David" w:hAnsi="David" w:cs="David"/>
              <w:b/>
              <w:bCs/>
              <w:noProof/>
              <w:rtl/>
            </w:rPr>
            <w:t xml:space="preserve"> </w:t>
          </w:r>
          <w:r w:rsidRPr="00CD4258">
            <w:rPr>
              <w:rFonts w:ascii="David" w:hAnsi="David" w:cs="David" w:hint="eastAsia"/>
              <w:b/>
              <w:bCs/>
              <w:noProof/>
              <w:rtl/>
            </w:rPr>
            <w:t>החלק</w:t>
          </w:r>
          <w:r w:rsidRPr="00CD4258">
            <w:rPr>
              <w:rFonts w:ascii="David" w:hAnsi="David" w:cs="David"/>
              <w:b/>
              <w:bCs/>
              <w:noProof/>
              <w:rtl/>
            </w:rPr>
            <w:t xml:space="preserve"> </w:t>
          </w:r>
          <w:r w:rsidRPr="00CD4258">
            <w:rPr>
              <w:rFonts w:ascii="David" w:hAnsi="David" w:cs="David" w:hint="eastAsia"/>
              <w:b/>
              <w:bCs/>
              <w:noProof/>
              <w:rtl/>
            </w:rPr>
            <w:t>היחסי</w:t>
          </w:r>
          <w:r w:rsidRPr="00CD4258">
            <w:rPr>
              <w:rFonts w:ascii="David" w:hAnsi="David" w:cs="David"/>
              <w:b/>
              <w:bCs/>
              <w:noProof/>
              <w:rtl/>
            </w:rPr>
            <w:t xml:space="preserve"> </w:t>
          </w:r>
          <w:r w:rsidRPr="00CD4258">
            <w:rPr>
              <w:rFonts w:ascii="David" w:hAnsi="David" w:cs="David" w:hint="eastAsia"/>
              <w:b/>
              <w:bCs/>
              <w:noProof/>
              <w:rtl/>
            </w:rPr>
            <w:t>שמומש</w:t>
          </w:r>
          <w:r w:rsidRPr="00CD4258">
            <w:rPr>
              <w:rFonts w:ascii="David" w:hAnsi="David" w:cs="David"/>
              <w:b/>
              <w:bCs/>
              <w:noProof/>
              <w:rtl/>
            </w:rPr>
            <w:t xml:space="preserve"> </w:t>
          </w:r>
          <w:r w:rsidRPr="00CD4258">
            <w:rPr>
              <w:rFonts w:ascii="David" w:hAnsi="David" w:cs="David" w:hint="eastAsia"/>
              <w:b/>
              <w:bCs/>
              <w:noProof/>
              <w:rtl/>
            </w:rPr>
            <w:t>בעבר</w:t>
          </w:r>
          <w:r w:rsidRPr="00CD4258">
            <w:rPr>
              <w:rFonts w:ascii="David" w:hAnsi="David" w:cs="David"/>
              <w:b/>
              <w:bCs/>
              <w:noProof/>
              <w:rtl/>
            </w:rPr>
            <w:t xml:space="preserve"> </w:t>
          </w:r>
          <w:r w:rsidRPr="00CD4258">
            <w:rPr>
              <w:rFonts w:ascii="David" w:hAnsi="David" w:cs="David" w:hint="eastAsia"/>
              <w:b/>
              <w:bCs/>
              <w:noProof/>
              <w:rtl/>
            </w:rPr>
            <w:t>בדרך</w:t>
          </w:r>
          <w:r w:rsidRPr="00CD4258">
            <w:rPr>
              <w:rFonts w:ascii="David" w:hAnsi="David" w:cs="David"/>
              <w:b/>
              <w:bCs/>
              <w:noProof/>
              <w:rtl/>
            </w:rPr>
            <w:t xml:space="preserve"> </w:t>
          </w:r>
          <w:r w:rsidRPr="00CD4258">
            <w:rPr>
              <w:rFonts w:ascii="David" w:hAnsi="David" w:cs="David" w:hint="eastAsia"/>
              <w:b/>
              <w:bCs/>
              <w:noProof/>
              <w:rtl/>
            </w:rPr>
            <w:t>של</w:t>
          </w:r>
          <w:r w:rsidRPr="00CD4258">
            <w:rPr>
              <w:rFonts w:ascii="David" w:hAnsi="David" w:cs="David"/>
              <w:b/>
              <w:bCs/>
              <w:noProof/>
              <w:rtl/>
            </w:rPr>
            <w:t xml:space="preserve"> </w:t>
          </w:r>
          <w:r w:rsidRPr="00CD4258">
            <w:rPr>
              <w:rFonts w:ascii="David" w:hAnsi="David" w:cs="David" w:hint="eastAsia"/>
              <w:b/>
              <w:bCs/>
              <w:noProof/>
              <w:rtl/>
            </w:rPr>
            <w:t>מכר</w:t>
          </w:r>
          <w:r w:rsidRPr="00CD4258">
            <w:rPr>
              <w:rFonts w:ascii="David" w:hAnsi="David" w:cs="David"/>
              <w:b/>
              <w:bCs/>
              <w:noProof/>
              <w:rtl/>
            </w:rPr>
            <w:tab/>
          </w:r>
          <w:r w:rsidRPr="00CD4258">
            <w:rPr>
              <w:rFonts w:ascii="David" w:hAnsi="David" w:cs="David"/>
              <w:b/>
              <w:bCs/>
              <w:noProof/>
            </w:rPr>
            <w:fldChar w:fldCharType="begin"/>
          </w:r>
          <w:r w:rsidRPr="00CD4258">
            <w:rPr>
              <w:rFonts w:ascii="David" w:hAnsi="David" w:cs="David"/>
              <w:b/>
              <w:bCs/>
              <w:noProof/>
              <w:rtl/>
            </w:rPr>
            <w:instrText xml:space="preserve"> </w:instrText>
          </w:r>
          <w:r w:rsidRPr="00CD4258">
            <w:rPr>
              <w:rFonts w:ascii="David" w:hAnsi="David" w:cs="David"/>
              <w:b/>
              <w:bCs/>
              <w:noProof/>
            </w:rPr>
            <w:instrText>PAGEREF</w:instrText>
          </w:r>
          <w:r w:rsidRPr="00CD4258">
            <w:rPr>
              <w:rFonts w:ascii="David" w:hAnsi="David" w:cs="David"/>
              <w:b/>
              <w:bCs/>
              <w:noProof/>
              <w:rtl/>
            </w:rPr>
            <w:instrText xml:space="preserve"> _</w:instrText>
          </w:r>
          <w:r w:rsidRPr="00CD4258">
            <w:rPr>
              <w:rFonts w:ascii="David" w:hAnsi="David" w:cs="David"/>
              <w:b/>
              <w:bCs/>
              <w:noProof/>
            </w:rPr>
            <w:instrText>Toc204504404 \h</w:instrText>
          </w:r>
          <w:r w:rsidRPr="00CD4258">
            <w:rPr>
              <w:rFonts w:ascii="David" w:hAnsi="David" w:cs="David"/>
              <w:b/>
              <w:bCs/>
              <w:noProof/>
              <w:rtl/>
            </w:rPr>
            <w:instrText xml:space="preserve"> </w:instrText>
          </w:r>
          <w:r w:rsidRPr="00CD4258">
            <w:rPr>
              <w:rFonts w:ascii="David" w:hAnsi="David" w:cs="David"/>
              <w:b/>
              <w:bCs/>
              <w:noProof/>
            </w:rPr>
          </w:r>
          <w:r w:rsidRPr="00CD4258">
            <w:rPr>
              <w:rFonts w:ascii="David" w:hAnsi="David" w:cs="David"/>
              <w:b/>
              <w:bCs/>
              <w:noProof/>
            </w:rPr>
            <w:fldChar w:fldCharType="separate"/>
          </w:r>
          <w:r w:rsidR="00683F08">
            <w:rPr>
              <w:rFonts w:ascii="David" w:hAnsi="David" w:cs="David"/>
              <w:b/>
              <w:bCs/>
              <w:noProof/>
              <w:rtl/>
            </w:rPr>
            <w:t>67</w:t>
          </w:r>
          <w:r w:rsidRPr="00CD4258">
            <w:rPr>
              <w:rFonts w:ascii="David" w:hAnsi="David" w:cs="David"/>
              <w:b/>
              <w:bCs/>
              <w:noProof/>
            </w:rPr>
            <w:fldChar w:fldCharType="end"/>
          </w:r>
        </w:p>
        <w:p w:rsidR="00236F3C" w:rsidRPr="00CD4258" w:rsidRDefault="00236F3C">
          <w:pPr>
            <w:pStyle w:val="TOC2"/>
            <w:tabs>
              <w:tab w:val="right" w:leader="dot" w:pos="9204"/>
            </w:tabs>
            <w:rPr>
              <w:rFonts w:ascii="David" w:eastAsiaTheme="minorEastAsia" w:hAnsi="David" w:cs="David"/>
              <w:b/>
              <w:bCs/>
              <w:noProof/>
              <w:rtl/>
            </w:rPr>
          </w:pPr>
          <w:r w:rsidRPr="00CD4258">
            <w:rPr>
              <w:rFonts w:ascii="David" w:hAnsi="David" w:cs="David" w:hint="eastAsia"/>
              <w:b/>
              <w:bCs/>
              <w:noProof/>
              <w:rtl/>
            </w:rPr>
            <w:t>ו</w:t>
          </w:r>
          <w:r w:rsidRPr="00CD4258">
            <w:rPr>
              <w:rFonts w:ascii="David" w:hAnsi="David" w:cs="David"/>
              <w:b/>
              <w:bCs/>
              <w:noProof/>
              <w:rtl/>
            </w:rPr>
            <w:t xml:space="preserve">. </w:t>
          </w:r>
          <w:r w:rsidRPr="00CD4258">
            <w:rPr>
              <w:rFonts w:ascii="David" w:hAnsi="David" w:cs="David" w:hint="eastAsia"/>
              <w:b/>
              <w:bCs/>
              <w:noProof/>
              <w:rtl/>
            </w:rPr>
            <w:t>ריבית</w:t>
          </w:r>
          <w:r w:rsidRPr="00CD4258">
            <w:rPr>
              <w:rFonts w:ascii="David" w:hAnsi="David" w:cs="David"/>
              <w:b/>
              <w:bCs/>
              <w:noProof/>
              <w:rtl/>
            </w:rPr>
            <w:t xml:space="preserve"> </w:t>
          </w:r>
          <w:r w:rsidRPr="00CD4258">
            <w:rPr>
              <w:rFonts w:ascii="David" w:hAnsi="David" w:cs="David" w:hint="eastAsia"/>
              <w:b/>
              <w:bCs/>
              <w:noProof/>
              <w:rtl/>
            </w:rPr>
            <w:t>פיגורים</w:t>
          </w:r>
          <w:r w:rsidRPr="00CD4258">
            <w:rPr>
              <w:rFonts w:ascii="David" w:hAnsi="David" w:cs="David"/>
              <w:b/>
              <w:bCs/>
              <w:noProof/>
              <w:rtl/>
            </w:rPr>
            <w:tab/>
          </w:r>
          <w:r w:rsidRPr="00CD4258">
            <w:rPr>
              <w:rFonts w:ascii="David" w:hAnsi="David" w:cs="David"/>
              <w:b/>
              <w:bCs/>
              <w:noProof/>
            </w:rPr>
            <w:fldChar w:fldCharType="begin"/>
          </w:r>
          <w:r w:rsidRPr="00CD4258">
            <w:rPr>
              <w:rFonts w:ascii="David" w:hAnsi="David" w:cs="David"/>
              <w:b/>
              <w:bCs/>
              <w:noProof/>
              <w:rtl/>
            </w:rPr>
            <w:instrText xml:space="preserve"> </w:instrText>
          </w:r>
          <w:r w:rsidRPr="00CD4258">
            <w:rPr>
              <w:rFonts w:ascii="David" w:hAnsi="David" w:cs="David"/>
              <w:b/>
              <w:bCs/>
              <w:noProof/>
            </w:rPr>
            <w:instrText>PAGEREF</w:instrText>
          </w:r>
          <w:r w:rsidRPr="00CD4258">
            <w:rPr>
              <w:rFonts w:ascii="David" w:hAnsi="David" w:cs="David"/>
              <w:b/>
              <w:bCs/>
              <w:noProof/>
              <w:rtl/>
            </w:rPr>
            <w:instrText xml:space="preserve"> _</w:instrText>
          </w:r>
          <w:r w:rsidRPr="00CD4258">
            <w:rPr>
              <w:rFonts w:ascii="David" w:hAnsi="David" w:cs="David"/>
              <w:b/>
              <w:bCs/>
              <w:noProof/>
            </w:rPr>
            <w:instrText>Toc204504405 \h</w:instrText>
          </w:r>
          <w:r w:rsidRPr="00CD4258">
            <w:rPr>
              <w:rFonts w:ascii="David" w:hAnsi="David" w:cs="David"/>
              <w:b/>
              <w:bCs/>
              <w:noProof/>
              <w:rtl/>
            </w:rPr>
            <w:instrText xml:space="preserve"> </w:instrText>
          </w:r>
          <w:r w:rsidRPr="00CD4258">
            <w:rPr>
              <w:rFonts w:ascii="David" w:hAnsi="David" w:cs="David"/>
              <w:b/>
              <w:bCs/>
              <w:noProof/>
            </w:rPr>
          </w:r>
          <w:r w:rsidRPr="00CD4258">
            <w:rPr>
              <w:rFonts w:ascii="David" w:hAnsi="David" w:cs="David"/>
              <w:b/>
              <w:bCs/>
              <w:noProof/>
            </w:rPr>
            <w:fldChar w:fldCharType="separate"/>
          </w:r>
          <w:r w:rsidR="00683F08">
            <w:rPr>
              <w:rFonts w:ascii="David" w:hAnsi="David" w:cs="David"/>
              <w:b/>
              <w:bCs/>
              <w:noProof/>
              <w:rtl/>
            </w:rPr>
            <w:t>69</w:t>
          </w:r>
          <w:r w:rsidRPr="00CD4258">
            <w:rPr>
              <w:rFonts w:ascii="David" w:hAnsi="David" w:cs="David"/>
              <w:b/>
              <w:bCs/>
              <w:noProof/>
            </w:rPr>
            <w:fldChar w:fldCharType="end"/>
          </w:r>
        </w:p>
        <w:p w:rsidR="00236F3C" w:rsidRPr="00CD4258" w:rsidRDefault="00236F3C">
          <w:pPr>
            <w:pStyle w:val="TOC1"/>
            <w:rPr>
              <w:rFonts w:eastAsiaTheme="minorEastAsia"/>
              <w:b/>
              <w:bCs/>
              <w:rtl/>
            </w:rPr>
          </w:pPr>
          <w:r w:rsidRPr="00CD4258">
            <w:rPr>
              <w:rFonts w:hint="eastAsia"/>
              <w:b/>
              <w:bCs/>
              <w:rtl/>
            </w:rPr>
            <w:t>סוף</w:t>
          </w:r>
          <w:r w:rsidRPr="00CD4258">
            <w:rPr>
              <w:b/>
              <w:bCs/>
              <w:rtl/>
            </w:rPr>
            <w:t xml:space="preserve"> </w:t>
          </w:r>
          <w:r w:rsidRPr="00CD4258">
            <w:rPr>
              <w:rFonts w:hint="eastAsia"/>
              <w:b/>
              <w:bCs/>
              <w:rtl/>
            </w:rPr>
            <w:t>דבר</w:t>
          </w:r>
          <w:r w:rsidRPr="00CD4258">
            <w:rPr>
              <w:b/>
              <w:bCs/>
              <w:rtl/>
            </w:rPr>
            <w:tab/>
          </w:r>
          <w:r w:rsidRPr="00CD4258">
            <w:rPr>
              <w:b/>
              <w:bCs/>
            </w:rPr>
            <w:fldChar w:fldCharType="begin"/>
          </w:r>
          <w:r w:rsidRPr="00CD4258">
            <w:rPr>
              <w:b/>
              <w:bCs/>
              <w:rtl/>
            </w:rPr>
            <w:instrText xml:space="preserve"> </w:instrText>
          </w:r>
          <w:r w:rsidRPr="00CD4258">
            <w:rPr>
              <w:b/>
              <w:bCs/>
            </w:rPr>
            <w:instrText>PAGEREF</w:instrText>
          </w:r>
          <w:r w:rsidRPr="00CD4258">
            <w:rPr>
              <w:b/>
              <w:bCs/>
              <w:rtl/>
            </w:rPr>
            <w:instrText xml:space="preserve"> _</w:instrText>
          </w:r>
          <w:r w:rsidRPr="00CD4258">
            <w:rPr>
              <w:b/>
              <w:bCs/>
            </w:rPr>
            <w:instrText>Toc204504406 \h</w:instrText>
          </w:r>
          <w:r w:rsidRPr="00CD4258">
            <w:rPr>
              <w:b/>
              <w:bCs/>
              <w:rtl/>
            </w:rPr>
            <w:instrText xml:space="preserve"> </w:instrText>
          </w:r>
          <w:r w:rsidRPr="00CD4258">
            <w:rPr>
              <w:b/>
              <w:bCs/>
            </w:rPr>
          </w:r>
          <w:r w:rsidRPr="00CD4258">
            <w:rPr>
              <w:b/>
              <w:bCs/>
            </w:rPr>
            <w:fldChar w:fldCharType="separate"/>
          </w:r>
          <w:r w:rsidR="00683F08">
            <w:rPr>
              <w:b/>
              <w:bCs/>
              <w:rtl/>
            </w:rPr>
            <w:t>70</w:t>
          </w:r>
          <w:r w:rsidRPr="00CD4258">
            <w:rPr>
              <w:b/>
              <w:bCs/>
            </w:rPr>
            <w:fldChar w:fldCharType="end"/>
          </w:r>
        </w:p>
        <w:p w:rsidR="007510E4" w:rsidRDefault="00633F0F">
          <w:r w:rsidRPr="00785478">
            <w:rPr>
              <w:rFonts w:ascii="David" w:hAnsi="David" w:cs="David"/>
              <w:b/>
              <w:bCs/>
              <w:sz w:val="26"/>
              <w:szCs w:val="26"/>
            </w:rPr>
            <w:fldChar w:fldCharType="end"/>
          </w:r>
        </w:p>
      </w:sdtContent>
    </w:sdt>
    <w:p w:rsidR="00B335EF" w:rsidRDefault="00B335EF" w:rsidP="00781926">
      <w:pPr>
        <w:spacing w:line="360" w:lineRule="auto"/>
        <w:jc w:val="both"/>
        <w:rPr>
          <w:rFonts w:ascii="David" w:hAnsi="David" w:cs="David"/>
          <w:rtl/>
        </w:rPr>
      </w:pPr>
    </w:p>
    <w:p w:rsidR="00B335EF" w:rsidRDefault="00B335EF" w:rsidP="00781926">
      <w:pPr>
        <w:spacing w:line="360" w:lineRule="auto"/>
        <w:jc w:val="both"/>
        <w:rPr>
          <w:rFonts w:ascii="David" w:hAnsi="David" w:cs="David"/>
          <w:rtl/>
        </w:rPr>
      </w:pPr>
    </w:p>
    <w:p w:rsidR="003361D0" w:rsidRPr="007510E4" w:rsidRDefault="003361D0" w:rsidP="00781926">
      <w:pPr>
        <w:spacing w:line="360" w:lineRule="auto"/>
        <w:jc w:val="both"/>
        <w:rPr>
          <w:rFonts w:ascii="David" w:hAnsi="David" w:cs="David"/>
          <w:rtl/>
        </w:rPr>
      </w:pPr>
    </w:p>
    <w:p w:rsidR="00D466E3" w:rsidRPr="00633F0F" w:rsidRDefault="00D466E3" w:rsidP="005C5148">
      <w:pPr>
        <w:pStyle w:val="1"/>
      </w:pPr>
      <w:bookmarkStart w:id="0" w:name="_Toc203992499"/>
      <w:bookmarkStart w:id="1" w:name="_Toc204504382"/>
      <w:r w:rsidRPr="00633F0F">
        <w:rPr>
          <w:rFonts w:hint="cs"/>
          <w:rtl/>
        </w:rPr>
        <w:t>רקע עובדתי ותכנוני קצר</w:t>
      </w:r>
      <w:bookmarkEnd w:id="0"/>
      <w:bookmarkEnd w:id="1"/>
      <w:r w:rsidRPr="00633F0F">
        <w:rPr>
          <w:rFonts w:hint="cs"/>
          <w:rtl/>
        </w:rPr>
        <w:t xml:space="preserve"> </w:t>
      </w:r>
    </w:p>
    <w:p w:rsidR="009B4DE5" w:rsidRDefault="009B4DE5" w:rsidP="006C64A1">
      <w:pPr>
        <w:pStyle w:val="a9"/>
        <w:numPr>
          <w:ilvl w:val="0"/>
          <w:numId w:val="1"/>
        </w:numPr>
        <w:spacing w:line="360" w:lineRule="auto"/>
        <w:contextualSpacing w:val="0"/>
        <w:jc w:val="both"/>
        <w:rPr>
          <w:rFonts w:ascii="David" w:hAnsi="David" w:cs="David"/>
        </w:rPr>
      </w:pPr>
      <w:r>
        <w:rPr>
          <w:rFonts w:ascii="David" w:hAnsi="David" w:cs="David" w:hint="cs"/>
          <w:rtl/>
        </w:rPr>
        <w:t>מתחם התכנית הינו מתחם קרקעי בשט</w:t>
      </w:r>
      <w:r w:rsidR="009824A1">
        <w:rPr>
          <w:rFonts w:ascii="David" w:hAnsi="David" w:cs="David" w:hint="cs"/>
          <w:rtl/>
        </w:rPr>
        <w:t>ח</w:t>
      </w:r>
      <w:r>
        <w:rPr>
          <w:rFonts w:ascii="David" w:hAnsi="David" w:cs="David" w:hint="cs"/>
          <w:rtl/>
        </w:rPr>
        <w:t xml:space="preserve"> של כ-28 דונם </w:t>
      </w:r>
      <w:r w:rsidR="009824A1">
        <w:rPr>
          <w:rFonts w:ascii="David" w:hAnsi="David" w:cs="David" w:hint="cs"/>
          <w:rtl/>
        </w:rPr>
        <w:t>בשכונת רמת יוסף בבת ים וממוקם בחלק המערבי של השכונה וגובל ברחוב כצנלסון. רחוב כצנלסון הינו ציר ארוך המקשר בין רחוב ירושלים בצפון לבין רחוב יוספטל בדרום</w:t>
      </w:r>
      <w:r w:rsidR="00B04028">
        <w:rPr>
          <w:rFonts w:ascii="David" w:hAnsi="David" w:cs="David" w:hint="cs"/>
          <w:rtl/>
        </w:rPr>
        <w:t>,</w:t>
      </w:r>
      <w:r w:rsidR="009824A1">
        <w:rPr>
          <w:rFonts w:ascii="David" w:hAnsi="David" w:cs="David" w:hint="cs"/>
          <w:rtl/>
        </w:rPr>
        <w:t xml:space="preserve"> ומיועד על פי תכנית בי/517 להקמת 5 בניינים בני 27 קומות כ"א</w:t>
      </w:r>
      <w:r w:rsidR="00B04028">
        <w:rPr>
          <w:rFonts w:ascii="David" w:hAnsi="David" w:cs="David" w:hint="cs"/>
          <w:rtl/>
        </w:rPr>
        <w:t>,</w:t>
      </w:r>
      <w:r w:rsidR="009824A1">
        <w:rPr>
          <w:rFonts w:ascii="David" w:hAnsi="David" w:cs="David" w:hint="cs"/>
          <w:rtl/>
        </w:rPr>
        <w:t xml:space="preserve"> הכוללים קומת כניסה גבוהה, 25 קומות מגורים </w:t>
      </w:r>
      <w:r w:rsidR="00B04028">
        <w:rPr>
          <w:rFonts w:ascii="David" w:hAnsi="David" w:cs="David" w:hint="cs"/>
          <w:rtl/>
        </w:rPr>
        <w:t>ו</w:t>
      </w:r>
      <w:r w:rsidR="009824A1">
        <w:rPr>
          <w:rFonts w:ascii="David" w:hAnsi="David" w:cs="David" w:hint="cs"/>
          <w:rtl/>
        </w:rPr>
        <w:t xml:space="preserve">קומה טכנית מעל 3 קומות חניה תת קרקעיות. </w:t>
      </w:r>
    </w:p>
    <w:p w:rsidR="009824A1" w:rsidRDefault="009824A1" w:rsidP="006C64A1">
      <w:pPr>
        <w:pStyle w:val="a9"/>
        <w:numPr>
          <w:ilvl w:val="0"/>
          <w:numId w:val="1"/>
        </w:numPr>
        <w:spacing w:line="360" w:lineRule="auto"/>
        <w:contextualSpacing w:val="0"/>
        <w:jc w:val="both"/>
        <w:rPr>
          <w:rFonts w:ascii="David" w:hAnsi="David" w:cs="David"/>
        </w:rPr>
      </w:pPr>
      <w:r>
        <w:rPr>
          <w:rFonts w:ascii="David" w:hAnsi="David" w:cs="David" w:hint="cs"/>
          <w:rtl/>
        </w:rPr>
        <w:t xml:space="preserve">המתחם מורכב מ-15 חלקות וחלקי חלקות </w:t>
      </w:r>
      <w:r>
        <w:rPr>
          <w:rFonts w:ascii="David" w:hAnsi="David" w:cs="David"/>
          <w:rtl/>
        </w:rPr>
        <w:t>–</w:t>
      </w:r>
      <w:r>
        <w:rPr>
          <w:rFonts w:ascii="David" w:hAnsi="David" w:cs="David" w:hint="cs"/>
          <w:rtl/>
        </w:rPr>
        <w:t xml:space="preserve"> 6 חלקות ביעוד מגורים ו-9 חלקות וחלקי חלקות ביעוד </w:t>
      </w:r>
      <w:r w:rsidR="00BB48B2">
        <w:rPr>
          <w:rFonts w:ascii="David" w:hAnsi="David" w:cs="David" w:hint="cs"/>
          <w:rtl/>
        </w:rPr>
        <w:t xml:space="preserve">  </w:t>
      </w:r>
      <w:r>
        <w:rPr>
          <w:rFonts w:ascii="David" w:hAnsi="David" w:cs="David" w:hint="cs"/>
          <w:rtl/>
        </w:rPr>
        <w:t xml:space="preserve">לצרכי ציבור. </w:t>
      </w:r>
    </w:p>
    <w:p w:rsidR="009B4DE5" w:rsidRDefault="009824A1" w:rsidP="006C64A1">
      <w:pPr>
        <w:pStyle w:val="a9"/>
        <w:numPr>
          <w:ilvl w:val="0"/>
          <w:numId w:val="1"/>
        </w:numPr>
        <w:spacing w:line="360" w:lineRule="auto"/>
        <w:contextualSpacing w:val="0"/>
        <w:jc w:val="both"/>
        <w:rPr>
          <w:rFonts w:ascii="David" w:hAnsi="David" w:cs="David"/>
        </w:rPr>
      </w:pPr>
      <w:r w:rsidRPr="009824A1">
        <w:rPr>
          <w:rFonts w:ascii="David" w:hAnsi="David" w:cs="David" w:hint="cs"/>
          <w:rtl/>
        </w:rPr>
        <w:t>ב-6 החלקות בי</w:t>
      </w:r>
      <w:r w:rsidR="00B04028">
        <w:rPr>
          <w:rFonts w:ascii="David" w:hAnsi="David" w:cs="David" w:hint="cs"/>
          <w:rtl/>
        </w:rPr>
        <w:t>י</w:t>
      </w:r>
      <w:r w:rsidRPr="009824A1">
        <w:rPr>
          <w:rFonts w:ascii="David" w:hAnsi="David" w:cs="David" w:hint="cs"/>
          <w:rtl/>
        </w:rPr>
        <w:t xml:space="preserve">עוד מגורים </w:t>
      </w:r>
      <w:r>
        <w:rPr>
          <w:rFonts w:ascii="David" w:hAnsi="David" w:cs="David" w:hint="cs"/>
          <w:rtl/>
        </w:rPr>
        <w:t xml:space="preserve">קיימים </w:t>
      </w:r>
      <w:r w:rsidR="009B4DE5" w:rsidRPr="009824A1">
        <w:rPr>
          <w:rFonts w:ascii="David" w:hAnsi="David" w:cs="David" w:hint="cs"/>
          <w:rtl/>
        </w:rPr>
        <w:t>במצב הקודם</w:t>
      </w:r>
      <w:r w:rsidR="00B04028">
        <w:rPr>
          <w:rFonts w:ascii="David" w:hAnsi="David" w:cs="David" w:hint="cs"/>
          <w:rtl/>
        </w:rPr>
        <w:t>,</w:t>
      </w:r>
      <w:r w:rsidR="009B4DE5" w:rsidRPr="009824A1">
        <w:rPr>
          <w:rFonts w:ascii="David" w:hAnsi="David" w:cs="David" w:hint="cs"/>
          <w:rtl/>
        </w:rPr>
        <w:t xml:space="preserve"> שישה בנייני מגורים</w:t>
      </w:r>
      <w:r>
        <w:rPr>
          <w:rFonts w:ascii="David" w:hAnsi="David" w:cs="David" w:hint="cs"/>
          <w:rtl/>
        </w:rPr>
        <w:t xml:space="preserve"> ט</w:t>
      </w:r>
      <w:r w:rsidR="009B4DE5" w:rsidRPr="009824A1">
        <w:rPr>
          <w:rFonts w:ascii="David" w:hAnsi="David" w:cs="David" w:hint="cs"/>
          <w:rtl/>
        </w:rPr>
        <w:t xml:space="preserve">וריים בני 2-3 קומות </w:t>
      </w:r>
      <w:r w:rsidR="00B04028">
        <w:rPr>
          <w:rFonts w:ascii="David" w:hAnsi="David" w:cs="David" w:hint="cs"/>
          <w:rtl/>
        </w:rPr>
        <w:t>וב</w:t>
      </w:r>
      <w:r w:rsidR="009B4DE5" w:rsidRPr="009824A1">
        <w:rPr>
          <w:rFonts w:ascii="David" w:hAnsi="David" w:cs="David" w:hint="cs"/>
          <w:rtl/>
        </w:rPr>
        <w:t xml:space="preserve">סה"כ 104 יח"ד, שהינם בניינים ותיקים שנבנו לפני כ-58 שנה למטרת שיכון עולים. </w:t>
      </w:r>
    </w:p>
    <w:p w:rsidR="009824A1" w:rsidRDefault="009824A1" w:rsidP="006C64A1">
      <w:pPr>
        <w:pStyle w:val="a9"/>
        <w:numPr>
          <w:ilvl w:val="0"/>
          <w:numId w:val="1"/>
        </w:numPr>
        <w:spacing w:line="360" w:lineRule="auto"/>
        <w:contextualSpacing w:val="0"/>
        <w:jc w:val="both"/>
        <w:rPr>
          <w:rFonts w:ascii="David" w:hAnsi="David" w:cs="David"/>
        </w:rPr>
      </w:pPr>
      <w:r>
        <w:rPr>
          <w:rFonts w:ascii="David" w:hAnsi="David" w:cs="David" w:hint="cs"/>
          <w:rtl/>
        </w:rPr>
        <w:t xml:space="preserve">חלקות המגורים נכללות בתחום </w:t>
      </w:r>
      <w:r w:rsidR="00B04028">
        <w:rPr>
          <w:rFonts w:ascii="David" w:hAnsi="David" w:cs="David" w:hint="cs"/>
          <w:rtl/>
        </w:rPr>
        <w:t>תכנית</w:t>
      </w:r>
      <w:r>
        <w:rPr>
          <w:rFonts w:ascii="David" w:hAnsi="David" w:cs="David" w:hint="cs"/>
          <w:rtl/>
        </w:rPr>
        <w:t xml:space="preserve"> בי/319 אשר מסווגות את חלקה 114 כאזור מגורים ב'1 </w:t>
      </w:r>
      <w:r w:rsidR="00B04028">
        <w:rPr>
          <w:rFonts w:ascii="David" w:hAnsi="David" w:cs="David" w:hint="cs"/>
          <w:rtl/>
        </w:rPr>
        <w:t>ללא</w:t>
      </w:r>
      <w:r>
        <w:rPr>
          <w:rFonts w:ascii="David" w:hAnsi="David" w:cs="David" w:hint="cs"/>
          <w:rtl/>
        </w:rPr>
        <w:t xml:space="preserve"> קומת עמודים מפולשת ואת חלקות 115-119 כאזור מגורים א'. עפ"י תכנית </w:t>
      </w:r>
      <w:r w:rsidR="003361D0">
        <w:rPr>
          <w:rFonts w:ascii="David" w:hAnsi="David" w:cs="David" w:hint="eastAsia"/>
          <w:rtl/>
        </w:rPr>
        <w:t>זו</w:t>
      </w:r>
      <w:r w:rsidR="003361D0">
        <w:rPr>
          <w:rFonts w:ascii="David" w:hAnsi="David" w:cs="David"/>
          <w:rtl/>
        </w:rPr>
        <w:t>, לדירות</w:t>
      </w:r>
      <w:r>
        <w:rPr>
          <w:rFonts w:ascii="David" w:hAnsi="David" w:cs="David" w:hint="cs"/>
          <w:rtl/>
        </w:rPr>
        <w:t xml:space="preserve"> הקיימות מוקנות זכויות בניה נוספות בדרך של הרחבתן.</w:t>
      </w:r>
    </w:p>
    <w:p w:rsidR="009824A1" w:rsidRDefault="009824A1" w:rsidP="006C64A1">
      <w:pPr>
        <w:pStyle w:val="a9"/>
        <w:numPr>
          <w:ilvl w:val="0"/>
          <w:numId w:val="1"/>
        </w:numPr>
        <w:spacing w:line="360" w:lineRule="auto"/>
        <w:contextualSpacing w:val="0"/>
        <w:jc w:val="both"/>
        <w:rPr>
          <w:rFonts w:ascii="David" w:hAnsi="David" w:cs="David"/>
        </w:rPr>
      </w:pPr>
      <w:r>
        <w:rPr>
          <w:rFonts w:ascii="David" w:hAnsi="David" w:cs="David" w:hint="cs"/>
          <w:rtl/>
        </w:rPr>
        <w:t>במקרקעין נחתם הסכם פינוי בינוי בין בעלי הדירות לבין חברת מעוז דניאל חברה קבלנית בע"מ לשם ייזומו, תכנונו, הקמתו ומימושו של פרויקט פינוי בינוי במקרקעין, זאת בכפוף לקיו</w:t>
      </w:r>
      <w:r w:rsidR="008C72E7">
        <w:rPr>
          <w:rFonts w:ascii="David" w:hAnsi="David" w:cs="David" w:hint="cs"/>
          <w:rtl/>
        </w:rPr>
        <w:t>ם תנאים מתלים, במסגרתם התחייבו בעלי הזכויות למכור לחב</w:t>
      </w:r>
      <w:r w:rsidR="00633F0F">
        <w:rPr>
          <w:rFonts w:ascii="David" w:hAnsi="David" w:cs="David" w:hint="cs"/>
          <w:rtl/>
        </w:rPr>
        <w:t>רה</w:t>
      </w:r>
      <w:r w:rsidR="008C72E7">
        <w:rPr>
          <w:rFonts w:ascii="David" w:hAnsi="David" w:cs="David" w:hint="cs"/>
          <w:rtl/>
        </w:rPr>
        <w:t xml:space="preserve"> את כל זכויותיהם </w:t>
      </w:r>
      <w:r w:rsidR="003436DE">
        <w:rPr>
          <w:rFonts w:ascii="David" w:hAnsi="David" w:cs="David" w:hint="cs"/>
          <w:rtl/>
        </w:rPr>
        <w:t xml:space="preserve">במקרקעין בתמורה לבניית דירות חדשות במקום הדירות </w:t>
      </w:r>
      <w:r w:rsidR="00B04028">
        <w:rPr>
          <w:rFonts w:ascii="David" w:hAnsi="David" w:cs="David" w:hint="cs"/>
          <w:rtl/>
        </w:rPr>
        <w:t xml:space="preserve">הקיימות </w:t>
      </w:r>
      <w:r w:rsidR="003436DE">
        <w:rPr>
          <w:rFonts w:ascii="David" w:hAnsi="David" w:cs="David" w:hint="cs"/>
          <w:rtl/>
        </w:rPr>
        <w:t>שייהרסו. בין התנאים שסוכמו בין החב</w:t>
      </w:r>
      <w:r w:rsidR="00633F0F">
        <w:rPr>
          <w:rFonts w:ascii="David" w:hAnsi="David" w:cs="David" w:hint="cs"/>
          <w:rtl/>
        </w:rPr>
        <w:t>רה</w:t>
      </w:r>
      <w:r w:rsidR="003436DE">
        <w:rPr>
          <w:rFonts w:ascii="David" w:hAnsi="David" w:cs="David" w:hint="cs"/>
          <w:rtl/>
        </w:rPr>
        <w:t xml:space="preserve"> לבין בעלי הזכויות נקבע תנאי לפיו ההסכם ייכנס לתוקף עד לא יאוחר משנתיים מיום בו חתמו לפחות 80% מבעלי הזכויות בבניינים הקיימים או עד 3 שנים בתנאים. </w:t>
      </w:r>
    </w:p>
    <w:p w:rsidR="00B04028" w:rsidRDefault="00B04028" w:rsidP="006C64A1">
      <w:pPr>
        <w:pStyle w:val="a9"/>
        <w:numPr>
          <w:ilvl w:val="0"/>
          <w:numId w:val="1"/>
        </w:numPr>
        <w:spacing w:line="360" w:lineRule="auto"/>
        <w:contextualSpacing w:val="0"/>
        <w:jc w:val="both"/>
        <w:rPr>
          <w:rFonts w:ascii="David" w:hAnsi="David" w:cs="David"/>
        </w:rPr>
      </w:pPr>
      <w:r>
        <w:rPr>
          <w:rFonts w:ascii="David" w:hAnsi="David" w:cs="David" w:hint="cs"/>
          <w:rtl/>
        </w:rPr>
        <w:t>בפועל ובהתאם לנתונים שהוצגו לנו ערב הדיון, החברה חתמה על הסכם פינוי בינוי בשני שלבים אחד בשנת 2014 עליו</w:t>
      </w:r>
      <w:r w:rsidR="00633F0F">
        <w:rPr>
          <w:rFonts w:ascii="David" w:hAnsi="David" w:cs="David" w:hint="cs"/>
          <w:rtl/>
        </w:rPr>
        <w:t>,</w:t>
      </w:r>
      <w:r>
        <w:rPr>
          <w:rFonts w:ascii="David" w:hAnsi="David" w:cs="David" w:hint="cs"/>
          <w:rtl/>
        </w:rPr>
        <w:t xml:space="preserve"> כפי שנמסר בדיון שהתקיים</w:t>
      </w:r>
      <w:r w:rsidR="00633F0F">
        <w:rPr>
          <w:rFonts w:ascii="David" w:hAnsi="David" w:cs="David" w:hint="cs"/>
          <w:rtl/>
        </w:rPr>
        <w:t xml:space="preserve"> לפנינו,</w:t>
      </w:r>
      <w:r>
        <w:rPr>
          <w:rFonts w:ascii="David" w:hAnsi="David" w:cs="David" w:hint="cs"/>
          <w:rtl/>
        </w:rPr>
        <w:t xml:space="preserve"> חתמו כ-80% מבעלי הזכויות בדירות הקיימות, והסכם פינוי בינוי נוסף שנחתם בשנת 2016 עליו חתמו 20% היינו, יתרת בעלי הזכויות בדירות הקיימות, כאשר בשנת 2019 אושרו הבקשות להיתר שכללו הקלות. </w:t>
      </w:r>
    </w:p>
    <w:p w:rsidR="00A94FF8" w:rsidRDefault="00A94FF8" w:rsidP="00A94FF8">
      <w:pPr>
        <w:pStyle w:val="a9"/>
        <w:spacing w:line="360" w:lineRule="auto"/>
        <w:ind w:left="360"/>
        <w:contextualSpacing w:val="0"/>
        <w:jc w:val="both"/>
        <w:rPr>
          <w:rFonts w:ascii="David" w:hAnsi="David" w:cs="David"/>
        </w:rPr>
      </w:pPr>
      <w:r>
        <w:rPr>
          <w:rFonts w:ascii="David" w:hAnsi="David" w:cs="David" w:hint="cs"/>
          <w:rtl/>
        </w:rPr>
        <w:t xml:space="preserve">יצוין כי בהתאם להודעה שהוגשה לאחר הדיון שהתקיים בפנינו נמסר על ידי החברה כי היקף הסכמי פינוי בינוי שנחתמו בינה לבין בעלי הדירות בפרויקט לפני אישור תכנית בי/517 עומד על 94.125 בעלי דירות מתוך 104 דירות קיימות, כלומר </w:t>
      </w:r>
      <w:r w:rsidRPr="00A94FF8">
        <w:rPr>
          <w:rFonts w:ascii="David" w:hAnsi="David" w:cs="David" w:hint="cs"/>
          <w:b/>
          <w:bCs/>
          <w:rtl/>
        </w:rPr>
        <w:t>עד לאותו מועד נחתמו למעלה מ-90% מבעלי הדירות</w:t>
      </w:r>
      <w:r>
        <w:rPr>
          <w:rFonts w:ascii="David" w:hAnsi="David" w:cs="David" w:hint="cs"/>
          <w:rtl/>
        </w:rPr>
        <w:t>.</w:t>
      </w:r>
    </w:p>
    <w:p w:rsidR="00D466E3" w:rsidRDefault="00D466E3" w:rsidP="006C64A1">
      <w:pPr>
        <w:pStyle w:val="a9"/>
        <w:numPr>
          <w:ilvl w:val="0"/>
          <w:numId w:val="1"/>
        </w:numPr>
        <w:spacing w:line="360" w:lineRule="auto"/>
        <w:contextualSpacing w:val="0"/>
        <w:jc w:val="both"/>
        <w:rPr>
          <w:rFonts w:ascii="David" w:hAnsi="David" w:cs="David"/>
        </w:rPr>
      </w:pPr>
      <w:r>
        <w:rPr>
          <w:rFonts w:ascii="David" w:hAnsi="David" w:cs="David" w:hint="cs"/>
          <w:rtl/>
        </w:rPr>
        <w:t>שתי השומות המכריעות נשוא הליכי העררים עניינן במימוש בדרך של מכירה והיתר בניה ועוסקות ב-3 אירועי מס כדלקמן:</w:t>
      </w:r>
    </w:p>
    <w:p w:rsidR="00D466E3" w:rsidRDefault="00D466E3" w:rsidP="006C64A1">
      <w:pPr>
        <w:pStyle w:val="a9"/>
        <w:numPr>
          <w:ilvl w:val="1"/>
          <w:numId w:val="1"/>
        </w:numPr>
        <w:spacing w:line="360" w:lineRule="auto"/>
        <w:contextualSpacing w:val="0"/>
        <w:jc w:val="both"/>
        <w:rPr>
          <w:rFonts w:ascii="David" w:hAnsi="David" w:cs="David"/>
        </w:rPr>
      </w:pPr>
      <w:r w:rsidRPr="00B04028">
        <w:rPr>
          <w:rFonts w:ascii="David" w:hAnsi="David" w:cs="David" w:hint="cs"/>
          <w:b/>
          <w:bCs/>
          <w:rtl/>
        </w:rPr>
        <w:t>אישור תכנית בי/517</w:t>
      </w:r>
      <w:r>
        <w:rPr>
          <w:rFonts w:ascii="David" w:hAnsi="David" w:cs="David" w:hint="cs"/>
          <w:rtl/>
        </w:rPr>
        <w:t xml:space="preserve"> </w:t>
      </w:r>
      <w:r>
        <w:rPr>
          <w:rFonts w:ascii="David" w:hAnsi="David" w:cs="David"/>
          <w:rtl/>
        </w:rPr>
        <w:t>–</w:t>
      </w:r>
      <w:r>
        <w:rPr>
          <w:rFonts w:ascii="David" w:hAnsi="David" w:cs="David" w:hint="cs"/>
          <w:rtl/>
        </w:rPr>
        <w:t xml:space="preserve"> תכנית פינוי בינוי למתחם</w:t>
      </w:r>
      <w:r w:rsidR="00B04028">
        <w:rPr>
          <w:rFonts w:ascii="David" w:hAnsi="David" w:cs="David" w:hint="cs"/>
          <w:rtl/>
        </w:rPr>
        <w:t xml:space="preserve"> שאושרה בשנת 2015. </w:t>
      </w:r>
    </w:p>
    <w:p w:rsidR="00D466E3" w:rsidRDefault="00D466E3" w:rsidP="006C64A1">
      <w:pPr>
        <w:pStyle w:val="a9"/>
        <w:numPr>
          <w:ilvl w:val="1"/>
          <w:numId w:val="1"/>
        </w:numPr>
        <w:spacing w:line="360" w:lineRule="auto"/>
        <w:contextualSpacing w:val="0"/>
        <w:jc w:val="both"/>
        <w:rPr>
          <w:rFonts w:ascii="David" w:hAnsi="David" w:cs="David"/>
        </w:rPr>
      </w:pPr>
      <w:r w:rsidRPr="00B04028">
        <w:rPr>
          <w:rFonts w:ascii="David" w:hAnsi="David" w:cs="David" w:hint="cs"/>
          <w:b/>
          <w:bCs/>
          <w:rtl/>
        </w:rPr>
        <w:t>אישור תכנית בי/1/517/מק</w:t>
      </w:r>
      <w:r>
        <w:rPr>
          <w:rFonts w:ascii="David" w:hAnsi="David" w:cs="David" w:hint="cs"/>
          <w:rtl/>
        </w:rPr>
        <w:t xml:space="preserve"> </w:t>
      </w:r>
      <w:r>
        <w:rPr>
          <w:rFonts w:ascii="David" w:hAnsi="David" w:cs="David"/>
          <w:rtl/>
        </w:rPr>
        <w:t>–</w:t>
      </w:r>
      <w:r>
        <w:rPr>
          <w:rFonts w:ascii="David" w:hAnsi="David" w:cs="David" w:hint="cs"/>
          <w:rtl/>
        </w:rPr>
        <w:t xml:space="preserve"> תכנית איחוד וחלוקה מחדש</w:t>
      </w:r>
      <w:r w:rsidR="00B04028">
        <w:rPr>
          <w:rFonts w:ascii="David" w:hAnsi="David" w:cs="David" w:hint="cs"/>
          <w:rtl/>
        </w:rPr>
        <w:t xml:space="preserve">, שאושרה בשנת 2017. </w:t>
      </w:r>
    </w:p>
    <w:p w:rsidR="00D466E3" w:rsidRPr="00B04028" w:rsidRDefault="00D466E3" w:rsidP="006C64A1">
      <w:pPr>
        <w:pStyle w:val="a9"/>
        <w:numPr>
          <w:ilvl w:val="1"/>
          <w:numId w:val="1"/>
        </w:numPr>
        <w:spacing w:line="360" w:lineRule="auto"/>
        <w:contextualSpacing w:val="0"/>
        <w:jc w:val="both"/>
        <w:rPr>
          <w:rFonts w:ascii="David" w:hAnsi="David" w:cs="David"/>
          <w:b/>
          <w:bCs/>
        </w:rPr>
      </w:pPr>
      <w:r w:rsidRPr="00B04028">
        <w:rPr>
          <w:rFonts w:ascii="David" w:hAnsi="David" w:cs="David" w:hint="cs"/>
          <w:b/>
          <w:bCs/>
          <w:rtl/>
        </w:rPr>
        <w:t>אישור הקלות ביחס למקרקעין</w:t>
      </w:r>
      <w:r w:rsidR="00B04028">
        <w:rPr>
          <w:rFonts w:ascii="David" w:hAnsi="David" w:cs="David" w:hint="cs"/>
          <w:rtl/>
        </w:rPr>
        <w:t xml:space="preserve"> -</w:t>
      </w:r>
      <w:r w:rsidR="00B04028" w:rsidRPr="00B04028">
        <w:rPr>
          <w:rFonts w:ascii="David" w:hAnsi="David" w:cs="David" w:hint="cs"/>
          <w:rtl/>
        </w:rPr>
        <w:t xml:space="preserve"> שאושרו בשנת 2019.</w:t>
      </w:r>
      <w:r w:rsidR="00B04028">
        <w:rPr>
          <w:rFonts w:ascii="David" w:hAnsi="David" w:cs="David" w:hint="cs"/>
          <w:b/>
          <w:bCs/>
          <w:rtl/>
        </w:rPr>
        <w:t xml:space="preserve"> </w:t>
      </w:r>
    </w:p>
    <w:p w:rsidR="00D466E3" w:rsidRPr="00D466E3" w:rsidRDefault="00D466E3" w:rsidP="006C64A1">
      <w:pPr>
        <w:spacing w:line="360" w:lineRule="auto"/>
        <w:ind w:left="360"/>
        <w:jc w:val="both"/>
        <w:rPr>
          <w:rFonts w:ascii="David" w:hAnsi="David" w:cs="David"/>
        </w:rPr>
      </w:pPr>
      <w:r>
        <w:rPr>
          <w:rFonts w:ascii="David" w:hAnsi="David" w:cs="David" w:hint="cs"/>
          <w:rtl/>
        </w:rPr>
        <w:t xml:space="preserve">להלן פירוט התכניות לעיל, </w:t>
      </w:r>
      <w:r w:rsidR="00B04028">
        <w:rPr>
          <w:rFonts w:ascii="David" w:hAnsi="David" w:cs="David" w:hint="cs"/>
          <w:rtl/>
        </w:rPr>
        <w:t>ו</w:t>
      </w:r>
      <w:r>
        <w:rPr>
          <w:rFonts w:ascii="David" w:hAnsi="David" w:cs="David" w:hint="cs"/>
          <w:rtl/>
        </w:rPr>
        <w:t>הבקשות להיתר שכללו הקלות כדלקמן:</w:t>
      </w:r>
    </w:p>
    <w:p w:rsidR="00AD53B9" w:rsidRDefault="00AD53B9" w:rsidP="006C64A1">
      <w:pPr>
        <w:pStyle w:val="a9"/>
        <w:numPr>
          <w:ilvl w:val="0"/>
          <w:numId w:val="1"/>
        </w:numPr>
        <w:spacing w:line="360" w:lineRule="auto"/>
        <w:contextualSpacing w:val="0"/>
        <w:jc w:val="both"/>
        <w:rPr>
          <w:rFonts w:ascii="David" w:hAnsi="David" w:cs="David"/>
        </w:rPr>
      </w:pPr>
      <w:r w:rsidRPr="00AD53B9">
        <w:rPr>
          <w:rFonts w:ascii="David" w:hAnsi="David" w:cs="David" w:hint="cs"/>
          <w:b/>
          <w:bCs/>
          <w:rtl/>
        </w:rPr>
        <w:t>תכנית ב/517</w:t>
      </w:r>
      <w:r>
        <w:rPr>
          <w:rFonts w:ascii="David" w:hAnsi="David" w:cs="David" w:hint="cs"/>
          <w:rtl/>
        </w:rPr>
        <w:t xml:space="preserve"> פורסמה למתן תוקף ביום 17.9.15 והינה תכנית פינוי בינוי. מטרת התכנית הינה פינוי והריסת 6 מבני מגורים והקמת 5 בנייני מגורים רבי קומות הכוללים 470 יח"ד. התכנית כוללת קביעת הוראות לאיחוד וחלוקה בתכנית עתידית, תוספת זכויות בניה למגורים ולמוסדות ציבור </w:t>
      </w:r>
      <w:proofErr w:type="spellStart"/>
      <w:r>
        <w:rPr>
          <w:rFonts w:ascii="David" w:hAnsi="David" w:cs="David" w:hint="cs"/>
          <w:rtl/>
        </w:rPr>
        <w:t>וכיוצ"ב</w:t>
      </w:r>
      <w:proofErr w:type="spellEnd"/>
      <w:r>
        <w:rPr>
          <w:rFonts w:ascii="David" w:hAnsi="David" w:cs="David" w:hint="cs"/>
          <w:rtl/>
        </w:rPr>
        <w:t>.</w:t>
      </w:r>
    </w:p>
    <w:p w:rsidR="00AD53B9" w:rsidRDefault="00AD53B9" w:rsidP="006C64A1">
      <w:pPr>
        <w:pStyle w:val="a9"/>
        <w:spacing w:line="360" w:lineRule="auto"/>
        <w:ind w:left="360"/>
        <w:contextualSpacing w:val="0"/>
        <w:jc w:val="both"/>
        <w:rPr>
          <w:rFonts w:ascii="David" w:hAnsi="David" w:cs="David"/>
          <w:rtl/>
        </w:rPr>
      </w:pPr>
      <w:r>
        <w:rPr>
          <w:rFonts w:ascii="David" w:hAnsi="David" w:cs="David" w:hint="cs"/>
          <w:rtl/>
        </w:rPr>
        <w:t xml:space="preserve">התכנית חלה בנוסף אף בתחום חלקה 109 בגוש 7156 ברחוב כצנלסון 53 אשר במצב המאושר </w:t>
      </w:r>
      <w:r w:rsidR="00BB48B2">
        <w:rPr>
          <w:rFonts w:ascii="David" w:hAnsi="David" w:cs="David" w:hint="cs"/>
          <w:rtl/>
        </w:rPr>
        <w:t>ייעודה ציבורי ("שטח חום")</w:t>
      </w:r>
      <w:r>
        <w:rPr>
          <w:rFonts w:ascii="David" w:hAnsi="David" w:cs="David" w:hint="cs"/>
          <w:rtl/>
        </w:rPr>
        <w:t xml:space="preserve"> בתחומו פועל גן ילדים. התכנית משנה את י</w:t>
      </w:r>
      <w:r w:rsidR="005433CD">
        <w:rPr>
          <w:rFonts w:ascii="David" w:hAnsi="David" w:cs="David" w:hint="cs"/>
          <w:rtl/>
        </w:rPr>
        <w:t>י</w:t>
      </w:r>
      <w:r>
        <w:rPr>
          <w:rFonts w:ascii="David" w:hAnsi="David" w:cs="David" w:hint="cs"/>
          <w:rtl/>
        </w:rPr>
        <w:t xml:space="preserve">עוד חלקה 109 </w:t>
      </w:r>
      <w:r w:rsidR="00BB48B2">
        <w:rPr>
          <w:rFonts w:ascii="David" w:hAnsi="David" w:cs="David" w:hint="cs"/>
          <w:rtl/>
        </w:rPr>
        <w:t xml:space="preserve">מייעוד </w:t>
      </w:r>
      <w:r>
        <w:rPr>
          <w:rFonts w:ascii="David" w:hAnsi="David" w:cs="David" w:hint="cs"/>
          <w:rtl/>
        </w:rPr>
        <w:t xml:space="preserve">ציבורי </w:t>
      </w:r>
      <w:r w:rsidR="00BB48B2">
        <w:rPr>
          <w:rFonts w:ascii="David" w:hAnsi="David" w:cs="David" w:hint="cs"/>
          <w:rtl/>
        </w:rPr>
        <w:t xml:space="preserve">לייעוד </w:t>
      </w:r>
      <w:r>
        <w:rPr>
          <w:rFonts w:ascii="David" w:hAnsi="David" w:cs="David" w:hint="cs"/>
          <w:rtl/>
        </w:rPr>
        <w:t>למגורים</w:t>
      </w:r>
      <w:r w:rsidR="00B04028">
        <w:rPr>
          <w:rFonts w:ascii="David" w:hAnsi="David" w:cs="David" w:hint="cs"/>
          <w:rtl/>
        </w:rPr>
        <w:t>, באופן שה</w:t>
      </w:r>
      <w:r>
        <w:rPr>
          <w:rFonts w:ascii="David" w:hAnsi="David" w:cs="David" w:hint="cs"/>
          <w:rtl/>
        </w:rPr>
        <w:t>שימוש הציבורי בוטל. לאור זאת</w:t>
      </w:r>
      <w:r w:rsidR="00B04028">
        <w:rPr>
          <w:rFonts w:ascii="David" w:hAnsi="David" w:cs="David" w:hint="cs"/>
          <w:rtl/>
        </w:rPr>
        <w:t>,</w:t>
      </w:r>
      <w:r>
        <w:rPr>
          <w:rFonts w:ascii="David" w:hAnsi="David" w:cs="David" w:hint="cs"/>
          <w:rtl/>
        </w:rPr>
        <w:t xml:space="preserve"> מחייבת התכנית הקצאת מקום חלופי לגן הילדים. התכנית אינה מקצה מגרש </w:t>
      </w:r>
      <w:r w:rsidR="00BB48B2">
        <w:rPr>
          <w:rFonts w:ascii="David" w:hAnsi="David" w:cs="David" w:hint="cs"/>
          <w:rtl/>
        </w:rPr>
        <w:t xml:space="preserve">בייעוד ציבורי </w:t>
      </w:r>
      <w:r>
        <w:rPr>
          <w:rFonts w:ascii="David" w:hAnsi="David" w:cs="David" w:hint="cs"/>
          <w:rtl/>
        </w:rPr>
        <w:t>חליפי למבני ציבור במקום המגרש ש</w:t>
      </w:r>
      <w:r w:rsidR="00BB48B2">
        <w:rPr>
          <w:rFonts w:ascii="David" w:hAnsi="David" w:cs="David" w:hint="cs"/>
          <w:rtl/>
        </w:rPr>
        <w:t xml:space="preserve">ייעודו הציבורי </w:t>
      </w:r>
      <w:r>
        <w:rPr>
          <w:rFonts w:ascii="David" w:hAnsi="David" w:cs="David" w:hint="cs"/>
          <w:rtl/>
        </w:rPr>
        <w:t xml:space="preserve">בוטל. </w:t>
      </w:r>
      <w:r w:rsidR="00BB48B2">
        <w:rPr>
          <w:rFonts w:ascii="David" w:hAnsi="David" w:cs="David" w:hint="cs"/>
          <w:rtl/>
        </w:rPr>
        <w:t xml:space="preserve">בעניין זה, התכנית </w:t>
      </w:r>
      <w:r>
        <w:rPr>
          <w:rFonts w:ascii="David" w:hAnsi="David" w:cs="David" w:hint="cs"/>
          <w:rtl/>
        </w:rPr>
        <w:t xml:space="preserve">כוללת הקצאת 400 מ"ר שטחי </w:t>
      </w:r>
      <w:r w:rsidR="003361D0">
        <w:rPr>
          <w:rFonts w:ascii="David" w:hAnsi="David" w:cs="David" w:hint="eastAsia"/>
          <w:rtl/>
        </w:rPr>
        <w:t>רצפה</w:t>
      </w:r>
      <w:r w:rsidR="003361D0">
        <w:rPr>
          <w:rFonts w:ascii="David" w:hAnsi="David" w:cs="David"/>
          <w:rtl/>
        </w:rPr>
        <w:t xml:space="preserve"> </w:t>
      </w:r>
      <w:r w:rsidR="003361D0">
        <w:rPr>
          <w:rFonts w:ascii="David" w:hAnsi="David" w:cs="David" w:hint="eastAsia"/>
          <w:rtl/>
        </w:rPr>
        <w:t>בתוך</w:t>
      </w:r>
      <w:r>
        <w:rPr>
          <w:rFonts w:ascii="David" w:hAnsi="David" w:cs="David" w:hint="cs"/>
          <w:rtl/>
        </w:rPr>
        <w:t xml:space="preserve"> חלק מבנייני המגורים בלבד</w:t>
      </w:r>
      <w:r w:rsidR="00BB48B2">
        <w:rPr>
          <w:rFonts w:ascii="David" w:hAnsi="David" w:cs="David" w:hint="cs"/>
          <w:rtl/>
        </w:rPr>
        <w:t xml:space="preserve"> המיועדים לשטחי ציבור</w:t>
      </w:r>
      <w:r>
        <w:rPr>
          <w:rFonts w:ascii="David" w:hAnsi="David" w:cs="David" w:hint="cs"/>
          <w:rtl/>
        </w:rPr>
        <w:t xml:space="preserve">. </w:t>
      </w:r>
    </w:p>
    <w:p w:rsidR="00AD53B9" w:rsidRDefault="00AD53B9" w:rsidP="006C64A1">
      <w:pPr>
        <w:pStyle w:val="a9"/>
        <w:numPr>
          <w:ilvl w:val="0"/>
          <w:numId w:val="1"/>
        </w:numPr>
        <w:spacing w:line="360" w:lineRule="auto"/>
        <w:contextualSpacing w:val="0"/>
        <w:jc w:val="both"/>
        <w:rPr>
          <w:rFonts w:ascii="David" w:hAnsi="David" w:cs="David"/>
        </w:rPr>
      </w:pPr>
      <w:r w:rsidRPr="00076367">
        <w:rPr>
          <w:rFonts w:ascii="David" w:hAnsi="David" w:cs="David" w:hint="cs"/>
          <w:b/>
          <w:bCs/>
          <w:rtl/>
        </w:rPr>
        <w:t>תכנית בי/1/517/מק</w:t>
      </w:r>
      <w:r>
        <w:rPr>
          <w:rFonts w:ascii="David" w:hAnsi="David" w:cs="David" w:hint="cs"/>
          <w:rtl/>
        </w:rPr>
        <w:t xml:space="preserve"> פורסמה למתן תוקף ביום 12.9.</w:t>
      </w:r>
      <w:r w:rsidR="00BB48B2">
        <w:rPr>
          <w:rFonts w:ascii="David" w:hAnsi="David" w:cs="David" w:hint="cs"/>
          <w:rtl/>
        </w:rPr>
        <w:t>20</w:t>
      </w:r>
      <w:r>
        <w:rPr>
          <w:rFonts w:ascii="David" w:hAnsi="David" w:cs="David" w:hint="cs"/>
          <w:rtl/>
        </w:rPr>
        <w:t>17 ועיקריה הם</w:t>
      </w:r>
      <w:r w:rsidR="00B04028">
        <w:rPr>
          <w:rFonts w:ascii="David" w:hAnsi="David" w:cs="David" w:hint="cs"/>
          <w:rtl/>
        </w:rPr>
        <w:t>:</w:t>
      </w:r>
      <w:r>
        <w:rPr>
          <w:rFonts w:ascii="David" w:hAnsi="David" w:cs="David" w:hint="cs"/>
          <w:rtl/>
        </w:rPr>
        <w:t xml:space="preserve"> קביעת איחוד וחלוקה למתחם, שינוי בינוי ע"י מתן אפשרות לתכנון 6 יח"ד בקומה וכן תוספת 2 קומות לטובת גמישות בבינוי</w:t>
      </w:r>
      <w:r w:rsidR="00B04028">
        <w:rPr>
          <w:rFonts w:ascii="David" w:hAnsi="David" w:cs="David" w:hint="cs"/>
          <w:rtl/>
        </w:rPr>
        <w:t>,</w:t>
      </w:r>
      <w:r>
        <w:rPr>
          <w:rFonts w:ascii="David" w:hAnsi="David" w:cs="David" w:hint="cs"/>
          <w:rtl/>
        </w:rPr>
        <w:t xml:space="preserve"> </w:t>
      </w:r>
      <w:r w:rsidR="00076367">
        <w:rPr>
          <w:rFonts w:ascii="David" w:hAnsi="David" w:cs="David" w:hint="cs"/>
          <w:rtl/>
        </w:rPr>
        <w:t>ללא הגדלת שטחים או מספר יח"ד.</w:t>
      </w:r>
    </w:p>
    <w:p w:rsidR="00076367" w:rsidRDefault="00076367" w:rsidP="006C64A1">
      <w:pPr>
        <w:pStyle w:val="a9"/>
        <w:numPr>
          <w:ilvl w:val="0"/>
          <w:numId w:val="1"/>
        </w:numPr>
        <w:spacing w:line="360" w:lineRule="auto"/>
        <w:contextualSpacing w:val="0"/>
        <w:jc w:val="both"/>
        <w:rPr>
          <w:rFonts w:ascii="David" w:hAnsi="David" w:cs="David"/>
        </w:rPr>
      </w:pPr>
      <w:r>
        <w:rPr>
          <w:rFonts w:ascii="David" w:hAnsi="David" w:cs="David" w:hint="cs"/>
          <w:rtl/>
        </w:rPr>
        <w:t>ביום 25.12.</w:t>
      </w:r>
      <w:r w:rsidR="00BB48B2">
        <w:rPr>
          <w:rFonts w:ascii="David" w:hAnsi="David" w:cs="David" w:hint="cs"/>
          <w:rtl/>
        </w:rPr>
        <w:t>20</w:t>
      </w:r>
      <w:r>
        <w:rPr>
          <w:rFonts w:ascii="David" w:hAnsi="David" w:cs="David" w:hint="cs"/>
          <w:rtl/>
        </w:rPr>
        <w:t xml:space="preserve">19 נדונה ואושרה על ידי הועדה המקומית בקשה להיתר בניה </w:t>
      </w:r>
      <w:r w:rsidRPr="00076367">
        <w:rPr>
          <w:rFonts w:ascii="David" w:hAnsi="David" w:cs="David" w:hint="cs"/>
          <w:u w:val="single"/>
          <w:rtl/>
        </w:rPr>
        <w:t>למגרש 101.</w:t>
      </w:r>
      <w:r>
        <w:rPr>
          <w:rFonts w:ascii="David" w:hAnsi="David" w:cs="David" w:hint="cs"/>
          <w:rtl/>
        </w:rPr>
        <w:t xml:space="preserve"> במהות הבקשה נכתב: הריסת 2 מבנים קיימים והקמת 2 בנייני מגורים בני 29 קומות, 224 יח"ד הכוללים: קומת כניסה גבוהה, 27 קומות מגורים, קומה טכנית +</w:t>
      </w:r>
      <w:r>
        <w:rPr>
          <w:rFonts w:ascii="David" w:hAnsi="David" w:cs="David"/>
        </w:rPr>
        <w:t xml:space="preserve"> </w:t>
      </w:r>
      <w:r>
        <w:rPr>
          <w:rFonts w:ascii="David" w:hAnsi="David" w:cs="David" w:hint="cs"/>
          <w:rtl/>
        </w:rPr>
        <w:t>4 קומות מרתף.</w:t>
      </w:r>
    </w:p>
    <w:p w:rsidR="00076367" w:rsidRDefault="00076367" w:rsidP="006C64A1">
      <w:pPr>
        <w:pStyle w:val="a9"/>
        <w:spacing w:line="360" w:lineRule="auto"/>
        <w:ind w:left="360"/>
        <w:contextualSpacing w:val="0"/>
        <w:jc w:val="both"/>
        <w:rPr>
          <w:rFonts w:ascii="David" w:hAnsi="David" w:cs="David"/>
          <w:rtl/>
        </w:rPr>
      </w:pPr>
      <w:r>
        <w:rPr>
          <w:rFonts w:ascii="David" w:hAnsi="David" w:cs="David" w:hint="cs"/>
          <w:rtl/>
        </w:rPr>
        <w:t xml:space="preserve">במסגרת הבקשה להיתר </w:t>
      </w:r>
      <w:r w:rsidRPr="00076367">
        <w:rPr>
          <w:rFonts w:ascii="David" w:hAnsi="David" w:cs="David" w:hint="cs"/>
          <w:u w:val="single"/>
          <w:rtl/>
        </w:rPr>
        <w:t>אושרו ההקלות</w:t>
      </w:r>
      <w:r>
        <w:rPr>
          <w:rFonts w:ascii="David" w:hAnsi="David" w:cs="David" w:hint="cs"/>
          <w:rtl/>
        </w:rPr>
        <w:t xml:space="preserve"> הבאות:</w:t>
      </w:r>
    </w:p>
    <w:p w:rsidR="00076367" w:rsidRDefault="00076367" w:rsidP="00073883">
      <w:pPr>
        <w:pStyle w:val="a9"/>
        <w:numPr>
          <w:ilvl w:val="0"/>
          <w:numId w:val="2"/>
        </w:numPr>
        <w:spacing w:line="360" w:lineRule="auto"/>
        <w:contextualSpacing w:val="0"/>
        <w:jc w:val="both"/>
        <w:rPr>
          <w:rFonts w:ascii="David" w:hAnsi="David" w:cs="David"/>
        </w:rPr>
      </w:pPr>
      <w:r>
        <w:rPr>
          <w:rFonts w:ascii="David" w:hAnsi="David" w:cs="David" w:hint="cs"/>
          <w:rtl/>
        </w:rPr>
        <w:t xml:space="preserve">הקלה לתוספת יח"ד במסגרת 20% עפ"י חוק שבס, באופן שיתקבלו 224 יח"ד במקום 188 יח"ד המותרים </w:t>
      </w:r>
      <w:proofErr w:type="spellStart"/>
      <w:r>
        <w:rPr>
          <w:rFonts w:ascii="David" w:hAnsi="David" w:cs="David" w:hint="cs"/>
          <w:rtl/>
        </w:rPr>
        <w:t>בתב"ע</w:t>
      </w:r>
      <w:proofErr w:type="spellEnd"/>
      <w:r>
        <w:rPr>
          <w:rFonts w:ascii="David" w:hAnsi="David" w:cs="David" w:hint="cs"/>
          <w:rtl/>
        </w:rPr>
        <w:t xml:space="preserve">. </w:t>
      </w:r>
    </w:p>
    <w:p w:rsidR="00076367" w:rsidRDefault="00076367" w:rsidP="00073883">
      <w:pPr>
        <w:pStyle w:val="a9"/>
        <w:numPr>
          <w:ilvl w:val="0"/>
          <w:numId w:val="2"/>
        </w:numPr>
        <w:spacing w:line="360" w:lineRule="auto"/>
        <w:contextualSpacing w:val="0"/>
        <w:jc w:val="both"/>
        <w:rPr>
          <w:rFonts w:ascii="David" w:hAnsi="David" w:cs="David"/>
        </w:rPr>
      </w:pPr>
      <w:r>
        <w:rPr>
          <w:rFonts w:ascii="David" w:hAnsi="David" w:cs="David" w:hint="cs"/>
          <w:rtl/>
        </w:rPr>
        <w:t>הקלה לתוספת שטח לבניה, במסגרת 20% מהשטח הכולל המותר לבניה למגורים במגרש, כדלקמן:</w:t>
      </w:r>
    </w:p>
    <w:p w:rsidR="00076367" w:rsidRDefault="00076367" w:rsidP="006C64A1">
      <w:pPr>
        <w:pStyle w:val="a9"/>
        <w:spacing w:line="360" w:lineRule="auto"/>
        <w:contextualSpacing w:val="0"/>
        <w:jc w:val="both"/>
        <w:rPr>
          <w:rFonts w:ascii="David" w:hAnsi="David" w:cs="David"/>
          <w:rtl/>
        </w:rPr>
      </w:pPr>
      <w:r>
        <w:rPr>
          <w:rFonts w:ascii="David" w:hAnsi="David" w:cs="David" w:hint="cs"/>
          <w:rtl/>
        </w:rPr>
        <w:t>תוספת שטח עיקרי רגיל בסך 3,572 מ"ר.</w:t>
      </w:r>
    </w:p>
    <w:p w:rsidR="00076367" w:rsidRDefault="00076367" w:rsidP="006C64A1">
      <w:pPr>
        <w:pStyle w:val="a9"/>
        <w:spacing w:line="360" w:lineRule="auto"/>
        <w:contextualSpacing w:val="0"/>
        <w:jc w:val="both"/>
        <w:rPr>
          <w:rFonts w:ascii="David" w:hAnsi="David" w:cs="David"/>
          <w:rtl/>
        </w:rPr>
      </w:pPr>
      <w:r>
        <w:rPr>
          <w:rFonts w:ascii="David" w:hAnsi="David" w:cs="David" w:hint="cs"/>
          <w:rtl/>
        </w:rPr>
        <w:t>תוספת שטח עיקרי למרפסות בסך של 439.24 מ"ר.</w:t>
      </w:r>
    </w:p>
    <w:p w:rsidR="00076367" w:rsidRDefault="00076367" w:rsidP="006C64A1">
      <w:pPr>
        <w:pStyle w:val="a9"/>
        <w:spacing w:line="360" w:lineRule="auto"/>
        <w:contextualSpacing w:val="0"/>
        <w:jc w:val="both"/>
        <w:rPr>
          <w:rFonts w:ascii="David" w:hAnsi="David" w:cs="David"/>
          <w:rtl/>
        </w:rPr>
      </w:pPr>
      <w:r>
        <w:rPr>
          <w:rFonts w:ascii="David" w:hAnsi="David" w:cs="David" w:hint="cs"/>
          <w:rtl/>
        </w:rPr>
        <w:t>תוספת שטח שירות עילי בסך של 1,286.01 מ"ר.</w:t>
      </w:r>
    </w:p>
    <w:p w:rsidR="00076367" w:rsidRDefault="00076367" w:rsidP="006C64A1">
      <w:pPr>
        <w:pStyle w:val="a9"/>
        <w:numPr>
          <w:ilvl w:val="0"/>
          <w:numId w:val="1"/>
        </w:numPr>
        <w:spacing w:line="360" w:lineRule="auto"/>
        <w:contextualSpacing w:val="0"/>
        <w:jc w:val="both"/>
        <w:rPr>
          <w:rFonts w:ascii="David" w:hAnsi="David" w:cs="David"/>
        </w:rPr>
      </w:pPr>
      <w:r>
        <w:rPr>
          <w:rFonts w:ascii="David" w:hAnsi="David" w:cs="David" w:hint="cs"/>
          <w:rtl/>
        </w:rPr>
        <w:t>באותו מועד בו נדונה הבקשה לעיל במגרש 101</w:t>
      </w:r>
      <w:r w:rsidR="00E37146">
        <w:rPr>
          <w:rFonts w:ascii="David" w:hAnsi="David" w:cs="David" w:hint="cs"/>
          <w:rtl/>
        </w:rPr>
        <w:t xml:space="preserve"> (</w:t>
      </w:r>
      <w:r>
        <w:rPr>
          <w:rFonts w:ascii="David" w:hAnsi="David" w:cs="David" w:hint="cs"/>
          <w:rtl/>
        </w:rPr>
        <w:t>25.12.19</w:t>
      </w:r>
      <w:r w:rsidR="00E37146">
        <w:rPr>
          <w:rFonts w:ascii="David" w:hAnsi="David" w:cs="David" w:hint="cs"/>
          <w:rtl/>
        </w:rPr>
        <w:t>)</w:t>
      </w:r>
      <w:r w:rsidR="00D02FAD">
        <w:rPr>
          <w:rFonts w:ascii="David" w:hAnsi="David" w:cs="David" w:hint="cs"/>
          <w:rtl/>
        </w:rPr>
        <w:t>,</w:t>
      </w:r>
      <w:r>
        <w:rPr>
          <w:rFonts w:ascii="David" w:hAnsi="David" w:cs="David" w:hint="cs"/>
          <w:rtl/>
        </w:rPr>
        <w:t xml:space="preserve"> נדונה ואושרה על ידי הועדה המקומית בקשה להיתר בניה </w:t>
      </w:r>
      <w:r w:rsidRPr="00076367">
        <w:rPr>
          <w:rFonts w:ascii="David" w:hAnsi="David" w:cs="David" w:hint="cs"/>
          <w:u w:val="single"/>
          <w:rtl/>
        </w:rPr>
        <w:t>למ</w:t>
      </w:r>
      <w:r w:rsidR="000F47B2">
        <w:rPr>
          <w:rFonts w:ascii="David" w:hAnsi="David" w:cs="David" w:hint="cs"/>
          <w:u w:val="single"/>
          <w:rtl/>
        </w:rPr>
        <w:t>ג</w:t>
      </w:r>
      <w:r w:rsidRPr="00076367">
        <w:rPr>
          <w:rFonts w:ascii="David" w:hAnsi="David" w:cs="David" w:hint="cs"/>
          <w:u w:val="single"/>
          <w:rtl/>
        </w:rPr>
        <w:t>רש 102</w:t>
      </w:r>
      <w:r w:rsidR="00531D13">
        <w:rPr>
          <w:rFonts w:ascii="David" w:hAnsi="David" w:cs="David" w:hint="cs"/>
          <w:rtl/>
        </w:rPr>
        <w:t>. במסגרת הבקשה התבקשה הריסת מבנים קיימת והקמת 3 בנייני מגרים בני 29 קומות, 336 יח"ד (112 יח"ד בבניין) הכוללים: קומת כניסה גבוהה, 27 קומות מגורים, קומה טכנית +</w:t>
      </w:r>
      <w:r w:rsidR="00531D13">
        <w:rPr>
          <w:rFonts w:ascii="David" w:hAnsi="David" w:cs="David"/>
        </w:rPr>
        <w:t xml:space="preserve"> </w:t>
      </w:r>
      <w:r w:rsidR="00531D13">
        <w:rPr>
          <w:rFonts w:ascii="David" w:hAnsi="David" w:cs="David" w:hint="cs"/>
          <w:rtl/>
        </w:rPr>
        <w:t>קומת מרתף + צובר גז +</w:t>
      </w:r>
      <w:r w:rsidR="00531D13">
        <w:rPr>
          <w:rFonts w:ascii="David" w:hAnsi="David" w:cs="David"/>
        </w:rPr>
        <w:t xml:space="preserve"> </w:t>
      </w:r>
      <w:r w:rsidR="00531D13">
        <w:rPr>
          <w:rFonts w:ascii="David" w:hAnsi="David" w:cs="David" w:hint="cs"/>
          <w:rtl/>
        </w:rPr>
        <w:t>חדר טרפו+ 260 מ"ר לטובת הציבור בקומת הקרקע.</w:t>
      </w:r>
    </w:p>
    <w:p w:rsidR="00531D13" w:rsidRDefault="00531D13" w:rsidP="006C64A1">
      <w:pPr>
        <w:pStyle w:val="a9"/>
        <w:spacing w:line="360" w:lineRule="auto"/>
        <w:ind w:left="360"/>
        <w:contextualSpacing w:val="0"/>
        <w:jc w:val="both"/>
        <w:rPr>
          <w:rFonts w:ascii="David" w:hAnsi="David" w:cs="David"/>
          <w:rtl/>
        </w:rPr>
      </w:pPr>
      <w:r>
        <w:rPr>
          <w:rFonts w:ascii="David" w:hAnsi="David" w:cs="David" w:hint="cs"/>
          <w:rtl/>
        </w:rPr>
        <w:t>במסגרת הבקשה להיתר אושרו ההקלות שלהלן:</w:t>
      </w:r>
    </w:p>
    <w:p w:rsidR="00531D13" w:rsidRDefault="00531D13" w:rsidP="00073883">
      <w:pPr>
        <w:pStyle w:val="a9"/>
        <w:numPr>
          <w:ilvl w:val="0"/>
          <w:numId w:val="3"/>
        </w:numPr>
        <w:spacing w:line="360" w:lineRule="auto"/>
        <w:contextualSpacing w:val="0"/>
        <w:jc w:val="both"/>
        <w:rPr>
          <w:rFonts w:ascii="David" w:hAnsi="David" w:cs="David"/>
        </w:rPr>
      </w:pPr>
      <w:r>
        <w:rPr>
          <w:rFonts w:ascii="David" w:hAnsi="David" w:cs="David" w:hint="cs"/>
          <w:rtl/>
        </w:rPr>
        <w:t>הקלה לתוספת יח"</w:t>
      </w:r>
      <w:r w:rsidR="005D37A8">
        <w:rPr>
          <w:rFonts w:ascii="David" w:hAnsi="David" w:cs="David" w:hint="cs"/>
          <w:rtl/>
        </w:rPr>
        <w:t>ד</w:t>
      </w:r>
      <w:r>
        <w:rPr>
          <w:rFonts w:ascii="David" w:hAnsi="David" w:cs="David" w:hint="cs"/>
          <w:rtl/>
        </w:rPr>
        <w:t xml:space="preserve"> במסגרת 20% עפ"י חוק שבס, באופן שיתקבלו 336 יח"ד במקום 282 יח"ד המותרים </w:t>
      </w:r>
      <w:proofErr w:type="spellStart"/>
      <w:r>
        <w:rPr>
          <w:rFonts w:ascii="David" w:hAnsi="David" w:cs="David" w:hint="cs"/>
          <w:rtl/>
        </w:rPr>
        <w:t>בתב"ע</w:t>
      </w:r>
      <w:proofErr w:type="spellEnd"/>
      <w:r>
        <w:rPr>
          <w:rFonts w:ascii="David" w:hAnsi="David" w:cs="David" w:hint="cs"/>
          <w:rtl/>
        </w:rPr>
        <w:t xml:space="preserve">. </w:t>
      </w:r>
    </w:p>
    <w:p w:rsidR="00531D13" w:rsidRDefault="00531D13" w:rsidP="00073883">
      <w:pPr>
        <w:pStyle w:val="a9"/>
        <w:numPr>
          <w:ilvl w:val="0"/>
          <w:numId w:val="3"/>
        </w:numPr>
        <w:spacing w:line="360" w:lineRule="auto"/>
        <w:contextualSpacing w:val="0"/>
        <w:jc w:val="both"/>
        <w:rPr>
          <w:rFonts w:ascii="David" w:hAnsi="David" w:cs="David"/>
        </w:rPr>
      </w:pPr>
      <w:r>
        <w:rPr>
          <w:rFonts w:ascii="David" w:hAnsi="David" w:cs="David" w:hint="cs"/>
          <w:rtl/>
        </w:rPr>
        <w:t xml:space="preserve">הקלה לתוספת שטח לבניה במסגרת 20% מהשטח הכולל המותר לבניה למגורים במגרש כדלקמן: </w:t>
      </w:r>
    </w:p>
    <w:p w:rsidR="00531D13" w:rsidRDefault="00531D13" w:rsidP="006C64A1">
      <w:pPr>
        <w:pStyle w:val="a9"/>
        <w:spacing w:line="360" w:lineRule="auto"/>
        <w:contextualSpacing w:val="0"/>
        <w:jc w:val="both"/>
        <w:rPr>
          <w:rFonts w:ascii="David" w:hAnsi="David" w:cs="David"/>
          <w:rtl/>
        </w:rPr>
      </w:pPr>
      <w:r>
        <w:rPr>
          <w:rFonts w:ascii="David" w:hAnsi="David" w:cs="David" w:hint="cs"/>
          <w:rtl/>
        </w:rPr>
        <w:t>תוספת שטח עיקרי רגיל בסך 5,358 מ"ר.</w:t>
      </w:r>
    </w:p>
    <w:p w:rsidR="00531D13" w:rsidRDefault="00531D13" w:rsidP="006C64A1">
      <w:pPr>
        <w:pStyle w:val="a9"/>
        <w:spacing w:line="360" w:lineRule="auto"/>
        <w:contextualSpacing w:val="0"/>
        <w:jc w:val="both"/>
        <w:rPr>
          <w:rFonts w:ascii="David" w:hAnsi="David" w:cs="David"/>
          <w:rtl/>
        </w:rPr>
      </w:pPr>
      <w:r>
        <w:rPr>
          <w:rFonts w:ascii="David" w:hAnsi="David" w:cs="David" w:hint="cs"/>
          <w:rtl/>
        </w:rPr>
        <w:t>תוספת שטח עיקרי למרפסות בסך של 731.06 מ"ר.</w:t>
      </w:r>
    </w:p>
    <w:p w:rsidR="00531D13" w:rsidRDefault="00531D13" w:rsidP="00073883">
      <w:pPr>
        <w:pStyle w:val="a9"/>
        <w:numPr>
          <w:ilvl w:val="0"/>
          <w:numId w:val="3"/>
        </w:numPr>
        <w:spacing w:line="360" w:lineRule="auto"/>
        <w:contextualSpacing w:val="0"/>
        <w:jc w:val="both"/>
        <w:rPr>
          <w:rFonts w:ascii="David" w:hAnsi="David" w:cs="David"/>
          <w:rtl/>
        </w:rPr>
      </w:pPr>
      <w:r>
        <w:rPr>
          <w:rFonts w:ascii="David" w:hAnsi="David" w:cs="David" w:hint="cs"/>
          <w:rtl/>
        </w:rPr>
        <w:t>תוספת שטח שירות עילי בסך של 2,021.42 מ"ר.</w:t>
      </w:r>
    </w:p>
    <w:p w:rsidR="00076367" w:rsidRDefault="00D466E3" w:rsidP="006C64A1">
      <w:pPr>
        <w:pStyle w:val="a9"/>
        <w:numPr>
          <w:ilvl w:val="0"/>
          <w:numId w:val="1"/>
        </w:numPr>
        <w:spacing w:line="360" w:lineRule="auto"/>
        <w:contextualSpacing w:val="0"/>
        <w:jc w:val="both"/>
        <w:rPr>
          <w:rFonts w:ascii="David" w:hAnsi="David" w:cs="David"/>
        </w:rPr>
      </w:pPr>
      <w:r>
        <w:rPr>
          <w:rFonts w:ascii="David" w:hAnsi="David" w:cs="David" w:hint="cs"/>
          <w:rtl/>
        </w:rPr>
        <w:t xml:space="preserve">לשם הנוחות שתי התכנית החדשות מושא </w:t>
      </w:r>
      <w:proofErr w:type="spellStart"/>
      <w:r>
        <w:rPr>
          <w:rFonts w:ascii="David" w:hAnsi="David" w:cs="David" w:hint="cs"/>
          <w:rtl/>
        </w:rPr>
        <w:t>העררים</w:t>
      </w:r>
      <w:proofErr w:type="spellEnd"/>
      <w:r>
        <w:rPr>
          <w:rFonts w:ascii="David" w:hAnsi="David" w:cs="David" w:hint="cs"/>
          <w:rtl/>
        </w:rPr>
        <w:t xml:space="preserve"> בי/517 </w:t>
      </w:r>
      <w:proofErr w:type="spellStart"/>
      <w:r>
        <w:rPr>
          <w:rFonts w:ascii="David" w:hAnsi="David" w:cs="David" w:hint="cs"/>
          <w:rtl/>
        </w:rPr>
        <w:t>וב</w:t>
      </w:r>
      <w:proofErr w:type="spellEnd"/>
      <w:r>
        <w:rPr>
          <w:rFonts w:ascii="David" w:hAnsi="David" w:cs="David" w:hint="cs"/>
          <w:rtl/>
        </w:rPr>
        <w:t xml:space="preserve">-/1/517/מק ייקראו יחדיו להלן </w:t>
      </w:r>
      <w:r>
        <w:rPr>
          <w:rFonts w:ascii="David" w:hAnsi="David" w:cs="David"/>
          <w:rtl/>
        </w:rPr>
        <w:t>–</w:t>
      </w:r>
      <w:r>
        <w:rPr>
          <w:rFonts w:ascii="David" w:hAnsi="David" w:cs="David" w:hint="cs"/>
          <w:rtl/>
        </w:rPr>
        <w:t xml:space="preserve"> "</w:t>
      </w:r>
      <w:r w:rsidRPr="00D466E3">
        <w:rPr>
          <w:rFonts w:ascii="David" w:hAnsi="David" w:cs="David" w:hint="cs"/>
          <w:b/>
          <w:bCs/>
          <w:rtl/>
        </w:rPr>
        <w:t>התכניות המשביחות</w:t>
      </w:r>
      <w:r>
        <w:rPr>
          <w:rFonts w:ascii="David" w:hAnsi="David" w:cs="David" w:hint="cs"/>
          <w:rtl/>
        </w:rPr>
        <w:t>")</w:t>
      </w:r>
      <w:r w:rsidR="00C654F6">
        <w:rPr>
          <w:rFonts w:ascii="David" w:hAnsi="David" w:cs="David" w:hint="cs"/>
          <w:rtl/>
        </w:rPr>
        <w:t xml:space="preserve"> וכן אישור הבקשות להיתר שכללו הקלות </w:t>
      </w:r>
      <w:r w:rsidR="00C654F6">
        <w:rPr>
          <w:rFonts w:ascii="David" w:hAnsi="David" w:cs="David"/>
          <w:rtl/>
        </w:rPr>
        <w:t>–</w:t>
      </w:r>
      <w:r w:rsidR="00C654F6">
        <w:rPr>
          <w:rFonts w:ascii="David" w:hAnsi="David" w:cs="David" w:hint="cs"/>
          <w:rtl/>
        </w:rPr>
        <w:t xml:space="preserve"> (להלן </w:t>
      </w:r>
      <w:r w:rsidR="00C654F6">
        <w:rPr>
          <w:rFonts w:ascii="David" w:hAnsi="David" w:cs="David"/>
          <w:rtl/>
        </w:rPr>
        <w:t>–</w:t>
      </w:r>
      <w:r w:rsidR="00C654F6">
        <w:rPr>
          <w:rFonts w:ascii="David" w:hAnsi="David" w:cs="David" w:hint="cs"/>
          <w:rtl/>
        </w:rPr>
        <w:t>"</w:t>
      </w:r>
      <w:r w:rsidR="00C654F6">
        <w:rPr>
          <w:rFonts w:ascii="David" w:hAnsi="David" w:cs="David" w:hint="cs"/>
          <w:b/>
          <w:bCs/>
          <w:rtl/>
        </w:rPr>
        <w:t>אישור ההקלות</w:t>
      </w:r>
      <w:r w:rsidR="00C654F6">
        <w:rPr>
          <w:rFonts w:ascii="David" w:hAnsi="David" w:cs="David" w:hint="cs"/>
          <w:rtl/>
        </w:rPr>
        <w:t>").</w:t>
      </w:r>
    </w:p>
    <w:p w:rsidR="00076367" w:rsidRPr="00D02FAD" w:rsidRDefault="00D466E3" w:rsidP="005C5148">
      <w:pPr>
        <w:pStyle w:val="1"/>
        <w:rPr>
          <w:rtl/>
        </w:rPr>
      </w:pPr>
      <w:bookmarkStart w:id="2" w:name="_Toc203992500"/>
      <w:bookmarkStart w:id="3" w:name="_Toc204504383"/>
      <w:r w:rsidRPr="00D02FAD">
        <w:rPr>
          <w:rFonts w:hint="cs"/>
          <w:rtl/>
        </w:rPr>
        <w:t>שומות ההשבחה וההליכים שנוהלו בפני השמאית המכריעה</w:t>
      </w:r>
      <w:bookmarkEnd w:id="2"/>
      <w:bookmarkEnd w:id="3"/>
    </w:p>
    <w:p w:rsidR="00D466E3" w:rsidRDefault="00D466E3" w:rsidP="006C64A1">
      <w:pPr>
        <w:pStyle w:val="a9"/>
        <w:numPr>
          <w:ilvl w:val="0"/>
          <w:numId w:val="1"/>
        </w:numPr>
        <w:spacing w:line="360" w:lineRule="auto"/>
        <w:contextualSpacing w:val="0"/>
        <w:jc w:val="both"/>
        <w:rPr>
          <w:rFonts w:ascii="David" w:hAnsi="David" w:cs="David"/>
        </w:rPr>
      </w:pPr>
      <w:r w:rsidRPr="00850B6B">
        <w:rPr>
          <w:rFonts w:ascii="David" w:hAnsi="David" w:cs="David"/>
          <w:rtl/>
        </w:rPr>
        <w:t xml:space="preserve">לאור מימוש זכויות </w:t>
      </w:r>
      <w:r>
        <w:rPr>
          <w:rFonts w:ascii="David" w:hAnsi="David" w:cs="David" w:hint="cs"/>
          <w:rtl/>
        </w:rPr>
        <w:t xml:space="preserve">בדרך של מכירה והיתר בניה </w:t>
      </w:r>
      <w:r w:rsidRPr="00850B6B">
        <w:rPr>
          <w:rFonts w:ascii="David" w:hAnsi="David" w:cs="David"/>
          <w:rtl/>
        </w:rPr>
        <w:t xml:space="preserve">במגרשים </w:t>
      </w:r>
      <w:r>
        <w:rPr>
          <w:rFonts w:ascii="David" w:hAnsi="David" w:cs="David" w:hint="cs"/>
          <w:rtl/>
        </w:rPr>
        <w:t xml:space="preserve">101 ו-102 הנובעים מאישור התכניות המשביחות וכן אישור הקלות ביחס אליהם </w:t>
      </w:r>
      <w:r w:rsidRPr="00850B6B">
        <w:rPr>
          <w:rFonts w:ascii="David" w:hAnsi="David" w:cs="David"/>
          <w:rtl/>
        </w:rPr>
        <w:t xml:space="preserve">המציאה הועדה המקומית </w:t>
      </w:r>
      <w:r>
        <w:rPr>
          <w:rFonts w:ascii="David" w:hAnsi="David" w:cs="David" w:hint="cs"/>
          <w:rtl/>
        </w:rPr>
        <w:t xml:space="preserve">לתכנון ולבניה בת ים (להלן </w:t>
      </w:r>
      <w:r>
        <w:rPr>
          <w:rFonts w:ascii="David" w:hAnsi="David" w:cs="David"/>
          <w:rtl/>
        </w:rPr>
        <w:t>–</w:t>
      </w:r>
      <w:r>
        <w:rPr>
          <w:rFonts w:ascii="David" w:hAnsi="David" w:cs="David" w:hint="cs"/>
          <w:rtl/>
        </w:rPr>
        <w:t xml:space="preserve"> "</w:t>
      </w:r>
      <w:r w:rsidRPr="003436DE">
        <w:rPr>
          <w:rFonts w:ascii="David" w:hAnsi="David" w:cs="David" w:hint="cs"/>
          <w:b/>
          <w:bCs/>
          <w:rtl/>
        </w:rPr>
        <w:t>הועדה המקומית</w:t>
      </w:r>
      <w:r w:rsidR="003361D0">
        <w:rPr>
          <w:rFonts w:ascii="David" w:hAnsi="David" w:cs="David"/>
          <w:rtl/>
        </w:rPr>
        <w:t>") ל</w:t>
      </w:r>
      <w:r w:rsidR="003361D0">
        <w:rPr>
          <w:rFonts w:ascii="David" w:hAnsi="David" w:cs="David" w:hint="eastAsia"/>
          <w:rtl/>
        </w:rPr>
        <w:t>חברה</w:t>
      </w:r>
      <w:r w:rsidRPr="00850B6B">
        <w:rPr>
          <w:rFonts w:ascii="David" w:hAnsi="David" w:cs="David"/>
          <w:rtl/>
        </w:rPr>
        <w:t xml:space="preserve"> </w:t>
      </w:r>
      <w:r>
        <w:rPr>
          <w:rFonts w:ascii="David" w:hAnsi="David" w:cs="David" w:hint="cs"/>
          <w:rtl/>
        </w:rPr>
        <w:t xml:space="preserve">דרישות היטל השבחה שהתבססו על שומות </w:t>
      </w:r>
      <w:r w:rsidR="00D02FAD">
        <w:rPr>
          <w:rFonts w:ascii="David" w:hAnsi="David" w:cs="David" w:hint="cs"/>
          <w:rtl/>
        </w:rPr>
        <w:t xml:space="preserve">שנערכו </w:t>
      </w:r>
      <w:r w:rsidR="00C654F6">
        <w:rPr>
          <w:rFonts w:ascii="David" w:hAnsi="David" w:cs="David" w:hint="cs"/>
          <w:rtl/>
        </w:rPr>
        <w:t>ע"י</w:t>
      </w:r>
      <w:r>
        <w:rPr>
          <w:rFonts w:ascii="David" w:hAnsi="David" w:cs="David" w:hint="cs"/>
          <w:rtl/>
        </w:rPr>
        <w:t xml:space="preserve"> השמאי מר יורם ברק מיום 18.11.2020 (להלן </w:t>
      </w:r>
      <w:r>
        <w:rPr>
          <w:rFonts w:ascii="David" w:hAnsi="David" w:cs="David"/>
          <w:rtl/>
        </w:rPr>
        <w:t>–</w:t>
      </w:r>
      <w:r>
        <w:rPr>
          <w:rFonts w:ascii="David" w:hAnsi="David" w:cs="David" w:hint="cs"/>
          <w:rtl/>
        </w:rPr>
        <w:t xml:space="preserve"> </w:t>
      </w:r>
      <w:r>
        <w:rPr>
          <w:rFonts w:ascii="David" w:hAnsi="David" w:cs="David" w:hint="cs"/>
          <w:b/>
          <w:bCs/>
          <w:rtl/>
        </w:rPr>
        <w:t>"</w:t>
      </w:r>
      <w:r w:rsidRPr="00850B6B">
        <w:rPr>
          <w:rFonts w:ascii="David" w:hAnsi="David" w:cs="David" w:hint="cs"/>
          <w:b/>
          <w:bCs/>
          <w:rtl/>
        </w:rPr>
        <w:t>שומ</w:t>
      </w:r>
      <w:r>
        <w:rPr>
          <w:rFonts w:ascii="David" w:hAnsi="David" w:cs="David" w:hint="cs"/>
          <w:b/>
          <w:bCs/>
          <w:rtl/>
        </w:rPr>
        <w:t>ו</w:t>
      </w:r>
      <w:r w:rsidRPr="00850B6B">
        <w:rPr>
          <w:rFonts w:ascii="David" w:hAnsi="David" w:cs="David" w:hint="cs"/>
          <w:b/>
          <w:bCs/>
          <w:rtl/>
        </w:rPr>
        <w:t>ת הועדה המקומית</w:t>
      </w:r>
      <w:r>
        <w:rPr>
          <w:rFonts w:ascii="David" w:hAnsi="David" w:cs="David" w:hint="cs"/>
          <w:rtl/>
        </w:rPr>
        <w:t>")</w:t>
      </w:r>
      <w:r w:rsidR="00C654F6">
        <w:rPr>
          <w:rFonts w:ascii="David" w:hAnsi="David" w:cs="David" w:hint="cs"/>
          <w:rtl/>
        </w:rPr>
        <w:t xml:space="preserve"> שקבע השבחה לשני המגרשים בהיקף של כרבע מיליארד ש"ח</w:t>
      </w:r>
      <w:r>
        <w:rPr>
          <w:rFonts w:ascii="David" w:hAnsi="David" w:cs="David" w:hint="cs"/>
          <w:rtl/>
        </w:rPr>
        <w:t>.</w:t>
      </w:r>
    </w:p>
    <w:p w:rsidR="00D466E3" w:rsidRDefault="00D466E3" w:rsidP="006C64A1">
      <w:pPr>
        <w:pStyle w:val="a9"/>
        <w:numPr>
          <w:ilvl w:val="0"/>
          <w:numId w:val="1"/>
        </w:numPr>
        <w:spacing w:line="360" w:lineRule="auto"/>
        <w:contextualSpacing w:val="0"/>
        <w:jc w:val="both"/>
        <w:rPr>
          <w:rFonts w:ascii="David" w:hAnsi="David" w:cs="David"/>
        </w:rPr>
      </w:pPr>
      <w:r>
        <w:rPr>
          <w:rFonts w:ascii="David" w:hAnsi="David" w:cs="David" w:hint="cs"/>
          <w:rtl/>
        </w:rPr>
        <w:t>החברה חלקה על שומ</w:t>
      </w:r>
      <w:r w:rsidR="008D5D29">
        <w:rPr>
          <w:rFonts w:ascii="David" w:hAnsi="David" w:cs="David" w:hint="cs"/>
          <w:rtl/>
        </w:rPr>
        <w:t>ו</w:t>
      </w:r>
      <w:r>
        <w:rPr>
          <w:rFonts w:ascii="David" w:hAnsi="David" w:cs="David" w:hint="cs"/>
          <w:rtl/>
        </w:rPr>
        <w:t xml:space="preserve">ת הועדה המקומית ולפיכך הגישה שומה מטעמה </w:t>
      </w:r>
      <w:r w:rsidR="00D02FAD">
        <w:rPr>
          <w:rFonts w:ascii="David" w:hAnsi="David" w:cs="David" w:hint="cs"/>
          <w:rtl/>
        </w:rPr>
        <w:t xml:space="preserve">שנערכה </w:t>
      </w:r>
      <w:r w:rsidR="00C654F6">
        <w:rPr>
          <w:rFonts w:ascii="David" w:hAnsi="David" w:cs="David" w:hint="cs"/>
          <w:rtl/>
        </w:rPr>
        <w:t>ע"י</w:t>
      </w:r>
      <w:r>
        <w:rPr>
          <w:rFonts w:ascii="David" w:hAnsi="David" w:cs="David" w:hint="cs"/>
          <w:rtl/>
        </w:rPr>
        <w:t xml:space="preserve"> השמאים ה"ה יצחק שפיגל ומאיר </w:t>
      </w:r>
      <w:proofErr w:type="spellStart"/>
      <w:r>
        <w:rPr>
          <w:rFonts w:ascii="David" w:hAnsi="David" w:cs="David" w:hint="cs"/>
          <w:rtl/>
        </w:rPr>
        <w:t>נדלר</w:t>
      </w:r>
      <w:proofErr w:type="spellEnd"/>
      <w:r>
        <w:rPr>
          <w:rFonts w:ascii="David" w:hAnsi="David" w:cs="David" w:hint="cs"/>
          <w:rtl/>
        </w:rPr>
        <w:t xml:space="preserve"> מיום 25.3.2021.</w:t>
      </w:r>
    </w:p>
    <w:p w:rsidR="008D5D29" w:rsidRDefault="008D5D29" w:rsidP="006C64A1">
      <w:pPr>
        <w:pStyle w:val="a9"/>
        <w:numPr>
          <w:ilvl w:val="0"/>
          <w:numId w:val="1"/>
        </w:numPr>
        <w:spacing w:line="360" w:lineRule="auto"/>
        <w:contextualSpacing w:val="0"/>
        <w:jc w:val="both"/>
        <w:rPr>
          <w:rFonts w:ascii="David" w:hAnsi="David" w:cs="David"/>
        </w:rPr>
      </w:pPr>
      <w:r>
        <w:rPr>
          <w:rFonts w:ascii="David" w:hAnsi="David" w:cs="David" w:hint="cs"/>
          <w:rtl/>
        </w:rPr>
        <w:t xml:space="preserve">לאור המחלוקות בין הצדדים מונתה כב' השמאית המכריעה הגב' רמה מאור על מנת לפסוק בדבר גובה ההשבחה החלה בשווי המקרקעין בעקבות אישור התכניות המשביחות וההקלות במגרשים 101 ו-102. </w:t>
      </w:r>
    </w:p>
    <w:p w:rsidR="008D5D29" w:rsidRDefault="008D5D29" w:rsidP="006C64A1">
      <w:pPr>
        <w:pStyle w:val="a9"/>
        <w:numPr>
          <w:ilvl w:val="0"/>
          <w:numId w:val="1"/>
        </w:numPr>
        <w:spacing w:line="360" w:lineRule="auto"/>
        <w:contextualSpacing w:val="0"/>
        <w:jc w:val="both"/>
        <w:rPr>
          <w:rFonts w:ascii="David" w:hAnsi="David" w:cs="David"/>
        </w:rPr>
      </w:pPr>
      <w:r>
        <w:rPr>
          <w:rFonts w:ascii="David" w:hAnsi="David" w:cs="David" w:hint="cs"/>
          <w:rtl/>
        </w:rPr>
        <w:t>ביום 24.6.</w:t>
      </w:r>
      <w:r w:rsidR="000F47B2">
        <w:rPr>
          <w:rFonts w:ascii="David" w:hAnsi="David" w:cs="David" w:hint="cs"/>
          <w:rtl/>
        </w:rPr>
        <w:t>20</w:t>
      </w:r>
      <w:r>
        <w:rPr>
          <w:rFonts w:ascii="David" w:hAnsi="David" w:cs="David" w:hint="cs"/>
          <w:rtl/>
        </w:rPr>
        <w:t>21 הגישה הועדה המקומית את התייחסותה לשומה האחרת.</w:t>
      </w:r>
    </w:p>
    <w:p w:rsidR="008D5D29" w:rsidRDefault="008D5D29" w:rsidP="006C64A1">
      <w:pPr>
        <w:pStyle w:val="a9"/>
        <w:numPr>
          <w:ilvl w:val="0"/>
          <w:numId w:val="1"/>
        </w:numPr>
        <w:spacing w:line="360" w:lineRule="auto"/>
        <w:contextualSpacing w:val="0"/>
        <w:jc w:val="both"/>
        <w:rPr>
          <w:rFonts w:ascii="David" w:hAnsi="David" w:cs="David"/>
        </w:rPr>
      </w:pPr>
      <w:r>
        <w:rPr>
          <w:rFonts w:ascii="David" w:hAnsi="David" w:cs="David" w:hint="cs"/>
          <w:rtl/>
        </w:rPr>
        <w:t>ביום 11.8.</w:t>
      </w:r>
      <w:r w:rsidR="000F47B2">
        <w:rPr>
          <w:rFonts w:ascii="David" w:hAnsi="David" w:cs="David" w:hint="cs"/>
          <w:rtl/>
        </w:rPr>
        <w:t>20</w:t>
      </w:r>
      <w:r>
        <w:rPr>
          <w:rFonts w:ascii="David" w:hAnsi="David" w:cs="David" w:hint="cs"/>
          <w:rtl/>
        </w:rPr>
        <w:t>21 הגישה החברה את תגובתה להתייחסות הועדה המקומית.</w:t>
      </w:r>
    </w:p>
    <w:p w:rsidR="008D5D29" w:rsidRDefault="008D5D29" w:rsidP="006C64A1">
      <w:pPr>
        <w:pStyle w:val="a9"/>
        <w:numPr>
          <w:ilvl w:val="0"/>
          <w:numId w:val="1"/>
        </w:numPr>
        <w:spacing w:line="360" w:lineRule="auto"/>
        <w:contextualSpacing w:val="0"/>
        <w:jc w:val="both"/>
        <w:rPr>
          <w:rFonts w:ascii="David" w:hAnsi="David" w:cs="David"/>
        </w:rPr>
      </w:pPr>
      <w:r w:rsidRPr="008D5D29">
        <w:rPr>
          <w:rFonts w:ascii="David" w:hAnsi="David" w:cs="David" w:hint="cs"/>
          <w:rtl/>
        </w:rPr>
        <w:t>ביום 11.8.</w:t>
      </w:r>
      <w:r w:rsidR="000F47B2">
        <w:rPr>
          <w:rFonts w:ascii="David" w:hAnsi="David" w:cs="David" w:hint="cs"/>
          <w:rtl/>
        </w:rPr>
        <w:t>20</w:t>
      </w:r>
      <w:r w:rsidRPr="008D5D29">
        <w:rPr>
          <w:rFonts w:ascii="David" w:hAnsi="David" w:cs="David" w:hint="cs"/>
          <w:rtl/>
        </w:rPr>
        <w:t>21 התקיים דיון בפני השמאית המכריעה</w:t>
      </w:r>
      <w:r>
        <w:rPr>
          <w:rFonts w:ascii="David" w:hAnsi="David" w:cs="David" w:hint="cs"/>
          <w:rtl/>
        </w:rPr>
        <w:t>.</w:t>
      </w:r>
    </w:p>
    <w:p w:rsidR="008D5D29" w:rsidRDefault="008D5D29" w:rsidP="006C64A1">
      <w:pPr>
        <w:pStyle w:val="a9"/>
        <w:numPr>
          <w:ilvl w:val="0"/>
          <w:numId w:val="1"/>
        </w:numPr>
        <w:spacing w:line="360" w:lineRule="auto"/>
        <w:contextualSpacing w:val="0"/>
        <w:jc w:val="both"/>
        <w:rPr>
          <w:rFonts w:ascii="David" w:hAnsi="David" w:cs="David"/>
        </w:rPr>
      </w:pPr>
      <w:r>
        <w:rPr>
          <w:rFonts w:ascii="David" w:hAnsi="David" w:cs="David" w:hint="cs"/>
          <w:rtl/>
        </w:rPr>
        <w:t>ביום 20.10.</w:t>
      </w:r>
      <w:r w:rsidR="000F47B2">
        <w:rPr>
          <w:rFonts w:ascii="David" w:hAnsi="David" w:cs="David" w:hint="cs"/>
          <w:rtl/>
        </w:rPr>
        <w:t>20</w:t>
      </w:r>
      <w:r>
        <w:rPr>
          <w:rFonts w:ascii="David" w:hAnsi="David" w:cs="David" w:hint="cs"/>
          <w:rtl/>
        </w:rPr>
        <w:t>21 נתנה תגובת שמאי הועדה המקומית לתגובת החברה.</w:t>
      </w:r>
    </w:p>
    <w:p w:rsidR="008D5D29" w:rsidRPr="00C654F6" w:rsidRDefault="008D5D29" w:rsidP="006C64A1">
      <w:pPr>
        <w:pStyle w:val="a9"/>
        <w:numPr>
          <w:ilvl w:val="0"/>
          <w:numId w:val="1"/>
        </w:numPr>
        <w:spacing w:line="360" w:lineRule="auto"/>
        <w:contextualSpacing w:val="0"/>
        <w:jc w:val="both"/>
        <w:rPr>
          <w:rFonts w:ascii="David" w:hAnsi="David" w:cs="David"/>
        </w:rPr>
      </w:pPr>
      <w:r w:rsidRPr="00C654F6">
        <w:rPr>
          <w:rFonts w:ascii="David" w:hAnsi="David" w:cs="David" w:hint="cs"/>
          <w:rtl/>
        </w:rPr>
        <w:t>כמו כן</w:t>
      </w:r>
      <w:r w:rsidR="00472981" w:rsidRPr="00C654F6">
        <w:rPr>
          <w:rFonts w:ascii="David" w:hAnsi="David" w:cs="David" w:hint="cs"/>
          <w:rtl/>
        </w:rPr>
        <w:t xml:space="preserve">, </w:t>
      </w:r>
      <w:r w:rsidRPr="00C654F6">
        <w:rPr>
          <w:rFonts w:ascii="David" w:hAnsi="David" w:cs="David" w:hint="cs"/>
          <w:rtl/>
        </w:rPr>
        <w:t>במסגרת ההליך בפני השמאית המכריעה הועל</w:t>
      </w:r>
      <w:r w:rsidR="000F47B2">
        <w:rPr>
          <w:rFonts w:ascii="David" w:hAnsi="David" w:cs="David" w:hint="cs"/>
          <w:rtl/>
        </w:rPr>
        <w:t>ת</w:t>
      </w:r>
      <w:r w:rsidRPr="00C654F6">
        <w:rPr>
          <w:rFonts w:ascii="David" w:hAnsi="David" w:cs="David" w:hint="cs"/>
          <w:rtl/>
        </w:rPr>
        <w:t>ה מטעמה באופן יזום העובדה כי קיימת הכרזה על האזור במסגרת פרויקט שיקום שכונות ועל כן בקשה את התייחסות הצדדים בשאלת הזכאות לפטור בנסיבות אלו.</w:t>
      </w:r>
      <w:r w:rsidR="00C654F6">
        <w:rPr>
          <w:rFonts w:ascii="David" w:hAnsi="David" w:cs="David" w:hint="cs"/>
          <w:rtl/>
        </w:rPr>
        <w:t xml:space="preserve"> </w:t>
      </w:r>
      <w:r w:rsidRPr="00C654F6">
        <w:rPr>
          <w:rFonts w:ascii="David" w:hAnsi="David" w:cs="David" w:hint="cs"/>
          <w:rtl/>
        </w:rPr>
        <w:t xml:space="preserve">לאור השאלה שהועלתה מטעם השמאית המכריעה, העבירו הצדדים את עמדתם בשאלה האם קיומה של ההכרזה על שיקום שכונות מביאה לזכאות לפטור לדירות בפרויקט הריסה ובניה חדשה בתכנית פינוי בינוי. </w:t>
      </w:r>
    </w:p>
    <w:p w:rsidR="00D466E3" w:rsidRPr="00C654F6" w:rsidRDefault="00D466E3" w:rsidP="006C64A1">
      <w:pPr>
        <w:pStyle w:val="a9"/>
        <w:numPr>
          <w:ilvl w:val="0"/>
          <w:numId w:val="1"/>
        </w:numPr>
        <w:spacing w:line="360" w:lineRule="auto"/>
        <w:contextualSpacing w:val="0"/>
        <w:jc w:val="both"/>
        <w:rPr>
          <w:rFonts w:ascii="David" w:hAnsi="David" w:cs="David"/>
        </w:rPr>
      </w:pPr>
      <w:r w:rsidRPr="00C654F6">
        <w:rPr>
          <w:rFonts w:ascii="David" w:hAnsi="David" w:cs="David" w:hint="cs"/>
          <w:rtl/>
        </w:rPr>
        <w:t xml:space="preserve">לצורך קבלת היתרי בניה לפרויקט ובתיאום עם הועדה המקומית שילמה החברה </w:t>
      </w:r>
      <w:proofErr w:type="spellStart"/>
      <w:r w:rsidRPr="00C654F6">
        <w:rPr>
          <w:rFonts w:ascii="David" w:hAnsi="David" w:cs="David" w:hint="cs"/>
          <w:rtl/>
        </w:rPr>
        <w:t>לועדה</w:t>
      </w:r>
      <w:proofErr w:type="spellEnd"/>
      <w:r w:rsidRPr="00C654F6">
        <w:rPr>
          <w:rFonts w:ascii="David" w:hAnsi="David" w:cs="David" w:hint="cs"/>
          <w:rtl/>
        </w:rPr>
        <w:t xml:space="preserve"> המקומית ביום 31.12.</w:t>
      </w:r>
      <w:r w:rsidR="000F47B2">
        <w:rPr>
          <w:rFonts w:ascii="David" w:hAnsi="David" w:cs="David" w:hint="cs"/>
          <w:rtl/>
        </w:rPr>
        <w:t>20</w:t>
      </w:r>
      <w:r w:rsidRPr="00C654F6">
        <w:rPr>
          <w:rFonts w:ascii="David" w:hAnsi="David" w:cs="David" w:hint="cs"/>
          <w:rtl/>
        </w:rPr>
        <w:t>21</w:t>
      </w:r>
      <w:r w:rsidR="00D02FAD">
        <w:rPr>
          <w:rFonts w:ascii="David" w:hAnsi="David" w:cs="David" w:hint="cs"/>
          <w:rtl/>
        </w:rPr>
        <w:t>,</w:t>
      </w:r>
      <w:r w:rsidRPr="00C654F6">
        <w:rPr>
          <w:rFonts w:ascii="David" w:hAnsi="David" w:cs="David" w:hint="cs"/>
          <w:rtl/>
        </w:rPr>
        <w:t xml:space="preserve"> 50% מדרישות היטל </w:t>
      </w:r>
      <w:r w:rsidR="00472981" w:rsidRPr="00C654F6">
        <w:rPr>
          <w:rFonts w:ascii="David" w:hAnsi="David" w:cs="David" w:hint="cs"/>
          <w:rtl/>
        </w:rPr>
        <w:t>ה</w:t>
      </w:r>
      <w:r w:rsidRPr="00C654F6">
        <w:rPr>
          <w:rFonts w:ascii="David" w:hAnsi="David" w:cs="David" w:hint="cs"/>
          <w:rtl/>
        </w:rPr>
        <w:t>השבחה בהתאם לשומות הועדה המקומית</w:t>
      </w:r>
      <w:r w:rsidR="00D02FAD">
        <w:rPr>
          <w:rFonts w:ascii="David" w:hAnsi="David" w:cs="David" w:hint="cs"/>
          <w:rtl/>
        </w:rPr>
        <w:t>,</w:t>
      </w:r>
      <w:r w:rsidRPr="00C654F6">
        <w:rPr>
          <w:rFonts w:ascii="David" w:hAnsi="David" w:cs="David" w:hint="cs"/>
          <w:rtl/>
        </w:rPr>
        <w:t xml:space="preserve"> בסכום של 60,998,941 ₪. בנוסף הפקידה החברה בידי הועדה המקומית ערבות בנקאית אוטונומית בגובה זה (50% מדרישות היטל ההשבחה בהתאם לשומ</w:t>
      </w:r>
      <w:r w:rsidR="00472981" w:rsidRPr="00C654F6">
        <w:rPr>
          <w:rFonts w:ascii="David" w:hAnsi="David" w:cs="David" w:hint="cs"/>
          <w:rtl/>
        </w:rPr>
        <w:t>ו</w:t>
      </w:r>
      <w:r w:rsidRPr="00C654F6">
        <w:rPr>
          <w:rFonts w:ascii="David" w:hAnsi="David" w:cs="David" w:hint="cs"/>
          <w:rtl/>
        </w:rPr>
        <w:t>ת הועדה המקומית).</w:t>
      </w:r>
    </w:p>
    <w:p w:rsidR="00D466E3" w:rsidRDefault="00D466E3" w:rsidP="006C64A1">
      <w:pPr>
        <w:pStyle w:val="a9"/>
        <w:numPr>
          <w:ilvl w:val="0"/>
          <w:numId w:val="1"/>
        </w:numPr>
        <w:spacing w:line="360" w:lineRule="auto"/>
        <w:contextualSpacing w:val="0"/>
        <w:jc w:val="both"/>
        <w:rPr>
          <w:rFonts w:ascii="David" w:hAnsi="David" w:cs="David"/>
        </w:rPr>
      </w:pPr>
      <w:r>
        <w:rPr>
          <w:rFonts w:ascii="David" w:hAnsi="David" w:cs="David" w:hint="cs"/>
          <w:rtl/>
        </w:rPr>
        <w:t xml:space="preserve">ביום </w:t>
      </w:r>
      <w:r w:rsidR="00AF191A">
        <w:rPr>
          <w:rFonts w:ascii="David" w:hAnsi="David" w:cs="David" w:hint="cs"/>
          <w:rtl/>
        </w:rPr>
        <w:t>20.6</w:t>
      </w:r>
      <w:r>
        <w:rPr>
          <w:rFonts w:ascii="David" w:hAnsi="David" w:cs="David" w:hint="cs"/>
          <w:rtl/>
        </w:rPr>
        <w:t xml:space="preserve">.22 </w:t>
      </w:r>
      <w:r w:rsidR="00AF191A">
        <w:rPr>
          <w:rFonts w:ascii="David" w:hAnsi="David" w:cs="David" w:hint="cs"/>
          <w:rtl/>
        </w:rPr>
        <w:t>נתנו</w:t>
      </w:r>
      <w:r>
        <w:rPr>
          <w:rFonts w:ascii="David" w:hAnsi="David" w:cs="David" w:hint="cs"/>
          <w:rtl/>
        </w:rPr>
        <w:t xml:space="preserve"> השומות המכריעות לגבי שני המגרשים 101 ו-102</w:t>
      </w:r>
      <w:r w:rsidR="00AF191A">
        <w:rPr>
          <w:rFonts w:ascii="David" w:hAnsi="David" w:cs="David" w:hint="cs"/>
          <w:rtl/>
        </w:rPr>
        <w:t xml:space="preserve"> אשר הומצאו לכל צד בזמנים שונים.</w:t>
      </w:r>
    </w:p>
    <w:p w:rsidR="00472981" w:rsidRDefault="00D466E3" w:rsidP="006C64A1">
      <w:pPr>
        <w:pStyle w:val="a9"/>
        <w:numPr>
          <w:ilvl w:val="0"/>
          <w:numId w:val="1"/>
        </w:numPr>
        <w:spacing w:line="360" w:lineRule="auto"/>
        <w:contextualSpacing w:val="0"/>
        <w:jc w:val="both"/>
        <w:rPr>
          <w:rFonts w:ascii="David" w:hAnsi="David" w:cs="David"/>
        </w:rPr>
      </w:pPr>
      <w:r>
        <w:rPr>
          <w:rFonts w:ascii="David" w:hAnsi="David" w:cs="David" w:hint="cs"/>
          <w:rtl/>
        </w:rPr>
        <w:t>מכאן העררים שבפנינו.</w:t>
      </w:r>
    </w:p>
    <w:p w:rsidR="005C3D5C" w:rsidRPr="005C3D5C" w:rsidRDefault="00B96FBC" w:rsidP="005C5148">
      <w:pPr>
        <w:pStyle w:val="1"/>
      </w:pPr>
      <w:bookmarkStart w:id="4" w:name="_Toc203992501"/>
      <w:r>
        <w:rPr>
          <w:rtl/>
        </w:rPr>
        <w:br/>
      </w:r>
      <w:bookmarkStart w:id="5" w:name="_Toc204504384"/>
      <w:r w:rsidR="005C3D5C" w:rsidRPr="005C3D5C">
        <w:rPr>
          <w:rFonts w:hint="cs"/>
          <w:rtl/>
        </w:rPr>
        <w:t>ההליך שהתנהל בפני ועדת הערר</w:t>
      </w:r>
      <w:bookmarkEnd w:id="4"/>
      <w:bookmarkEnd w:id="5"/>
      <w:r w:rsidR="005C3D5C" w:rsidRPr="005C3D5C">
        <w:rPr>
          <w:rFonts w:hint="cs"/>
          <w:rtl/>
        </w:rPr>
        <w:t xml:space="preserve"> </w:t>
      </w:r>
    </w:p>
    <w:p w:rsidR="00077AA3" w:rsidRDefault="005C3D5C" w:rsidP="006C64A1">
      <w:pPr>
        <w:pStyle w:val="a9"/>
        <w:numPr>
          <w:ilvl w:val="0"/>
          <w:numId w:val="1"/>
        </w:numPr>
        <w:spacing w:line="360" w:lineRule="auto"/>
        <w:contextualSpacing w:val="0"/>
        <w:jc w:val="both"/>
        <w:rPr>
          <w:rFonts w:ascii="David" w:hAnsi="David" w:cs="David"/>
        </w:rPr>
      </w:pPr>
      <w:r>
        <w:rPr>
          <w:rFonts w:ascii="David" w:hAnsi="David" w:cs="David" w:hint="cs"/>
          <w:rtl/>
        </w:rPr>
        <w:t>בחודש פברואר 2023 הוגשו 4 העררים שבנדון</w:t>
      </w:r>
      <w:r w:rsidR="00077AA3">
        <w:rPr>
          <w:rFonts w:ascii="David" w:hAnsi="David" w:cs="David" w:hint="cs"/>
          <w:rtl/>
        </w:rPr>
        <w:t>.</w:t>
      </w:r>
    </w:p>
    <w:p w:rsidR="00077AA3" w:rsidRDefault="00077AA3" w:rsidP="006C64A1">
      <w:pPr>
        <w:pStyle w:val="a9"/>
        <w:numPr>
          <w:ilvl w:val="0"/>
          <w:numId w:val="1"/>
        </w:numPr>
        <w:spacing w:line="360" w:lineRule="auto"/>
        <w:contextualSpacing w:val="0"/>
        <w:jc w:val="both"/>
        <w:rPr>
          <w:rFonts w:ascii="David" w:hAnsi="David" w:cs="David"/>
        </w:rPr>
      </w:pPr>
      <w:bookmarkStart w:id="6" w:name="_Hlk200523968"/>
      <w:r>
        <w:rPr>
          <w:rFonts w:ascii="David" w:hAnsi="David" w:cs="David" w:hint="cs"/>
          <w:rtl/>
        </w:rPr>
        <w:t xml:space="preserve">ביום </w:t>
      </w:r>
      <w:r w:rsidR="00634B92">
        <w:rPr>
          <w:rFonts w:ascii="David" w:hAnsi="David" w:cs="David" w:hint="cs"/>
          <w:rtl/>
        </w:rPr>
        <w:t xml:space="preserve">7.10.24 </w:t>
      </w:r>
      <w:r>
        <w:rPr>
          <w:rFonts w:ascii="David" w:hAnsi="David" w:cs="David" w:hint="cs"/>
          <w:rtl/>
        </w:rPr>
        <w:t>הגישה הועדה המקומית בקשה "</w:t>
      </w:r>
      <w:r w:rsidRPr="00077AA3">
        <w:rPr>
          <w:rFonts w:ascii="David" w:hAnsi="David" w:cs="David" w:hint="cs"/>
          <w:rtl/>
        </w:rPr>
        <w:t>לפרוט טענה שהועלתה בכתבי הערר ואולם לא פורטה בשגגה</w:t>
      </w:r>
      <w:r>
        <w:rPr>
          <w:rFonts w:ascii="David" w:hAnsi="David" w:cs="David" w:hint="cs"/>
          <w:rtl/>
        </w:rPr>
        <w:t>" לה הוגשה תגובת החברה שהתנגדה לבקשה</w:t>
      </w:r>
      <w:r w:rsidR="00D02FAD">
        <w:rPr>
          <w:rFonts w:ascii="David" w:hAnsi="David" w:cs="David" w:hint="cs"/>
          <w:rtl/>
        </w:rPr>
        <w:t>,</w:t>
      </w:r>
      <w:r>
        <w:rPr>
          <w:rFonts w:ascii="David" w:hAnsi="David" w:cs="David" w:hint="cs"/>
          <w:rtl/>
        </w:rPr>
        <w:t xml:space="preserve"> וביום 27.10.2024 נתנה החלטה על ידי כב' היו"ר הלל גלקופ לפיה הבקשה והתגובה ידונו בדיון וכי במידה ויוחלט כי יש מקום לאפשר את הוספת הטענה היא תבוסס על המכתבים שצורפו לבקשה של הועדה המקומית ועל כן אין צורך בתיקון הערר בשלב זה.</w:t>
      </w:r>
    </w:p>
    <w:bookmarkEnd w:id="6"/>
    <w:p w:rsidR="00472981" w:rsidRPr="00077AA3" w:rsidRDefault="005C3D5C" w:rsidP="006C64A1">
      <w:pPr>
        <w:pStyle w:val="a9"/>
        <w:numPr>
          <w:ilvl w:val="0"/>
          <w:numId w:val="1"/>
        </w:numPr>
        <w:spacing w:line="360" w:lineRule="auto"/>
        <w:contextualSpacing w:val="0"/>
        <w:jc w:val="both"/>
        <w:rPr>
          <w:rFonts w:ascii="David" w:hAnsi="David" w:cs="David"/>
        </w:rPr>
      </w:pPr>
      <w:r w:rsidRPr="00077AA3">
        <w:rPr>
          <w:rFonts w:ascii="David" w:hAnsi="David" w:cs="David" w:hint="cs"/>
          <w:rtl/>
        </w:rPr>
        <w:t xml:space="preserve">בראשית שנת 2025 הועברו </w:t>
      </w:r>
      <w:r w:rsidR="00077AA3">
        <w:rPr>
          <w:rFonts w:ascii="David" w:hAnsi="David" w:cs="David" w:hint="cs"/>
          <w:rtl/>
        </w:rPr>
        <w:t xml:space="preserve">העררים שבנדון להרכב </w:t>
      </w:r>
      <w:r w:rsidR="005C5148">
        <w:rPr>
          <w:rFonts w:ascii="David" w:hAnsi="David" w:cs="David" w:hint="cs"/>
          <w:rtl/>
        </w:rPr>
        <w:t xml:space="preserve">זה </w:t>
      </w:r>
      <w:r w:rsidR="00077AA3">
        <w:rPr>
          <w:rFonts w:ascii="David" w:hAnsi="David" w:cs="David" w:hint="cs"/>
          <w:rtl/>
        </w:rPr>
        <w:t>של ועדת הערר</w:t>
      </w:r>
      <w:r w:rsidR="005C5148">
        <w:rPr>
          <w:rFonts w:ascii="David" w:hAnsi="David" w:cs="David" w:hint="cs"/>
          <w:rtl/>
        </w:rPr>
        <w:t>,</w:t>
      </w:r>
      <w:r w:rsidR="00077AA3">
        <w:rPr>
          <w:rFonts w:ascii="David" w:hAnsi="David" w:cs="David" w:hint="cs"/>
          <w:rtl/>
        </w:rPr>
        <w:t xml:space="preserve"> </w:t>
      </w:r>
      <w:r w:rsidR="00077AA3" w:rsidRPr="00077AA3">
        <w:rPr>
          <w:rFonts w:ascii="David" w:hAnsi="David" w:cs="David" w:hint="cs"/>
          <w:rtl/>
        </w:rPr>
        <w:t xml:space="preserve">שקבעה מספר ימי דיונים שנדחו עקב בקשות שהוגשו ולבסוף הדיון </w:t>
      </w:r>
      <w:r w:rsidR="00077AA3">
        <w:rPr>
          <w:rFonts w:ascii="David" w:hAnsi="David" w:cs="David" w:hint="cs"/>
          <w:rtl/>
        </w:rPr>
        <w:t xml:space="preserve">בעררים </w:t>
      </w:r>
      <w:r w:rsidR="00077AA3" w:rsidRPr="00077AA3">
        <w:rPr>
          <w:rFonts w:ascii="David" w:hAnsi="David" w:cs="David" w:hint="cs"/>
          <w:rtl/>
        </w:rPr>
        <w:t xml:space="preserve">תואם ליום </w:t>
      </w:r>
      <w:r w:rsidR="00D02FAD">
        <w:rPr>
          <w:rFonts w:ascii="David" w:hAnsi="David" w:cs="David" w:hint="cs"/>
          <w:rtl/>
        </w:rPr>
        <w:t>3.6</w:t>
      </w:r>
      <w:r w:rsidR="00077AA3" w:rsidRPr="00077AA3">
        <w:rPr>
          <w:rFonts w:ascii="David" w:hAnsi="David" w:cs="David" w:hint="cs"/>
          <w:rtl/>
        </w:rPr>
        <w:t>.2025</w:t>
      </w:r>
      <w:r w:rsidRPr="00077AA3">
        <w:rPr>
          <w:rFonts w:ascii="David" w:hAnsi="David" w:cs="David" w:hint="cs"/>
          <w:rtl/>
        </w:rPr>
        <w:t xml:space="preserve">. </w:t>
      </w:r>
    </w:p>
    <w:p w:rsidR="0011283A" w:rsidRPr="005C5148" w:rsidRDefault="00795D7E" w:rsidP="005C5148">
      <w:pPr>
        <w:pStyle w:val="a9"/>
        <w:numPr>
          <w:ilvl w:val="0"/>
          <w:numId w:val="1"/>
        </w:numPr>
        <w:spacing w:line="360" w:lineRule="auto"/>
        <w:contextualSpacing w:val="0"/>
        <w:jc w:val="both"/>
        <w:rPr>
          <w:rFonts w:ascii="David" w:hAnsi="David" w:cs="David"/>
        </w:rPr>
      </w:pPr>
      <w:bookmarkStart w:id="7" w:name="_Hlk201589235"/>
      <w:r w:rsidRPr="005C5148">
        <w:rPr>
          <w:rFonts w:ascii="David" w:hAnsi="David" w:cs="David" w:hint="cs"/>
          <w:rtl/>
        </w:rPr>
        <w:t xml:space="preserve">ביום </w:t>
      </w:r>
      <w:r w:rsidRPr="005C5148">
        <w:rPr>
          <w:rFonts w:ascii="David" w:hAnsi="David" w:cs="David"/>
          <w:rtl/>
        </w:rPr>
        <w:t>29.12.</w:t>
      </w:r>
      <w:r w:rsidR="00D02FAD" w:rsidRPr="005C5148">
        <w:rPr>
          <w:rFonts w:ascii="David" w:hAnsi="David" w:cs="David"/>
          <w:rtl/>
        </w:rPr>
        <w:t>2024</w:t>
      </w:r>
      <w:r w:rsidR="00D02FAD" w:rsidRPr="005C5148">
        <w:rPr>
          <w:rFonts w:ascii="David" w:hAnsi="David" w:cs="David" w:hint="cs"/>
          <w:rtl/>
        </w:rPr>
        <w:t xml:space="preserve"> </w:t>
      </w:r>
      <w:r w:rsidR="0011283A" w:rsidRPr="005C5148">
        <w:rPr>
          <w:rFonts w:ascii="David" w:hAnsi="David" w:cs="David" w:hint="cs"/>
          <w:rtl/>
        </w:rPr>
        <w:t>החברה הגישה בקשה לשחרור ערבות</w:t>
      </w:r>
      <w:r w:rsidRPr="005C5148">
        <w:rPr>
          <w:rFonts w:ascii="David" w:hAnsi="David" w:cs="David" w:hint="cs"/>
          <w:rtl/>
        </w:rPr>
        <w:t xml:space="preserve"> המוחזקת על ידי הועדה המקומית,</w:t>
      </w:r>
      <w:r w:rsidR="0011283A" w:rsidRPr="005C5148">
        <w:rPr>
          <w:rFonts w:ascii="David" w:hAnsi="David" w:cs="David" w:hint="cs"/>
          <w:rtl/>
        </w:rPr>
        <w:t xml:space="preserve"> לה הוגשה תגובת הועדה המקומית</w:t>
      </w:r>
      <w:r w:rsidRPr="005C5148">
        <w:rPr>
          <w:rFonts w:ascii="David" w:hAnsi="David" w:cs="David" w:hint="cs"/>
          <w:rtl/>
        </w:rPr>
        <w:t xml:space="preserve"> ביום 19.1.2025 במסגרתה הועדה המקומית התנגדה לשחרור הערבות בשלב זה ונתנה הסכמתה כי זו תשוחרר לאחר הכרעת ועדת הערר בעררים שבנדון. בהחלטה מיום </w:t>
      </w:r>
      <w:r w:rsidRPr="005C5148">
        <w:rPr>
          <w:rFonts w:ascii="David" w:hAnsi="David" w:cs="David"/>
          <w:rtl/>
        </w:rPr>
        <w:t>27.1.2025</w:t>
      </w:r>
      <w:r w:rsidRPr="005C5148">
        <w:rPr>
          <w:rFonts w:ascii="David" w:hAnsi="David" w:cs="David" w:hint="cs"/>
          <w:rtl/>
        </w:rPr>
        <w:t xml:space="preserve"> </w:t>
      </w:r>
      <w:r w:rsidR="0011283A" w:rsidRPr="005C5148">
        <w:rPr>
          <w:rFonts w:ascii="David" w:hAnsi="David" w:cs="David" w:hint="cs"/>
          <w:rtl/>
        </w:rPr>
        <w:t>נקבע כי הבקשה והתגובה לה ידונו בדיון.</w:t>
      </w:r>
    </w:p>
    <w:bookmarkEnd w:id="7"/>
    <w:p w:rsidR="0011283A" w:rsidRDefault="0011283A" w:rsidP="006C64A1">
      <w:pPr>
        <w:pStyle w:val="a9"/>
        <w:numPr>
          <w:ilvl w:val="0"/>
          <w:numId w:val="1"/>
        </w:numPr>
        <w:spacing w:line="360" w:lineRule="auto"/>
        <w:contextualSpacing w:val="0"/>
        <w:jc w:val="both"/>
        <w:rPr>
          <w:rFonts w:ascii="David" w:hAnsi="David" w:cs="David"/>
        </w:rPr>
      </w:pPr>
      <w:r>
        <w:rPr>
          <w:rFonts w:ascii="David" w:hAnsi="David" w:cs="David" w:hint="cs"/>
          <w:rtl/>
        </w:rPr>
        <w:t xml:space="preserve">כמו כן, ביום 13.5.2025 ובטרם התקיים </w:t>
      </w:r>
      <w:r w:rsidR="00795D7E">
        <w:rPr>
          <w:rFonts w:ascii="David" w:hAnsi="David" w:cs="David" w:hint="cs"/>
          <w:rtl/>
        </w:rPr>
        <w:t>הדיון בעררים ועל מנת לייעלו</w:t>
      </w:r>
      <w:r>
        <w:rPr>
          <w:rFonts w:ascii="David" w:hAnsi="David" w:cs="David" w:hint="cs"/>
          <w:rtl/>
        </w:rPr>
        <w:t xml:space="preserve"> נתבקשו הבהרות השמאית המכריעה </w:t>
      </w:r>
      <w:r w:rsidR="00795D7E">
        <w:rPr>
          <w:rFonts w:ascii="David" w:hAnsi="David" w:cs="David" w:hint="cs"/>
          <w:rtl/>
        </w:rPr>
        <w:t xml:space="preserve">נוכח טענות שהעלתה הועדה המקומית בעררה וביום </w:t>
      </w:r>
      <w:r w:rsidR="000A3EF9">
        <w:rPr>
          <w:rFonts w:ascii="David" w:hAnsi="David" w:cs="David" w:hint="cs"/>
          <w:rtl/>
        </w:rPr>
        <w:t xml:space="preserve">14.5.2025 </w:t>
      </w:r>
      <w:r w:rsidR="00795D7E">
        <w:rPr>
          <w:rFonts w:ascii="David" w:hAnsi="David" w:cs="David" w:hint="cs"/>
          <w:rtl/>
        </w:rPr>
        <w:t xml:space="preserve">הוגשו תחשיבי </w:t>
      </w:r>
      <w:r w:rsidR="000A3EF9">
        <w:rPr>
          <w:rFonts w:ascii="David" w:hAnsi="David" w:cs="David" w:hint="cs"/>
          <w:rtl/>
        </w:rPr>
        <w:t xml:space="preserve">והתייחסות </w:t>
      </w:r>
      <w:r w:rsidR="00795D7E">
        <w:rPr>
          <w:rFonts w:ascii="David" w:hAnsi="David" w:cs="David" w:hint="cs"/>
          <w:rtl/>
        </w:rPr>
        <w:t xml:space="preserve">השמאית המכריעה לשאלות ועדת הערר. </w:t>
      </w:r>
    </w:p>
    <w:p w:rsidR="00795D7E" w:rsidRDefault="00795D7E" w:rsidP="006C64A1">
      <w:pPr>
        <w:pStyle w:val="a9"/>
        <w:numPr>
          <w:ilvl w:val="0"/>
          <w:numId w:val="1"/>
        </w:numPr>
        <w:spacing w:line="360" w:lineRule="auto"/>
        <w:contextualSpacing w:val="0"/>
        <w:jc w:val="both"/>
        <w:rPr>
          <w:rFonts w:ascii="David" w:hAnsi="David" w:cs="David"/>
        </w:rPr>
      </w:pPr>
      <w:r>
        <w:rPr>
          <w:rFonts w:ascii="David" w:hAnsi="David" w:cs="David" w:hint="cs"/>
          <w:rtl/>
        </w:rPr>
        <w:t xml:space="preserve">בנוסף, לאור טענות הצדדים בהקשר לסוגיית הפטור מממ"דים ובהתאם להחלטתנו מיום 6.5.2025 המציאה החברה העתק מהסכמי פינוי בינוי שנחתמו בשנים 2014, ו-2016 וכן הסכמי מכר מהחברה לצדדי ג' </w:t>
      </w:r>
      <w:r w:rsidR="00864DF3">
        <w:rPr>
          <w:rFonts w:ascii="David" w:hAnsi="David" w:cs="David" w:hint="cs"/>
          <w:rtl/>
        </w:rPr>
        <w:t xml:space="preserve">החל </w:t>
      </w:r>
      <w:r>
        <w:rPr>
          <w:rFonts w:ascii="David" w:hAnsi="David" w:cs="David" w:hint="cs"/>
          <w:rtl/>
        </w:rPr>
        <w:t xml:space="preserve">משנת 2021. </w:t>
      </w:r>
    </w:p>
    <w:p w:rsidR="00795D7E" w:rsidRDefault="00077AA3" w:rsidP="006C64A1">
      <w:pPr>
        <w:pStyle w:val="a9"/>
        <w:numPr>
          <w:ilvl w:val="0"/>
          <w:numId w:val="1"/>
        </w:numPr>
        <w:spacing w:line="360" w:lineRule="auto"/>
        <w:contextualSpacing w:val="0"/>
        <w:jc w:val="both"/>
        <w:rPr>
          <w:rFonts w:ascii="David" w:hAnsi="David" w:cs="David"/>
        </w:rPr>
      </w:pPr>
      <w:r>
        <w:rPr>
          <w:rFonts w:ascii="David" w:hAnsi="David" w:cs="David" w:hint="cs"/>
          <w:rtl/>
        </w:rPr>
        <w:t xml:space="preserve">לנוכח ההסכמים שהומצאו ע"י החברה נתבקשה היא </w:t>
      </w:r>
      <w:r w:rsidR="00795D7E">
        <w:rPr>
          <w:rFonts w:ascii="David" w:hAnsi="David" w:cs="David" w:hint="cs"/>
          <w:rtl/>
        </w:rPr>
        <w:t xml:space="preserve">בהחלטה מיום 29.5.2025 </w:t>
      </w:r>
      <w:r>
        <w:rPr>
          <w:rFonts w:ascii="David" w:hAnsi="David" w:cs="David" w:hint="cs"/>
          <w:rtl/>
        </w:rPr>
        <w:t xml:space="preserve">לבצע בדיקה מבעוד מועד ולהגיע עם תשובה לדיון האם ישנם הסכמי מכר של יזם לצדדי ג' שנחתמו גם בטרם אושרו ההקלות והוצא ההיתר. </w:t>
      </w:r>
    </w:p>
    <w:p w:rsidR="005C3D5C" w:rsidRDefault="005C3D5C" w:rsidP="006C64A1">
      <w:pPr>
        <w:pStyle w:val="a9"/>
        <w:numPr>
          <w:ilvl w:val="0"/>
          <w:numId w:val="1"/>
        </w:numPr>
        <w:spacing w:line="360" w:lineRule="auto"/>
        <w:contextualSpacing w:val="0"/>
        <w:jc w:val="both"/>
        <w:rPr>
          <w:rFonts w:ascii="David" w:hAnsi="David" w:cs="David"/>
        </w:rPr>
      </w:pPr>
      <w:r>
        <w:rPr>
          <w:rFonts w:ascii="David" w:hAnsi="David" w:cs="David" w:hint="cs"/>
          <w:rtl/>
        </w:rPr>
        <w:t xml:space="preserve">הדיון בעררים </w:t>
      </w:r>
      <w:r w:rsidR="00077AA3">
        <w:rPr>
          <w:rFonts w:ascii="David" w:hAnsi="David" w:cs="David" w:hint="cs"/>
          <w:rtl/>
        </w:rPr>
        <w:t>כאמור התקיים בי</w:t>
      </w:r>
      <w:r>
        <w:rPr>
          <w:rFonts w:ascii="David" w:hAnsi="David" w:cs="David" w:hint="cs"/>
          <w:rtl/>
        </w:rPr>
        <w:t>ום 3.6.2025.</w:t>
      </w:r>
    </w:p>
    <w:p w:rsidR="00A94FF8" w:rsidRDefault="00C76473" w:rsidP="006D0D7C">
      <w:pPr>
        <w:pStyle w:val="a9"/>
        <w:numPr>
          <w:ilvl w:val="0"/>
          <w:numId w:val="1"/>
        </w:numPr>
        <w:spacing w:line="360" w:lineRule="auto"/>
        <w:contextualSpacing w:val="0"/>
        <w:jc w:val="both"/>
        <w:rPr>
          <w:rFonts w:ascii="David" w:hAnsi="David" w:cs="David"/>
        </w:rPr>
      </w:pPr>
      <w:r>
        <w:rPr>
          <w:rFonts w:ascii="David" w:hAnsi="David" w:cs="David" w:hint="cs"/>
          <w:rtl/>
        </w:rPr>
        <w:t>לאחר הדיון שהתקיים בפנינו ביום 8.6.2025</w:t>
      </w:r>
      <w:r w:rsidR="00A532E6">
        <w:rPr>
          <w:rFonts w:ascii="David" w:hAnsi="David" w:cs="David" w:hint="cs"/>
          <w:rtl/>
        </w:rPr>
        <w:t xml:space="preserve"> נתנה על ידינו החלטת ביניים במסגרת התבקשה הועדה המקומית לעדכן לגבי אפשרות שחרור הערבות הבנקאית לידי החברה וכן נשלחו שאלות הבהרה לשמאית המכריעה בחלק מהטיעונים שהועלו בפנינו, תוך שנקבע כי התייחסותה תשלח בתוך 30 ימים וכי לצדדים נתנה זכות תגובה בתוך 14 יום. </w:t>
      </w:r>
    </w:p>
    <w:p w:rsidR="00A94FF8" w:rsidRDefault="00A94FF8" w:rsidP="00A94FF8">
      <w:pPr>
        <w:pStyle w:val="a9"/>
        <w:numPr>
          <w:ilvl w:val="0"/>
          <w:numId w:val="1"/>
        </w:numPr>
        <w:spacing w:line="360" w:lineRule="auto"/>
        <w:contextualSpacing w:val="0"/>
        <w:jc w:val="both"/>
        <w:rPr>
          <w:rFonts w:ascii="David" w:hAnsi="David" w:cs="David"/>
        </w:rPr>
      </w:pPr>
      <w:r w:rsidRPr="00A94FF8">
        <w:rPr>
          <w:rFonts w:ascii="David" w:hAnsi="David" w:cs="David" w:hint="cs"/>
          <w:rtl/>
        </w:rPr>
        <w:t xml:space="preserve">נציין כי ביום 12.6.2025 </w:t>
      </w:r>
      <w:r>
        <w:rPr>
          <w:rFonts w:ascii="David" w:hAnsi="David" w:cs="David" w:hint="cs"/>
          <w:rtl/>
        </w:rPr>
        <w:t>בהתאם</w:t>
      </w:r>
      <w:r w:rsidRPr="00A94FF8">
        <w:rPr>
          <w:rFonts w:ascii="David" w:hAnsi="David" w:cs="David" w:hint="cs"/>
          <w:rtl/>
        </w:rPr>
        <w:t xml:space="preserve"> להודעה שהוגשה לאחר הדיון שהתקיים בפנינו נמסר על ידי החברה כי היקף הסכמי הפינוי בינוי שנחתמו בינה לבין בעלי הדירות בפרויקט לפני אישור תכנית בי/517 עומד על 94.125 בעלי דירות מתוך 104 דירות קיימות, כלומר </w:t>
      </w:r>
      <w:r w:rsidRPr="00A94FF8">
        <w:rPr>
          <w:rFonts w:ascii="David" w:hAnsi="David" w:cs="David" w:hint="cs"/>
          <w:b/>
          <w:bCs/>
          <w:rtl/>
        </w:rPr>
        <w:t>עד לאותו מועד נחתמו למעלה מ-90% מבעלי הדירות</w:t>
      </w:r>
      <w:r w:rsidRPr="00A94FF8">
        <w:rPr>
          <w:rFonts w:ascii="David" w:hAnsi="David" w:cs="David" w:hint="cs"/>
          <w:rtl/>
        </w:rPr>
        <w:t>.</w:t>
      </w:r>
      <w:r>
        <w:rPr>
          <w:rFonts w:ascii="David" w:hAnsi="David" w:cs="David" w:hint="cs"/>
          <w:rtl/>
        </w:rPr>
        <w:t xml:space="preserve"> </w:t>
      </w:r>
    </w:p>
    <w:p w:rsidR="00A94FF8" w:rsidRDefault="00A94FF8" w:rsidP="00A94FF8">
      <w:pPr>
        <w:pStyle w:val="a9"/>
        <w:spacing w:line="360" w:lineRule="auto"/>
        <w:ind w:left="360"/>
        <w:contextualSpacing w:val="0"/>
        <w:jc w:val="both"/>
        <w:rPr>
          <w:rFonts w:ascii="David" w:hAnsi="David" w:cs="David"/>
          <w:rtl/>
        </w:rPr>
      </w:pPr>
      <w:r>
        <w:rPr>
          <w:rFonts w:ascii="David" w:hAnsi="David" w:cs="David" w:hint="cs"/>
          <w:rtl/>
        </w:rPr>
        <w:t xml:space="preserve">בהתאם נתנו החלטתנו </w:t>
      </w:r>
      <w:r w:rsidR="00F77D89">
        <w:rPr>
          <w:rFonts w:ascii="David" w:hAnsi="David" w:cs="David" w:hint="cs"/>
          <w:rtl/>
        </w:rPr>
        <w:t xml:space="preserve">ביום 12.6.2025 </w:t>
      </w:r>
      <w:r>
        <w:rPr>
          <w:rFonts w:ascii="David" w:hAnsi="David" w:cs="David" w:hint="cs"/>
          <w:rtl/>
        </w:rPr>
        <w:t>קבענו כדלקמן:</w:t>
      </w:r>
    </w:p>
    <w:p w:rsidR="00F77D89" w:rsidRPr="005C5148" w:rsidRDefault="00A94FF8" w:rsidP="00F77D89">
      <w:pPr>
        <w:pStyle w:val="a9"/>
        <w:spacing w:line="360" w:lineRule="auto"/>
        <w:ind w:left="1134" w:right="1276"/>
        <w:contextualSpacing w:val="0"/>
        <w:jc w:val="both"/>
        <w:rPr>
          <w:rFonts w:ascii="David" w:hAnsi="David" w:cs="David"/>
          <w:i/>
          <w:iCs/>
          <w:rtl/>
        </w:rPr>
      </w:pPr>
      <w:r w:rsidRPr="005C5148">
        <w:rPr>
          <w:rFonts w:ascii="David" w:hAnsi="David" w:cs="David"/>
          <w:i/>
          <w:iCs/>
          <w:rtl/>
        </w:rPr>
        <w:t>"</w:t>
      </w:r>
      <w:r w:rsidRPr="005C5148">
        <w:rPr>
          <w:rFonts w:ascii="David" w:hAnsi="David" w:cs="David" w:hint="eastAsia"/>
          <w:i/>
          <w:iCs/>
          <w:rtl/>
        </w:rPr>
        <w:t>ראיתי</w:t>
      </w:r>
      <w:r w:rsidRPr="005C5148">
        <w:rPr>
          <w:rFonts w:ascii="David" w:hAnsi="David" w:cs="David"/>
          <w:i/>
          <w:iCs/>
          <w:rtl/>
        </w:rPr>
        <w:t xml:space="preserve">. אכן בדיון נתנה תשובה לשאלת היו"ר כי נחתמו כ-80% בטרם אושרה תכנית בי/517 ואילו בהקשר אחר של טענות למקדם מושע ציינה השמאית המכריעה כי עוד בשנת 2013 חתמו כ-90% מבעלי הזכויות. </w:t>
      </w:r>
    </w:p>
    <w:p w:rsidR="00A94FF8" w:rsidRPr="005C5148" w:rsidRDefault="00A94FF8" w:rsidP="00F77D89">
      <w:pPr>
        <w:pStyle w:val="a9"/>
        <w:spacing w:line="360" w:lineRule="auto"/>
        <w:ind w:left="1134" w:right="1276"/>
        <w:contextualSpacing w:val="0"/>
        <w:jc w:val="both"/>
        <w:rPr>
          <w:rFonts w:ascii="David" w:hAnsi="David" w:cs="David"/>
          <w:i/>
          <w:iCs/>
          <w:rtl/>
        </w:rPr>
      </w:pPr>
      <w:r w:rsidRPr="005C5148">
        <w:rPr>
          <w:rFonts w:ascii="David" w:hAnsi="David" w:cs="David" w:hint="eastAsia"/>
          <w:i/>
          <w:iCs/>
          <w:rtl/>
        </w:rPr>
        <w:t>עתה</w:t>
      </w:r>
      <w:r w:rsidRPr="005C5148">
        <w:rPr>
          <w:rFonts w:ascii="David" w:hAnsi="David" w:cs="David"/>
          <w:i/>
          <w:iCs/>
          <w:rtl/>
        </w:rPr>
        <w:t xml:space="preserve"> לאור ההברה מטעם החברה על פניו הסתירה מתיישבת.</w:t>
      </w:r>
    </w:p>
    <w:p w:rsidR="00A94FF8" w:rsidRPr="005C5148" w:rsidRDefault="00A94FF8" w:rsidP="00F77D89">
      <w:pPr>
        <w:pStyle w:val="a9"/>
        <w:spacing w:line="360" w:lineRule="auto"/>
        <w:ind w:left="1134" w:right="1276"/>
        <w:contextualSpacing w:val="0"/>
        <w:jc w:val="both"/>
        <w:rPr>
          <w:rFonts w:ascii="David" w:hAnsi="David" w:cs="David"/>
          <w:i/>
          <w:iCs/>
        </w:rPr>
      </w:pPr>
      <w:r w:rsidRPr="005C5148">
        <w:rPr>
          <w:rFonts w:ascii="David" w:hAnsi="David" w:cs="David" w:hint="eastAsia"/>
          <w:i/>
          <w:iCs/>
          <w:rtl/>
        </w:rPr>
        <w:t>יחד</w:t>
      </w:r>
      <w:r w:rsidRPr="005C5148">
        <w:rPr>
          <w:rFonts w:ascii="David" w:hAnsi="David" w:cs="David"/>
          <w:i/>
          <w:iCs/>
          <w:rtl/>
        </w:rPr>
        <w:t xml:space="preserve"> עם זאת, הכרעת ועדת הערר </w:t>
      </w:r>
      <w:r w:rsidRPr="005C5148">
        <w:rPr>
          <w:rFonts w:ascii="David" w:hAnsi="David" w:cs="David" w:hint="eastAsia"/>
          <w:i/>
          <w:iCs/>
          <w:rtl/>
        </w:rPr>
        <w:t>בעררים</w:t>
      </w:r>
      <w:r w:rsidRPr="005C5148">
        <w:rPr>
          <w:rFonts w:ascii="David" w:hAnsi="David" w:cs="David"/>
          <w:i/>
          <w:iCs/>
          <w:rtl/>
        </w:rPr>
        <w:t xml:space="preserve"> שבנדון בסוגיית הפטור תהא עקרונית ובמסגרת ההתחשבנות מול הועדה המקומית, יהא על</w:t>
      </w:r>
      <w:r w:rsidR="00F77D89" w:rsidRPr="005C5148">
        <w:rPr>
          <w:rFonts w:ascii="David" w:hAnsi="David" w:cs="David"/>
          <w:i/>
          <w:iCs/>
          <w:rtl/>
        </w:rPr>
        <w:t xml:space="preserve"> החברה להציג בפניה את פירוט חתימת כל בעלי הזכויות והמועדים בהם נחתם כל הסכם". </w:t>
      </w:r>
    </w:p>
    <w:p w:rsidR="006D0D7C" w:rsidRDefault="006D0D7C" w:rsidP="006D0D7C">
      <w:pPr>
        <w:pStyle w:val="a9"/>
        <w:spacing w:line="360" w:lineRule="auto"/>
        <w:ind w:left="360"/>
        <w:contextualSpacing w:val="0"/>
        <w:jc w:val="both"/>
        <w:rPr>
          <w:rFonts w:ascii="David" w:hAnsi="David" w:cs="David"/>
          <w:rtl/>
        </w:rPr>
      </w:pPr>
      <w:r>
        <w:rPr>
          <w:rFonts w:ascii="David" w:hAnsi="David" w:cs="David" w:hint="cs"/>
          <w:rtl/>
        </w:rPr>
        <w:t>נציין כי בזיקה להחלטה האמורה הגישה החברה בקשה בי</w:t>
      </w:r>
      <w:r w:rsidR="00D02FAD">
        <w:rPr>
          <w:rFonts w:ascii="David" w:hAnsi="David" w:cs="David" w:hint="cs"/>
          <w:rtl/>
        </w:rPr>
        <w:t>ו</w:t>
      </w:r>
      <w:r w:rsidRPr="006D0D7C">
        <w:rPr>
          <w:rFonts w:ascii="David" w:hAnsi="David" w:cs="David"/>
          <w:rtl/>
        </w:rPr>
        <w:t xml:space="preserve">ם 29.6.2025 </w:t>
      </w:r>
      <w:r>
        <w:rPr>
          <w:rFonts w:ascii="David" w:hAnsi="David" w:cs="David" w:hint="cs"/>
          <w:rtl/>
        </w:rPr>
        <w:t xml:space="preserve">לפיה </w:t>
      </w:r>
      <w:r w:rsidR="001D16E0">
        <w:rPr>
          <w:rFonts w:ascii="David" w:hAnsi="David" w:cs="David" w:hint="cs"/>
          <w:rtl/>
        </w:rPr>
        <w:t xml:space="preserve">ציינה </w:t>
      </w:r>
      <w:r>
        <w:rPr>
          <w:rFonts w:ascii="David" w:hAnsi="David" w:cs="David" w:hint="cs"/>
          <w:rtl/>
        </w:rPr>
        <w:t xml:space="preserve">בין היתר כי </w:t>
      </w:r>
      <w:r w:rsidR="001D16E0">
        <w:rPr>
          <w:rFonts w:ascii="David" w:hAnsi="David" w:cs="David" w:hint="cs"/>
          <w:rtl/>
        </w:rPr>
        <w:t xml:space="preserve">היא </w:t>
      </w:r>
      <w:r>
        <w:rPr>
          <w:rFonts w:ascii="David" w:hAnsi="David" w:cs="David" w:hint="cs"/>
          <w:rtl/>
        </w:rPr>
        <w:t xml:space="preserve">עומדת על טענת הפטור לכלל הדירות, </w:t>
      </w:r>
      <w:r w:rsidR="001D16E0">
        <w:rPr>
          <w:rFonts w:ascii="David" w:hAnsi="David" w:cs="David" w:hint="cs"/>
          <w:rtl/>
        </w:rPr>
        <w:t xml:space="preserve">אך ביקשה כי </w:t>
      </w:r>
      <w:r>
        <w:rPr>
          <w:rFonts w:ascii="David" w:hAnsi="David" w:cs="David" w:hint="cs"/>
          <w:rtl/>
        </w:rPr>
        <w:t xml:space="preserve">במידה וועדת הערר תחליט שהפטור לממ"דים יותנה במועד חתימת ההסכמים עם בעלי הדירות, מלוא נתונים הנדרשים יומצאו </w:t>
      </w:r>
      <w:proofErr w:type="spellStart"/>
      <w:r>
        <w:rPr>
          <w:rFonts w:ascii="David" w:hAnsi="David" w:cs="David" w:hint="cs"/>
          <w:rtl/>
        </w:rPr>
        <w:t>לועדת</w:t>
      </w:r>
      <w:proofErr w:type="spellEnd"/>
      <w:r>
        <w:rPr>
          <w:rFonts w:ascii="David" w:hAnsi="David" w:cs="David" w:hint="cs"/>
          <w:rtl/>
        </w:rPr>
        <w:t xml:space="preserve"> הערר והיא תיתן החלטתה בעניין הן ברמה העקרונית והן ברמה הפרטנית וזאת לאור התנהלות הועדה המקומית שעלולה להביא למחלוקות ביישום ההכרעה העקרונית של ועדת הערר. </w:t>
      </w:r>
    </w:p>
    <w:p w:rsidR="006D0D7C" w:rsidRDefault="006D0D7C" w:rsidP="006D0D7C">
      <w:pPr>
        <w:pStyle w:val="a9"/>
        <w:spacing w:line="360" w:lineRule="auto"/>
        <w:ind w:left="360"/>
        <w:contextualSpacing w:val="0"/>
        <w:jc w:val="both"/>
        <w:rPr>
          <w:rFonts w:ascii="David" w:hAnsi="David" w:cs="David"/>
          <w:rtl/>
        </w:rPr>
      </w:pPr>
      <w:r>
        <w:rPr>
          <w:rFonts w:ascii="David" w:hAnsi="David" w:cs="David" w:hint="cs"/>
          <w:rtl/>
        </w:rPr>
        <w:t xml:space="preserve">בעניין זה נתנה החלטתנו לפיה בקשת החברה נרשמה בפנינו וכי החלטתנו בסוגיה זו תינתן במסגרת הכרעתנו הסופית. </w:t>
      </w:r>
    </w:p>
    <w:p w:rsidR="006D0D7C" w:rsidRDefault="006D0D7C" w:rsidP="006D0D7C">
      <w:pPr>
        <w:pStyle w:val="a9"/>
        <w:numPr>
          <w:ilvl w:val="0"/>
          <w:numId w:val="1"/>
        </w:numPr>
        <w:spacing w:line="360" w:lineRule="auto"/>
        <w:contextualSpacing w:val="0"/>
        <w:jc w:val="both"/>
        <w:rPr>
          <w:rFonts w:ascii="David" w:hAnsi="David" w:cs="David"/>
        </w:rPr>
      </w:pPr>
      <w:r>
        <w:rPr>
          <w:rFonts w:ascii="David" w:hAnsi="David" w:cs="David" w:hint="cs"/>
          <w:rtl/>
        </w:rPr>
        <w:t xml:space="preserve">ביום 25.6.2025 נתקבלה התייחסות השמאית המכריעה לשאלות ההבהרה. ולה הוגשו תגובות הצדדים </w:t>
      </w:r>
      <w:r w:rsidR="00DA044B">
        <w:rPr>
          <w:rFonts w:ascii="David" w:hAnsi="David" w:cs="David" w:hint="eastAsia"/>
          <w:rtl/>
        </w:rPr>
        <w:t>בימים</w:t>
      </w:r>
      <w:r w:rsidR="00DA044B">
        <w:rPr>
          <w:rFonts w:ascii="David" w:hAnsi="David" w:cs="David"/>
          <w:rtl/>
        </w:rPr>
        <w:t xml:space="preserve"> 13.7.2025</w:t>
      </w:r>
      <w:r w:rsidR="00781926">
        <w:rPr>
          <w:rFonts w:ascii="David" w:hAnsi="David" w:cs="David" w:hint="cs"/>
          <w:rtl/>
        </w:rPr>
        <w:t xml:space="preserve"> ו-14.7.2025 בהתאמה</w:t>
      </w:r>
      <w:r>
        <w:rPr>
          <w:rFonts w:ascii="David" w:hAnsi="David" w:cs="David" w:hint="cs"/>
          <w:rtl/>
        </w:rPr>
        <w:t>.</w:t>
      </w:r>
    </w:p>
    <w:p w:rsidR="006D0D7C" w:rsidRPr="007947CC" w:rsidRDefault="006D0D7C" w:rsidP="006D0D7C">
      <w:pPr>
        <w:pStyle w:val="a9"/>
        <w:numPr>
          <w:ilvl w:val="0"/>
          <w:numId w:val="1"/>
        </w:numPr>
        <w:tabs>
          <w:tab w:val="left" w:pos="425"/>
        </w:tabs>
        <w:spacing w:line="360" w:lineRule="auto"/>
        <w:ind w:right="-142"/>
        <w:contextualSpacing w:val="0"/>
        <w:jc w:val="both"/>
        <w:rPr>
          <w:rFonts w:ascii="David" w:hAnsi="David" w:cs="David"/>
          <w:rtl/>
        </w:rPr>
      </w:pPr>
      <w:r w:rsidRPr="007947CC">
        <w:rPr>
          <w:rFonts w:ascii="David" w:hAnsi="David" w:cs="David" w:hint="cs"/>
          <w:rtl/>
        </w:rPr>
        <w:t xml:space="preserve">ביום 29.6.2025 נמסרה הודעת הועדה המקומית לפיה לא ניתן לשחרר את הערבות במלואה מהנימוקים שפורטו על ידה אולם נתנה הסכמתה להפחית את סכום הערבות על ידי החברה. ברם החברה התנגדה לכך. על כן באותו מועד נתנה החלטתנו לפיה נקבע בין היתר, כי הואיל והערבות הבנקאית לא משוחררת בשלב זה, ההחלטה בעררים שבנדון תינתן בהקדם הניתן ותכלול הכרעה גם לגבי שחרור הערבות.  </w:t>
      </w:r>
    </w:p>
    <w:p w:rsidR="00A94FF8" w:rsidRDefault="00F77D89" w:rsidP="006C64A1">
      <w:pPr>
        <w:pStyle w:val="a9"/>
        <w:numPr>
          <w:ilvl w:val="0"/>
          <w:numId w:val="1"/>
        </w:numPr>
        <w:spacing w:line="360" w:lineRule="auto"/>
        <w:contextualSpacing w:val="0"/>
        <w:jc w:val="both"/>
        <w:rPr>
          <w:rFonts w:ascii="David" w:hAnsi="David" w:cs="David"/>
        </w:rPr>
      </w:pPr>
      <w:r>
        <w:rPr>
          <w:rFonts w:ascii="David" w:hAnsi="David" w:cs="David" w:hint="cs"/>
          <w:rtl/>
        </w:rPr>
        <w:t xml:space="preserve">מכאן ההכרעה </w:t>
      </w:r>
      <w:r w:rsidR="001D16E0">
        <w:rPr>
          <w:rFonts w:ascii="David" w:hAnsi="David" w:cs="David" w:hint="cs"/>
          <w:rtl/>
        </w:rPr>
        <w:t xml:space="preserve">בסוגיות </w:t>
      </w:r>
      <w:r>
        <w:rPr>
          <w:rFonts w:ascii="David" w:hAnsi="David" w:cs="David" w:hint="cs"/>
          <w:rtl/>
        </w:rPr>
        <w:t xml:space="preserve">שבפנינו. </w:t>
      </w:r>
    </w:p>
    <w:p w:rsidR="00182C0F" w:rsidRPr="004B30C1" w:rsidRDefault="00182C0F" w:rsidP="005C5148">
      <w:pPr>
        <w:pStyle w:val="1"/>
        <w:rPr>
          <w:rtl/>
        </w:rPr>
      </w:pPr>
      <w:bookmarkStart w:id="8" w:name="_Toc203992502"/>
      <w:bookmarkStart w:id="9" w:name="_Toc204504385"/>
      <w:r w:rsidRPr="004B30C1">
        <w:rPr>
          <w:rFonts w:hint="cs"/>
          <w:rtl/>
        </w:rPr>
        <w:t>דיון והכרעה</w:t>
      </w:r>
      <w:bookmarkEnd w:id="8"/>
      <w:bookmarkEnd w:id="9"/>
    </w:p>
    <w:p w:rsidR="00182C0F" w:rsidRDefault="00182C0F" w:rsidP="006C64A1">
      <w:pPr>
        <w:spacing w:line="360" w:lineRule="auto"/>
        <w:jc w:val="both"/>
        <w:rPr>
          <w:rFonts w:ascii="David" w:hAnsi="David" w:cs="David"/>
          <w:rtl/>
        </w:rPr>
      </w:pPr>
      <w:r>
        <w:rPr>
          <w:rFonts w:ascii="David" w:hAnsi="David" w:cs="David" w:hint="cs"/>
          <w:rtl/>
        </w:rPr>
        <w:t>כאמור עס</w:t>
      </w:r>
      <w:r w:rsidR="00502BD0">
        <w:rPr>
          <w:rFonts w:ascii="David" w:hAnsi="David" w:cs="David" w:hint="cs"/>
          <w:rtl/>
        </w:rPr>
        <w:t>קי</w:t>
      </w:r>
      <w:r>
        <w:rPr>
          <w:rFonts w:ascii="David" w:hAnsi="David" w:cs="David" w:hint="cs"/>
          <w:rtl/>
        </w:rPr>
        <w:t xml:space="preserve">נן ב-4 עררים, כל </w:t>
      </w:r>
      <w:r w:rsidR="00DA044B">
        <w:rPr>
          <w:rFonts w:ascii="David" w:hAnsi="David" w:cs="David" w:hint="eastAsia"/>
          <w:rtl/>
        </w:rPr>
        <w:t>צד</w:t>
      </w:r>
      <w:r w:rsidR="00DA044B">
        <w:rPr>
          <w:rFonts w:ascii="David" w:hAnsi="David" w:cs="David"/>
          <w:rtl/>
        </w:rPr>
        <w:t xml:space="preserve"> </w:t>
      </w:r>
      <w:r w:rsidR="00DA044B">
        <w:rPr>
          <w:rFonts w:ascii="David" w:hAnsi="David" w:cs="David" w:hint="eastAsia"/>
          <w:rtl/>
        </w:rPr>
        <w:t>הגיש</w:t>
      </w:r>
      <w:r w:rsidR="00BB11A9">
        <w:rPr>
          <w:rFonts w:ascii="David" w:hAnsi="David" w:cs="David" w:hint="cs"/>
          <w:rtl/>
        </w:rPr>
        <w:t xml:space="preserve"> ערר </w:t>
      </w:r>
      <w:r w:rsidR="006D23ED">
        <w:rPr>
          <w:rFonts w:ascii="David" w:hAnsi="David" w:cs="David" w:hint="cs"/>
          <w:rtl/>
        </w:rPr>
        <w:t xml:space="preserve">נפרד </w:t>
      </w:r>
      <w:r>
        <w:rPr>
          <w:rFonts w:ascii="David" w:hAnsi="David" w:cs="David" w:hint="cs"/>
          <w:rtl/>
        </w:rPr>
        <w:t xml:space="preserve">בגין </w:t>
      </w:r>
      <w:r w:rsidR="006D23ED">
        <w:rPr>
          <w:rFonts w:ascii="David" w:hAnsi="David" w:cs="David" w:hint="cs"/>
          <w:rtl/>
        </w:rPr>
        <w:t>כל אחד מ</w:t>
      </w:r>
      <w:r>
        <w:rPr>
          <w:rFonts w:ascii="David" w:hAnsi="David" w:cs="David" w:hint="cs"/>
          <w:rtl/>
        </w:rPr>
        <w:t>שני המגרשים, כאשר הטיעונים ב</w:t>
      </w:r>
      <w:r w:rsidR="00BB11A9">
        <w:rPr>
          <w:rFonts w:ascii="David" w:hAnsi="David" w:cs="David" w:hint="cs"/>
          <w:rtl/>
        </w:rPr>
        <w:t xml:space="preserve">שני </w:t>
      </w:r>
      <w:r>
        <w:rPr>
          <w:rFonts w:ascii="David" w:hAnsi="David" w:cs="David" w:hint="cs"/>
          <w:rtl/>
        </w:rPr>
        <w:t>עררי החב</w:t>
      </w:r>
      <w:r w:rsidR="005D37A8">
        <w:rPr>
          <w:rFonts w:ascii="David" w:hAnsi="David" w:cs="David" w:hint="cs"/>
          <w:rtl/>
        </w:rPr>
        <w:t>רה</w:t>
      </w:r>
      <w:r>
        <w:rPr>
          <w:rFonts w:ascii="David" w:hAnsi="David" w:cs="David" w:hint="cs"/>
          <w:rtl/>
        </w:rPr>
        <w:t xml:space="preserve"> זהים וכנ"ל ב</w:t>
      </w:r>
      <w:r w:rsidR="005C5148">
        <w:rPr>
          <w:rFonts w:ascii="David" w:hAnsi="David" w:cs="David" w:hint="cs"/>
          <w:rtl/>
        </w:rPr>
        <w:t xml:space="preserve">שני </w:t>
      </w:r>
      <w:r>
        <w:rPr>
          <w:rFonts w:ascii="David" w:hAnsi="David" w:cs="David" w:hint="cs"/>
          <w:rtl/>
        </w:rPr>
        <w:t>עררי הועדה המקומית.</w:t>
      </w:r>
      <w:r w:rsidR="00502BD0">
        <w:rPr>
          <w:rFonts w:ascii="David" w:hAnsi="David" w:cs="David" w:hint="cs"/>
          <w:rtl/>
        </w:rPr>
        <w:t xml:space="preserve"> </w:t>
      </w:r>
      <w:r>
        <w:rPr>
          <w:rFonts w:ascii="David" w:hAnsi="David" w:cs="David" w:hint="cs"/>
          <w:rtl/>
        </w:rPr>
        <w:t>למרות זהות הטיעונים, עדיין הצדדים העלו טענות רבות בעררם (כ-18 במספרן</w:t>
      </w:r>
      <w:r w:rsidR="00781926">
        <w:rPr>
          <w:rFonts w:ascii="David" w:hAnsi="David" w:cs="David" w:hint="cs"/>
          <w:rtl/>
        </w:rPr>
        <w:t xml:space="preserve"> שחלקן אוחדו נוכח זהות בינ</w:t>
      </w:r>
      <w:r w:rsidR="00377025">
        <w:rPr>
          <w:rFonts w:ascii="David" w:hAnsi="David" w:cs="David" w:hint="cs"/>
          <w:rtl/>
        </w:rPr>
        <w:t>יה</w:t>
      </w:r>
      <w:r w:rsidR="00781926">
        <w:rPr>
          <w:rFonts w:ascii="David" w:hAnsi="David" w:cs="David" w:hint="cs"/>
          <w:rtl/>
        </w:rPr>
        <w:t>ן</w:t>
      </w:r>
      <w:r>
        <w:rPr>
          <w:rFonts w:ascii="David" w:hAnsi="David" w:cs="David" w:hint="cs"/>
          <w:rtl/>
        </w:rPr>
        <w:t>)</w:t>
      </w:r>
      <w:r w:rsidR="003D0997">
        <w:rPr>
          <w:rFonts w:ascii="David" w:hAnsi="David" w:cs="David" w:hint="cs"/>
          <w:rtl/>
        </w:rPr>
        <w:t>.</w:t>
      </w:r>
      <w:r w:rsidR="00DB04D2">
        <w:rPr>
          <w:rFonts w:ascii="David" w:hAnsi="David" w:cs="David" w:hint="cs"/>
          <w:rtl/>
        </w:rPr>
        <w:t xml:space="preserve"> </w:t>
      </w:r>
      <w:r w:rsidR="003D0997">
        <w:rPr>
          <w:rFonts w:ascii="David" w:hAnsi="David" w:cs="David" w:hint="cs"/>
          <w:rtl/>
        </w:rPr>
        <w:t xml:space="preserve">על כן, </w:t>
      </w:r>
      <w:r>
        <w:rPr>
          <w:rFonts w:ascii="David" w:hAnsi="David" w:cs="David" w:hint="cs"/>
          <w:rtl/>
        </w:rPr>
        <w:t>על מנת להקל על קריאת ההחלטה והבנתה סדר הדבר</w:t>
      </w:r>
      <w:r w:rsidR="003D0997">
        <w:rPr>
          <w:rFonts w:ascii="David" w:hAnsi="David" w:cs="David" w:hint="cs"/>
          <w:rtl/>
        </w:rPr>
        <w:t>י</w:t>
      </w:r>
      <w:r>
        <w:rPr>
          <w:rFonts w:ascii="David" w:hAnsi="David" w:cs="David" w:hint="cs"/>
          <w:rtl/>
        </w:rPr>
        <w:t>ם יהא הבאת כל טיעון</w:t>
      </w:r>
      <w:r w:rsidR="00DB04D2">
        <w:rPr>
          <w:rFonts w:ascii="David" w:hAnsi="David" w:cs="David" w:hint="cs"/>
          <w:rtl/>
        </w:rPr>
        <w:t xml:space="preserve"> התשובה </w:t>
      </w:r>
      <w:r>
        <w:rPr>
          <w:rFonts w:ascii="David" w:hAnsi="David" w:cs="David" w:hint="cs"/>
          <w:rtl/>
        </w:rPr>
        <w:t>והכרעה בצידו</w:t>
      </w:r>
      <w:r w:rsidR="00DB04D2">
        <w:rPr>
          <w:rFonts w:ascii="David" w:hAnsi="David" w:cs="David" w:hint="cs"/>
          <w:rtl/>
        </w:rPr>
        <w:t xml:space="preserve">. </w:t>
      </w:r>
    </w:p>
    <w:p w:rsidR="0032773A" w:rsidRDefault="00232DBC" w:rsidP="006C64A1">
      <w:pPr>
        <w:spacing w:line="360" w:lineRule="auto"/>
        <w:jc w:val="both"/>
        <w:rPr>
          <w:rFonts w:ascii="David" w:hAnsi="David" w:cs="David"/>
          <w:rtl/>
        </w:rPr>
      </w:pPr>
      <w:r w:rsidRPr="00232DBC">
        <w:rPr>
          <w:rFonts w:ascii="David" w:hAnsi="David" w:cs="David" w:hint="cs"/>
          <w:rtl/>
        </w:rPr>
        <w:t>כמו כן הואיל וב</w:t>
      </w:r>
      <w:r>
        <w:rPr>
          <w:rFonts w:ascii="David" w:hAnsi="David" w:cs="David" w:hint="cs"/>
          <w:rtl/>
        </w:rPr>
        <w:t xml:space="preserve">כל ארבעת העררים הן </w:t>
      </w:r>
      <w:r w:rsidRPr="00232DBC">
        <w:rPr>
          <w:rFonts w:ascii="David" w:hAnsi="David" w:cs="David" w:hint="cs"/>
          <w:rtl/>
        </w:rPr>
        <w:t>עררי הועדה המקומית ו</w:t>
      </w:r>
      <w:r>
        <w:rPr>
          <w:rFonts w:ascii="David" w:hAnsi="David" w:cs="David" w:hint="cs"/>
          <w:rtl/>
        </w:rPr>
        <w:t xml:space="preserve">הן </w:t>
      </w:r>
      <w:r w:rsidRPr="00232DBC">
        <w:rPr>
          <w:rFonts w:ascii="David" w:hAnsi="David" w:cs="David" w:hint="cs"/>
          <w:rtl/>
        </w:rPr>
        <w:t xml:space="preserve">עררי החברה הועלו טענות בעניין </w:t>
      </w:r>
      <w:r>
        <w:rPr>
          <w:rFonts w:ascii="David" w:hAnsi="David" w:cs="David" w:hint="cs"/>
          <w:rtl/>
        </w:rPr>
        <w:t>הכרעת השמאית המכריעה ביחס ל</w:t>
      </w:r>
      <w:r w:rsidRPr="00232DBC">
        <w:rPr>
          <w:rFonts w:ascii="David" w:hAnsi="David" w:cs="David" w:hint="cs"/>
          <w:rtl/>
        </w:rPr>
        <w:t xml:space="preserve">פטור שיקום שכונות ופטור ממ"דים, נדון בסוגיות אלה תחילה ולאחר מכן </w:t>
      </w:r>
      <w:r w:rsidR="000F47B2">
        <w:rPr>
          <w:rFonts w:ascii="David" w:hAnsi="David" w:cs="David" w:hint="cs"/>
          <w:rtl/>
        </w:rPr>
        <w:t>נדון ב</w:t>
      </w:r>
      <w:r>
        <w:rPr>
          <w:rFonts w:ascii="David" w:hAnsi="David" w:cs="David" w:hint="cs"/>
          <w:rtl/>
        </w:rPr>
        <w:t>טיעוני כל אחד מהצדדים.</w:t>
      </w:r>
    </w:p>
    <w:p w:rsidR="00232DBC" w:rsidRPr="005C5148" w:rsidRDefault="00232DBC" w:rsidP="005C5148">
      <w:pPr>
        <w:pStyle w:val="1"/>
        <w:rPr>
          <w:bCs w:val="0"/>
          <w:rtl/>
        </w:rPr>
      </w:pPr>
      <w:bookmarkStart w:id="10" w:name="_Toc203992503"/>
      <w:bookmarkStart w:id="11" w:name="_Toc204504386"/>
      <w:r w:rsidRPr="005C5148">
        <w:rPr>
          <w:rFonts w:hint="eastAsia"/>
          <w:sz w:val="24"/>
          <w:szCs w:val="24"/>
          <w:rtl/>
        </w:rPr>
        <w:t>סוגיית</w:t>
      </w:r>
      <w:r w:rsidRPr="005C5148">
        <w:rPr>
          <w:sz w:val="24"/>
          <w:szCs w:val="24"/>
          <w:rtl/>
        </w:rPr>
        <w:t xml:space="preserve"> הפטורים</w:t>
      </w:r>
      <w:r w:rsidR="001D16E0" w:rsidRPr="005C5148">
        <w:rPr>
          <w:sz w:val="24"/>
          <w:szCs w:val="24"/>
          <w:rtl/>
        </w:rPr>
        <w:t xml:space="preserve"> בשומה </w:t>
      </w:r>
      <w:r w:rsidR="001D16E0" w:rsidRPr="005C5148">
        <w:rPr>
          <w:rFonts w:hint="eastAsia"/>
          <w:sz w:val="24"/>
          <w:szCs w:val="24"/>
          <w:rtl/>
        </w:rPr>
        <w:t>המכרעת</w:t>
      </w:r>
      <w:r w:rsidR="001D16E0" w:rsidRPr="005C5148">
        <w:rPr>
          <w:sz w:val="24"/>
          <w:szCs w:val="24"/>
          <w:rtl/>
        </w:rPr>
        <w:t xml:space="preserve"> - כללי</w:t>
      </w:r>
      <w:bookmarkEnd w:id="10"/>
      <w:bookmarkEnd w:id="11"/>
    </w:p>
    <w:p w:rsidR="00232DBC" w:rsidRDefault="00232DBC" w:rsidP="00232DBC">
      <w:pPr>
        <w:pStyle w:val="a9"/>
        <w:numPr>
          <w:ilvl w:val="0"/>
          <w:numId w:val="1"/>
        </w:numPr>
        <w:spacing w:line="360" w:lineRule="auto"/>
        <w:jc w:val="both"/>
        <w:rPr>
          <w:rFonts w:ascii="David" w:hAnsi="David" w:cs="David"/>
        </w:rPr>
      </w:pPr>
      <w:r w:rsidRPr="00232DBC">
        <w:rPr>
          <w:rFonts w:ascii="David" w:hAnsi="David" w:cs="David" w:hint="cs"/>
          <w:rtl/>
        </w:rPr>
        <w:t xml:space="preserve">בשומות המכריעות הכריעה כב' השמאית המכריעה במחלוקות שהיו בין הצדדים בנושאים שונים. בין היתר </w:t>
      </w:r>
      <w:r w:rsidRPr="00232DBC">
        <w:rPr>
          <w:rFonts w:ascii="David" w:hAnsi="David" w:cs="David" w:hint="cs"/>
          <w:b/>
          <w:bCs/>
          <w:rtl/>
        </w:rPr>
        <w:t>קבעה השמאית המכריעה כי במקרה הנדון חל הפטור לשיקום שכונות ביחס לדירות הקיימות וכן חל הפטור לממ</w:t>
      </w:r>
      <w:r w:rsidR="00A2713B">
        <w:rPr>
          <w:rFonts w:ascii="David" w:hAnsi="David" w:cs="David" w:hint="cs"/>
          <w:b/>
          <w:bCs/>
          <w:rtl/>
        </w:rPr>
        <w:t>"</w:t>
      </w:r>
      <w:r w:rsidRPr="00232DBC">
        <w:rPr>
          <w:rFonts w:ascii="David" w:hAnsi="David" w:cs="David" w:hint="cs"/>
          <w:b/>
          <w:bCs/>
          <w:rtl/>
        </w:rPr>
        <w:t>דים בהתאם להוראות סעיף 19(ב)(9) לתוספת השלישית לחוק התכנון והבניה</w:t>
      </w:r>
      <w:r w:rsidR="000F47B2">
        <w:rPr>
          <w:rFonts w:ascii="David" w:hAnsi="David" w:cs="David" w:hint="cs"/>
          <w:b/>
          <w:bCs/>
          <w:rtl/>
        </w:rPr>
        <w:t>,</w:t>
      </w:r>
      <w:r w:rsidRPr="00232DBC">
        <w:rPr>
          <w:rFonts w:ascii="David" w:hAnsi="David" w:cs="David" w:hint="cs"/>
          <w:b/>
          <w:bCs/>
          <w:rtl/>
        </w:rPr>
        <w:t xml:space="preserve"> </w:t>
      </w:r>
      <w:proofErr w:type="spellStart"/>
      <w:r w:rsidRPr="00232DBC">
        <w:rPr>
          <w:rFonts w:ascii="David" w:hAnsi="David" w:cs="David" w:hint="cs"/>
          <w:b/>
          <w:bCs/>
          <w:rtl/>
        </w:rPr>
        <w:t>התשכ"ה</w:t>
      </w:r>
      <w:proofErr w:type="spellEnd"/>
      <w:r w:rsidR="000F47B2">
        <w:rPr>
          <w:rFonts w:ascii="David" w:hAnsi="David" w:cs="David" w:hint="cs"/>
          <w:b/>
          <w:bCs/>
          <w:rtl/>
        </w:rPr>
        <w:t xml:space="preserve"> - 1965</w:t>
      </w:r>
      <w:r w:rsidRPr="00232DBC">
        <w:rPr>
          <w:rFonts w:ascii="David" w:hAnsi="David" w:cs="David" w:hint="cs"/>
          <w:b/>
          <w:bCs/>
          <w:rtl/>
        </w:rPr>
        <w:t xml:space="preserve"> </w:t>
      </w:r>
      <w:r w:rsidRPr="00232DBC">
        <w:rPr>
          <w:rFonts w:ascii="David" w:hAnsi="David" w:cs="David" w:hint="cs"/>
          <w:rtl/>
        </w:rPr>
        <w:t xml:space="preserve">(להלן </w:t>
      </w:r>
      <w:r w:rsidRPr="00232DBC">
        <w:rPr>
          <w:rFonts w:ascii="David" w:hAnsi="David" w:cs="David"/>
          <w:rtl/>
        </w:rPr>
        <w:t>–</w:t>
      </w:r>
      <w:r w:rsidRPr="00232DBC">
        <w:rPr>
          <w:rFonts w:ascii="David" w:hAnsi="David" w:cs="David" w:hint="cs"/>
          <w:rtl/>
        </w:rPr>
        <w:t xml:space="preserve"> "</w:t>
      </w:r>
      <w:r w:rsidRPr="00232DBC">
        <w:rPr>
          <w:rFonts w:ascii="David" w:hAnsi="David" w:cs="David" w:hint="cs"/>
          <w:b/>
          <w:bCs/>
          <w:rtl/>
        </w:rPr>
        <w:t>החוק</w:t>
      </w:r>
      <w:r w:rsidRPr="00232DBC">
        <w:rPr>
          <w:rFonts w:ascii="David" w:hAnsi="David" w:cs="David" w:hint="cs"/>
          <w:rtl/>
        </w:rPr>
        <w:t>").</w:t>
      </w:r>
    </w:p>
    <w:p w:rsidR="00232DBC" w:rsidRDefault="00232DBC" w:rsidP="00232DBC">
      <w:pPr>
        <w:pStyle w:val="a9"/>
        <w:numPr>
          <w:ilvl w:val="0"/>
          <w:numId w:val="1"/>
        </w:numPr>
        <w:spacing w:line="360" w:lineRule="auto"/>
        <w:jc w:val="both"/>
        <w:rPr>
          <w:rFonts w:ascii="David" w:hAnsi="David" w:cs="David"/>
        </w:rPr>
      </w:pPr>
      <w:r w:rsidRPr="00232DBC">
        <w:rPr>
          <w:rFonts w:ascii="David" w:hAnsi="David" w:cs="David" w:hint="cs"/>
          <w:rtl/>
        </w:rPr>
        <w:t xml:space="preserve">עם זאת, הואיל והשמאית המכריעה העריכה ששתי סוגיות אלה </w:t>
      </w:r>
      <w:r w:rsidR="00A2713B">
        <w:rPr>
          <w:rFonts w:ascii="David" w:hAnsi="David" w:cs="David" w:hint="cs"/>
          <w:rtl/>
        </w:rPr>
        <w:t>תעמודנה</w:t>
      </w:r>
      <w:r w:rsidR="00F33562" w:rsidRPr="00232DBC">
        <w:rPr>
          <w:rFonts w:ascii="David" w:hAnsi="David" w:cs="David" w:hint="cs"/>
          <w:rtl/>
        </w:rPr>
        <w:t xml:space="preserve"> </w:t>
      </w:r>
      <w:r w:rsidRPr="00232DBC">
        <w:rPr>
          <w:rFonts w:ascii="David" w:hAnsi="David" w:cs="David" w:hint="cs"/>
          <w:rtl/>
        </w:rPr>
        <w:t xml:space="preserve">להכרעה בערכאות נוספות, כללה השמאית המכריעה בשומות המכריעות גם חישובים חלופיים: חישוב אחד שאינו מחיל את אחד משני הפטורים וחישוב אחר שאינו מחיל </w:t>
      </w:r>
      <w:r w:rsidR="00FC2CD3">
        <w:rPr>
          <w:rFonts w:ascii="David" w:hAnsi="David" w:cs="David" w:hint="cs"/>
          <w:rtl/>
        </w:rPr>
        <w:t>מי</w:t>
      </w:r>
      <w:r w:rsidRPr="00232DBC">
        <w:rPr>
          <w:rFonts w:ascii="David" w:hAnsi="David" w:cs="David" w:hint="cs"/>
          <w:rtl/>
        </w:rPr>
        <w:t xml:space="preserve"> משני הפטורים הנ"ל. זאת למקרה שהכרעתה של השמאית המכריעה באיזו משתי הסוגיות הנ"ל או בשתיהן תשתנה בערכאות המתאימות</w:t>
      </w:r>
      <w:r>
        <w:rPr>
          <w:rFonts w:ascii="David" w:hAnsi="David" w:cs="David" w:hint="cs"/>
          <w:rtl/>
        </w:rPr>
        <w:t>.</w:t>
      </w:r>
    </w:p>
    <w:p w:rsidR="00232DBC" w:rsidRPr="00232DBC" w:rsidRDefault="00232DBC" w:rsidP="00232DBC">
      <w:pPr>
        <w:pStyle w:val="a9"/>
        <w:numPr>
          <w:ilvl w:val="0"/>
          <w:numId w:val="1"/>
        </w:numPr>
        <w:spacing w:line="360" w:lineRule="auto"/>
        <w:jc w:val="both"/>
        <w:rPr>
          <w:rFonts w:ascii="David" w:hAnsi="David" w:cs="David"/>
          <w:rtl/>
        </w:rPr>
      </w:pPr>
      <w:r w:rsidRPr="00232DBC">
        <w:rPr>
          <w:rFonts w:ascii="David" w:hAnsi="David" w:cs="David" w:hint="cs"/>
          <w:rtl/>
        </w:rPr>
        <w:t>כך כתבה השמאית המכריעה בשומותיה (עמ' 26) לעניין הפטור משיקום שכונות:</w:t>
      </w:r>
    </w:p>
    <w:p w:rsidR="00DA044B" w:rsidRDefault="00DA044B" w:rsidP="00232DBC">
      <w:pPr>
        <w:pStyle w:val="a9"/>
        <w:spacing w:line="360" w:lineRule="auto"/>
        <w:jc w:val="center"/>
        <w:rPr>
          <w:rFonts w:ascii="David" w:hAnsi="David" w:cs="David"/>
          <w:rtl/>
        </w:rPr>
      </w:pPr>
    </w:p>
    <w:p w:rsidR="00232DBC" w:rsidRDefault="00232DBC" w:rsidP="00232DBC">
      <w:pPr>
        <w:pStyle w:val="a9"/>
        <w:spacing w:line="360" w:lineRule="auto"/>
        <w:jc w:val="center"/>
        <w:rPr>
          <w:rFonts w:ascii="David" w:hAnsi="David" w:cs="David"/>
          <w:rtl/>
        </w:rPr>
      </w:pPr>
      <w:r w:rsidRPr="00FA655B">
        <w:rPr>
          <w:rFonts w:ascii="David" w:hAnsi="David" w:cs="David"/>
          <w:noProof/>
          <w:rtl/>
        </w:rPr>
        <w:drawing>
          <wp:inline distT="0" distB="0" distL="0" distR="0" wp14:anchorId="389F6834" wp14:editId="566D6EC0">
            <wp:extent cx="4362450" cy="1651000"/>
            <wp:effectExtent l="0" t="0" r="0" b="6350"/>
            <wp:docPr id="35169308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93080" name=""/>
                    <pic:cNvPicPr/>
                  </pic:nvPicPr>
                  <pic:blipFill rotWithShape="1">
                    <a:blip r:embed="rId8"/>
                    <a:srcRect l="3039" t="5225" r="2105" b="2733"/>
                    <a:stretch/>
                  </pic:blipFill>
                  <pic:spPr bwMode="auto">
                    <a:xfrm>
                      <a:off x="0" y="0"/>
                      <a:ext cx="4362450" cy="1651000"/>
                    </a:xfrm>
                    <a:prstGeom prst="rect">
                      <a:avLst/>
                    </a:prstGeom>
                    <a:ln>
                      <a:noFill/>
                    </a:ln>
                    <a:extLst>
                      <a:ext uri="{53640926-AAD7-44D8-BBD7-CCE9431645EC}">
                        <a14:shadowObscured xmlns:a14="http://schemas.microsoft.com/office/drawing/2010/main"/>
                      </a:ext>
                    </a:extLst>
                  </pic:spPr>
                </pic:pic>
              </a:graphicData>
            </a:graphic>
          </wp:inline>
        </w:drawing>
      </w:r>
    </w:p>
    <w:p w:rsidR="00F93D89" w:rsidRDefault="00F93D89" w:rsidP="00232DBC">
      <w:pPr>
        <w:pStyle w:val="a9"/>
        <w:spacing w:line="360" w:lineRule="auto"/>
        <w:jc w:val="both"/>
        <w:rPr>
          <w:rFonts w:ascii="David" w:hAnsi="David" w:cs="David"/>
          <w:rtl/>
        </w:rPr>
      </w:pPr>
    </w:p>
    <w:p w:rsidR="00232DBC" w:rsidRDefault="00232DBC" w:rsidP="00232DBC">
      <w:pPr>
        <w:pStyle w:val="a9"/>
        <w:spacing w:line="360" w:lineRule="auto"/>
        <w:jc w:val="both"/>
        <w:rPr>
          <w:rFonts w:ascii="David" w:hAnsi="David" w:cs="David"/>
          <w:rtl/>
        </w:rPr>
      </w:pPr>
      <w:r>
        <w:rPr>
          <w:rFonts w:ascii="David" w:hAnsi="David" w:cs="David" w:hint="cs"/>
          <w:rtl/>
        </w:rPr>
        <w:t xml:space="preserve"> וכך גם ביחס לפטור בגין ממ"דים (עמ' 108) כדלקמן:</w:t>
      </w:r>
    </w:p>
    <w:p w:rsidR="00232DBC" w:rsidRDefault="00232DBC" w:rsidP="00232DBC">
      <w:pPr>
        <w:pStyle w:val="a9"/>
        <w:spacing w:line="360" w:lineRule="auto"/>
        <w:jc w:val="center"/>
        <w:rPr>
          <w:rFonts w:ascii="David" w:hAnsi="David" w:cs="David"/>
          <w:rtl/>
        </w:rPr>
      </w:pPr>
    </w:p>
    <w:p w:rsidR="00232DBC" w:rsidRDefault="00232DBC" w:rsidP="00232DBC">
      <w:pPr>
        <w:pStyle w:val="a9"/>
        <w:spacing w:line="360" w:lineRule="auto"/>
        <w:jc w:val="center"/>
        <w:rPr>
          <w:rFonts w:ascii="David" w:hAnsi="David" w:cs="David"/>
          <w:rtl/>
        </w:rPr>
      </w:pPr>
      <w:r w:rsidRPr="00FA655B">
        <w:rPr>
          <w:rFonts w:ascii="David" w:hAnsi="David" w:cs="David"/>
          <w:noProof/>
          <w:rtl/>
        </w:rPr>
        <w:drawing>
          <wp:inline distT="0" distB="0" distL="0" distR="0" wp14:anchorId="3F3EB01D" wp14:editId="62F725BF">
            <wp:extent cx="4591050" cy="1130300"/>
            <wp:effectExtent l="0" t="0" r="0" b="0"/>
            <wp:docPr id="171181068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10685" name=""/>
                    <pic:cNvPicPr/>
                  </pic:nvPicPr>
                  <pic:blipFill>
                    <a:blip r:embed="rId9"/>
                    <a:stretch>
                      <a:fillRect/>
                    </a:stretch>
                  </pic:blipFill>
                  <pic:spPr>
                    <a:xfrm>
                      <a:off x="0" y="0"/>
                      <a:ext cx="4591286" cy="1130358"/>
                    </a:xfrm>
                    <a:prstGeom prst="rect">
                      <a:avLst/>
                    </a:prstGeom>
                  </pic:spPr>
                </pic:pic>
              </a:graphicData>
            </a:graphic>
          </wp:inline>
        </w:drawing>
      </w:r>
    </w:p>
    <w:p w:rsidR="00783D4F" w:rsidRDefault="00232DBC" w:rsidP="00CD4258">
      <w:pPr>
        <w:pStyle w:val="a9"/>
        <w:numPr>
          <w:ilvl w:val="0"/>
          <w:numId w:val="1"/>
        </w:numPr>
        <w:spacing w:line="360" w:lineRule="auto"/>
        <w:jc w:val="both"/>
        <w:rPr>
          <w:rtl/>
        </w:rPr>
      </w:pPr>
      <w:r>
        <w:rPr>
          <w:rFonts w:ascii="David" w:hAnsi="David" w:cs="David" w:hint="cs"/>
          <w:rtl/>
        </w:rPr>
        <w:t>פועל יוצא אפוא כי היטל ההשבחה בהתאם לשומות המכריעות הינו היטל בהתאם לתחשיב הכולל הן את הפטור לשיקום שכונות והן את הפטור לממ"דים.</w:t>
      </w:r>
      <w:r w:rsidR="00A2713B">
        <w:rPr>
          <w:rFonts w:ascii="David" w:hAnsi="David" w:cs="David" w:hint="cs"/>
          <w:rtl/>
        </w:rPr>
        <w:t xml:space="preserve"> אולם למקרה שיקבע אחרת מבחינה משפטית הוצג על ידי השמאית המכריעה גם תחשיב שלא כולל את הפטורים.</w:t>
      </w:r>
      <w:r>
        <w:rPr>
          <w:rFonts w:ascii="David" w:hAnsi="David" w:cs="David" w:hint="cs"/>
          <w:rtl/>
        </w:rPr>
        <w:t xml:space="preserve"> להלן נדון בכל אח</w:t>
      </w:r>
      <w:r w:rsidR="00A2713B">
        <w:rPr>
          <w:rFonts w:ascii="David" w:hAnsi="David" w:cs="David" w:hint="cs"/>
          <w:rtl/>
        </w:rPr>
        <w:t>ת</w:t>
      </w:r>
      <w:r>
        <w:rPr>
          <w:rFonts w:ascii="David" w:hAnsi="David" w:cs="David" w:hint="cs"/>
          <w:rtl/>
        </w:rPr>
        <w:t xml:space="preserve"> מסוגיות הפטור.</w:t>
      </w:r>
    </w:p>
    <w:p w:rsidR="005E4144" w:rsidRPr="00231F7D" w:rsidRDefault="005E4144" w:rsidP="005C5148">
      <w:pPr>
        <w:pStyle w:val="1"/>
        <w:rPr>
          <w:rtl/>
        </w:rPr>
      </w:pPr>
      <w:bookmarkStart w:id="12" w:name="_Toc204504387"/>
      <w:r w:rsidRPr="00231F7D">
        <w:rPr>
          <w:rFonts w:hint="cs"/>
          <w:rtl/>
        </w:rPr>
        <w:t>פטור שיקום שכונות</w:t>
      </w:r>
      <w:bookmarkEnd w:id="12"/>
      <w:r w:rsidRPr="00231F7D">
        <w:rPr>
          <w:rFonts w:hint="cs"/>
          <w:rtl/>
        </w:rPr>
        <w:t xml:space="preserve"> </w:t>
      </w:r>
    </w:p>
    <w:p w:rsidR="005E4144" w:rsidRPr="00231F7D" w:rsidRDefault="005E4144" w:rsidP="005C5148">
      <w:pPr>
        <w:pStyle w:val="2"/>
        <w:rPr>
          <w:rtl/>
        </w:rPr>
      </w:pPr>
      <w:bookmarkStart w:id="13" w:name="_Toc203992505"/>
      <w:bookmarkStart w:id="14" w:name="_Toc204504388"/>
      <w:r>
        <w:rPr>
          <w:rFonts w:hint="cs"/>
          <w:rtl/>
        </w:rPr>
        <w:t>א</w:t>
      </w:r>
      <w:r w:rsidRPr="00231F7D">
        <w:rPr>
          <w:rFonts w:hint="cs"/>
          <w:rtl/>
        </w:rPr>
        <w:t>. סוגיית מתן פטור בגין שיקום שכונות</w:t>
      </w:r>
      <w:bookmarkEnd w:id="13"/>
      <w:bookmarkEnd w:id="14"/>
    </w:p>
    <w:p w:rsidR="001D16E0" w:rsidRDefault="005E4144" w:rsidP="005C5148">
      <w:pPr>
        <w:pStyle w:val="3"/>
        <w:spacing w:line="360" w:lineRule="auto"/>
        <w:rPr>
          <w:rFonts w:eastAsiaTheme="minorHAnsi" w:cstheme="minorBidi"/>
          <w:bCs w:val="0"/>
          <w:color w:val="auto"/>
          <w:sz w:val="24"/>
          <w:u w:val="none"/>
          <w:rtl/>
        </w:rPr>
      </w:pPr>
      <w:bookmarkStart w:id="15" w:name="_Toc203992506"/>
      <w:bookmarkStart w:id="16" w:name="_Toc204504389"/>
      <w:r w:rsidRPr="001D16E0">
        <w:rPr>
          <w:rFonts w:hint="cs"/>
          <w:rtl/>
        </w:rPr>
        <w:t>א.1 בקשת הוועדה המקומית לפירוט טענה שהועלתה בכתב הערר אך לא פורטה כנגד פטור שיקום שכונות</w:t>
      </w:r>
      <w:r w:rsidR="001D16E0" w:rsidRPr="001D16E0">
        <w:rPr>
          <w:rFonts w:hint="cs"/>
          <w:rtl/>
        </w:rPr>
        <w:t xml:space="preserve"> </w:t>
      </w:r>
      <w:r w:rsidR="001D16E0">
        <w:rPr>
          <w:rFonts w:hint="cs"/>
          <w:rtl/>
        </w:rPr>
        <w:t>לדירות הבעלים</w:t>
      </w:r>
      <w:bookmarkEnd w:id="15"/>
      <w:bookmarkEnd w:id="16"/>
    </w:p>
    <w:p w:rsidR="005E4144" w:rsidRPr="00231F7D" w:rsidRDefault="005E4144" w:rsidP="005E4144">
      <w:pPr>
        <w:spacing w:line="360" w:lineRule="auto"/>
        <w:jc w:val="both"/>
        <w:rPr>
          <w:rFonts w:ascii="David" w:hAnsi="David" w:cs="David"/>
          <w:color w:val="000000" w:themeColor="text1"/>
          <w:u w:val="thick"/>
        </w:rPr>
      </w:pPr>
      <w:r w:rsidRPr="00231F7D">
        <w:rPr>
          <w:rFonts w:ascii="David" w:hAnsi="David" w:cs="David" w:hint="cs"/>
          <w:color w:val="000000" w:themeColor="text1"/>
          <w:u w:val="thick"/>
          <w:rtl/>
        </w:rPr>
        <w:t xml:space="preserve">טיעון הועדה המקומית </w:t>
      </w:r>
    </w:p>
    <w:p w:rsidR="005E4144" w:rsidRPr="00231F7D" w:rsidRDefault="005E4144" w:rsidP="005E4144">
      <w:pPr>
        <w:pStyle w:val="a9"/>
        <w:numPr>
          <w:ilvl w:val="0"/>
          <w:numId w:val="1"/>
        </w:numPr>
        <w:spacing w:line="360" w:lineRule="auto"/>
        <w:contextualSpacing w:val="0"/>
        <w:jc w:val="both"/>
        <w:rPr>
          <w:rFonts w:ascii="David" w:hAnsi="David" w:cs="David"/>
          <w:color w:val="000000" w:themeColor="text1"/>
        </w:rPr>
      </w:pPr>
      <w:r w:rsidRPr="00231F7D">
        <w:rPr>
          <w:rFonts w:ascii="David" w:hAnsi="David" w:cs="David" w:hint="cs"/>
          <w:color w:val="000000" w:themeColor="text1"/>
          <w:rtl/>
        </w:rPr>
        <w:t xml:space="preserve">ביום 7.10.24 (בטרם הוגשו כתבי תשובה ובטרם התקיים דיון) הגישה הועדה המקומית בקשה "לפרוט טענה שהועלתה בכתבי הערר ואולם לא פורטה בשגגה" שעניינה בטענה כנגד מתן פטור שיקום שכונות לגבי הדירות הקיימות, שעלתה לטענתה הן בהליך השמאות המכרעת והן במסגרת כותרת בעררים סעיף 31 (א) של רשימת טיעוני הועדה המקומית שלבסוף לא קבלו פרק נפרד ומפורט ורק במסגרת הכנת כתב התשובה התברר </w:t>
      </w:r>
      <w:proofErr w:type="spellStart"/>
      <w:r w:rsidRPr="00231F7D">
        <w:rPr>
          <w:rFonts w:ascii="David" w:hAnsi="David" w:cs="David" w:hint="cs"/>
          <w:color w:val="000000" w:themeColor="text1"/>
          <w:rtl/>
        </w:rPr>
        <w:t>לועדה</w:t>
      </w:r>
      <w:proofErr w:type="spellEnd"/>
      <w:r w:rsidRPr="00231F7D">
        <w:rPr>
          <w:rFonts w:ascii="David" w:hAnsi="David" w:cs="David" w:hint="cs"/>
          <w:color w:val="000000" w:themeColor="text1"/>
          <w:rtl/>
        </w:rPr>
        <w:t xml:space="preserve"> המקומית כי בשל שגגה הטענה הופיעה בערר ככותרת אך ללא פירוט. היינו פירוט הטענה אשר נועד להתייחס באופן ספציפי להכרעת השמאית המכריעה בסוגיית הפטור לשיקום שכונות נשמט. </w:t>
      </w:r>
    </w:p>
    <w:p w:rsidR="005E4144" w:rsidRPr="00231F7D" w:rsidRDefault="005E4144" w:rsidP="005C5148">
      <w:pPr>
        <w:pStyle w:val="a9"/>
        <w:numPr>
          <w:ilvl w:val="0"/>
          <w:numId w:val="1"/>
        </w:numPr>
        <w:tabs>
          <w:tab w:val="left" w:pos="850"/>
          <w:tab w:val="left" w:pos="1244"/>
        </w:tabs>
        <w:spacing w:line="360" w:lineRule="auto"/>
        <w:ind w:left="357" w:hanging="357"/>
        <w:contextualSpacing w:val="0"/>
        <w:jc w:val="both"/>
        <w:rPr>
          <w:rFonts w:cs="David"/>
          <w:color w:val="000000" w:themeColor="text1"/>
        </w:rPr>
      </w:pPr>
      <w:r w:rsidRPr="00231F7D">
        <w:rPr>
          <w:rFonts w:cs="David" w:hint="cs"/>
          <w:color w:val="000000" w:themeColor="text1"/>
          <w:rtl/>
        </w:rPr>
        <w:t xml:space="preserve">טענה זו מתייחסת להכרעה בסעיף 11.2 לשומה המכרעת לפיה, הוחל פטור שיקום שכונות על דירות המגורים הקיימות והזכות להרחבתן במצב הקודם, וכן ביחס לדירות התמורה שניתנו במצב החדש. </w:t>
      </w:r>
    </w:p>
    <w:p w:rsidR="005E4144" w:rsidRPr="00231F7D" w:rsidRDefault="005E4144" w:rsidP="005C5148">
      <w:pPr>
        <w:pStyle w:val="a9"/>
        <w:numPr>
          <w:ilvl w:val="0"/>
          <w:numId w:val="1"/>
        </w:numPr>
        <w:tabs>
          <w:tab w:val="left" w:pos="850"/>
          <w:tab w:val="left" w:pos="1244"/>
        </w:tabs>
        <w:spacing w:line="360" w:lineRule="auto"/>
        <w:ind w:left="357" w:hanging="357"/>
        <w:contextualSpacing w:val="0"/>
        <w:jc w:val="both"/>
        <w:rPr>
          <w:rFonts w:cs="David"/>
          <w:color w:val="000000" w:themeColor="text1"/>
        </w:rPr>
      </w:pPr>
      <w:r w:rsidRPr="00231F7D">
        <w:rPr>
          <w:rFonts w:cs="David" w:hint="cs"/>
          <w:color w:val="000000" w:themeColor="text1"/>
          <w:rtl/>
        </w:rPr>
        <w:t xml:space="preserve">לטענת הוועדה המקומית אי פירוט הטענה נגרמה כתוצאה של חילופי גברי במשרד ב"כ הוועדה המקומית שטיפלו בתיק. </w:t>
      </w:r>
    </w:p>
    <w:p w:rsidR="005E4144" w:rsidRPr="00231F7D" w:rsidRDefault="005E4144" w:rsidP="005C5148">
      <w:pPr>
        <w:pStyle w:val="a9"/>
        <w:numPr>
          <w:ilvl w:val="0"/>
          <w:numId w:val="1"/>
        </w:numPr>
        <w:tabs>
          <w:tab w:val="left" w:pos="850"/>
          <w:tab w:val="left" w:pos="1244"/>
        </w:tabs>
        <w:spacing w:line="360" w:lineRule="auto"/>
        <w:ind w:left="357" w:hanging="357"/>
        <w:contextualSpacing w:val="0"/>
        <w:jc w:val="both"/>
        <w:rPr>
          <w:rFonts w:cs="David"/>
          <w:color w:val="000000" w:themeColor="text1"/>
        </w:rPr>
      </w:pPr>
      <w:r w:rsidRPr="00231F7D">
        <w:rPr>
          <w:rFonts w:cs="David" w:hint="cs"/>
          <w:color w:val="000000" w:themeColor="text1"/>
          <w:rtl/>
        </w:rPr>
        <w:t xml:space="preserve">עוד נטען כי התנגדות הוועדה המקומית להחלת הפטור צוינה בסעיפים נוספים לערר כגון סעיפים -88-89 לערר. נטען שמדובר בעניין מהותי המצוי במחלוקת בין הצדדים ואין בכוונת הוועדה המקומית לוותר על טיעוניה בעניין זה. </w:t>
      </w:r>
      <w:r w:rsidRPr="00231F7D">
        <w:rPr>
          <w:rFonts w:ascii="David" w:hAnsi="David" w:cs="David" w:hint="cs"/>
          <w:color w:val="000000" w:themeColor="text1"/>
          <w:rtl/>
        </w:rPr>
        <w:t>למשל בסעיף 88 לערר שם מצוין "לפיכך, לשיטת השמאית המכריעה (הנשללת על ידי הועדה המקומית) לפיה פטור שיקום שכונות חל ביחס לתיק ההשבחה מושא הערר".</w:t>
      </w:r>
    </w:p>
    <w:p w:rsidR="005E4144" w:rsidRPr="00231F7D" w:rsidRDefault="005E4144" w:rsidP="005C5148">
      <w:pPr>
        <w:pStyle w:val="a9"/>
        <w:numPr>
          <w:ilvl w:val="0"/>
          <w:numId w:val="1"/>
        </w:numPr>
        <w:spacing w:line="360" w:lineRule="auto"/>
        <w:ind w:left="357" w:hanging="357"/>
        <w:contextualSpacing w:val="0"/>
        <w:jc w:val="both"/>
        <w:rPr>
          <w:rFonts w:ascii="David" w:hAnsi="David" w:cs="David"/>
          <w:color w:val="000000" w:themeColor="text1"/>
        </w:rPr>
      </w:pPr>
      <w:r w:rsidRPr="00231F7D">
        <w:rPr>
          <w:rFonts w:ascii="David" w:hAnsi="David" w:cs="David" w:hint="cs"/>
          <w:color w:val="000000" w:themeColor="text1"/>
          <w:rtl/>
        </w:rPr>
        <w:t xml:space="preserve">פועל יוצא אפוא כי לטענת הועדה המקומית אין מדובר בטענה חדשה שזכרה לא קיבל התייחסות כלל במסגרת הערר ולא רק זו, מדובר בטענה שלכתחילה העלתה אותה השמאית המכריעה מיוזמתה ובעניין זה הוגשו מכתבים מטעם הועדה המקומית המשקפים את פרשנותה המשפטית של הועדה המקומית לתחולת הפטור (אלו גם צורפו לבקשה בפנינו) וכי מדובר בטיעון מהותי בעל השלכות המצוי במחלוקת בין הצדדים הנדרש להכרעה על ידי ועדת הערר ואין בכוונת הועדה המקומית לוותר על טענותיה בעניין זה. </w:t>
      </w:r>
    </w:p>
    <w:p w:rsidR="005E4144" w:rsidRPr="00231F7D" w:rsidRDefault="005E4144" w:rsidP="005E4144">
      <w:pPr>
        <w:pStyle w:val="a9"/>
        <w:numPr>
          <w:ilvl w:val="0"/>
          <w:numId w:val="1"/>
        </w:numPr>
        <w:spacing w:line="360" w:lineRule="auto"/>
        <w:contextualSpacing w:val="0"/>
        <w:jc w:val="both"/>
        <w:rPr>
          <w:rFonts w:ascii="David" w:hAnsi="David" w:cs="David"/>
          <w:color w:val="000000" w:themeColor="text1"/>
        </w:rPr>
      </w:pPr>
      <w:r w:rsidRPr="00231F7D">
        <w:rPr>
          <w:rFonts w:ascii="David" w:hAnsi="David" w:cs="David" w:hint="cs"/>
          <w:color w:val="000000" w:themeColor="text1"/>
          <w:rtl/>
        </w:rPr>
        <w:t xml:space="preserve">עוד מציינת הועדה המקומית כי השמאית המכריעה בעצמה הותירה את שאלת הזכאות לפטור כנושא פתוח וטעון הכרעה </w:t>
      </w:r>
      <w:proofErr w:type="spellStart"/>
      <w:r w:rsidRPr="00231F7D">
        <w:rPr>
          <w:rFonts w:ascii="David" w:hAnsi="David" w:cs="David" w:hint="cs"/>
          <w:color w:val="000000" w:themeColor="text1"/>
          <w:rtl/>
        </w:rPr>
        <w:t>בועדת</w:t>
      </w:r>
      <w:proofErr w:type="spellEnd"/>
      <w:r w:rsidRPr="00231F7D">
        <w:rPr>
          <w:rFonts w:ascii="David" w:hAnsi="David" w:cs="David" w:hint="cs"/>
          <w:color w:val="000000" w:themeColor="text1"/>
          <w:rtl/>
        </w:rPr>
        <w:t xml:space="preserve"> הערר ונתנה שתי חלופות</w:t>
      </w:r>
      <w:r w:rsidR="009A01EA">
        <w:rPr>
          <w:rFonts w:ascii="David" w:hAnsi="David" w:cs="David" w:hint="cs"/>
          <w:color w:val="000000" w:themeColor="text1"/>
          <w:rtl/>
        </w:rPr>
        <w:t>,</w:t>
      </w:r>
      <w:r w:rsidRPr="00231F7D">
        <w:rPr>
          <w:rFonts w:ascii="David" w:hAnsi="David" w:cs="David" w:hint="cs"/>
          <w:color w:val="000000" w:themeColor="text1"/>
          <w:rtl/>
        </w:rPr>
        <w:t xml:space="preserve"> האחת בהנחה שקיים פטור שיקום שכונות לדירות הבעלים </w:t>
      </w:r>
      <w:proofErr w:type="spellStart"/>
      <w:r w:rsidRPr="00231F7D">
        <w:rPr>
          <w:rFonts w:ascii="David" w:hAnsi="David" w:cs="David" w:hint="cs"/>
          <w:color w:val="000000" w:themeColor="text1"/>
          <w:rtl/>
        </w:rPr>
        <w:t>והשניה</w:t>
      </w:r>
      <w:proofErr w:type="spellEnd"/>
      <w:r w:rsidRPr="00231F7D">
        <w:rPr>
          <w:rFonts w:ascii="David" w:hAnsi="David" w:cs="David" w:hint="cs"/>
          <w:color w:val="000000" w:themeColor="text1"/>
          <w:rtl/>
        </w:rPr>
        <w:t xml:space="preserve"> בהנחה שפטור כאמור אינו </w:t>
      </w:r>
      <w:r w:rsidR="003B3E9A" w:rsidRPr="00231F7D">
        <w:rPr>
          <w:rFonts w:ascii="David" w:hAnsi="David" w:cs="David" w:hint="eastAsia"/>
          <w:color w:val="000000" w:themeColor="text1"/>
          <w:rtl/>
        </w:rPr>
        <w:t>קיים</w:t>
      </w:r>
      <w:r w:rsidR="003B3E9A" w:rsidRPr="00231F7D">
        <w:rPr>
          <w:rFonts w:ascii="David" w:hAnsi="David" w:cs="David"/>
          <w:color w:val="000000" w:themeColor="text1"/>
          <w:rtl/>
        </w:rPr>
        <w:t>, כך</w:t>
      </w:r>
      <w:r w:rsidRPr="00231F7D">
        <w:rPr>
          <w:rFonts w:ascii="David" w:hAnsi="David" w:cs="David" w:hint="cs"/>
          <w:color w:val="000000" w:themeColor="text1"/>
          <w:rtl/>
        </w:rPr>
        <w:t xml:space="preserve"> שגם אלמלא טענה זו </w:t>
      </w:r>
      <w:r w:rsidR="009A01EA">
        <w:rPr>
          <w:rFonts w:ascii="David" w:hAnsi="David" w:cs="David" w:hint="cs"/>
          <w:color w:val="000000" w:themeColor="text1"/>
          <w:rtl/>
        </w:rPr>
        <w:t xml:space="preserve">של </w:t>
      </w:r>
      <w:r w:rsidRPr="00231F7D">
        <w:rPr>
          <w:rFonts w:ascii="David" w:hAnsi="David" w:cs="David" w:hint="cs"/>
          <w:color w:val="000000" w:themeColor="text1"/>
          <w:rtl/>
        </w:rPr>
        <w:t xml:space="preserve">הועדה המקומית הכרעתה של השמאית המכריעה הותירה את הנושא לדיון ולמתן הכרעה בין שתי חלופות, </w:t>
      </w:r>
      <w:r w:rsidRPr="00231F7D">
        <w:rPr>
          <w:rFonts w:cs="David" w:hint="cs"/>
          <w:color w:val="000000" w:themeColor="text1"/>
          <w:rtl/>
        </w:rPr>
        <w:t xml:space="preserve">ואכן גם החברה טוענת בעררים מטעמה מנגד שיש לאמץ חלופה של פטור מלא, כך שהנושא ממילא יעמוד להכרעת ועדת הערר. </w:t>
      </w:r>
    </w:p>
    <w:p w:rsidR="005E4144" w:rsidRPr="00231F7D" w:rsidRDefault="005E4144" w:rsidP="005E4144">
      <w:pPr>
        <w:pStyle w:val="a9"/>
        <w:numPr>
          <w:ilvl w:val="0"/>
          <w:numId w:val="1"/>
        </w:numPr>
        <w:tabs>
          <w:tab w:val="left" w:pos="850"/>
          <w:tab w:val="left" w:pos="1244"/>
        </w:tabs>
        <w:spacing w:line="360" w:lineRule="auto"/>
        <w:jc w:val="both"/>
        <w:rPr>
          <w:rFonts w:cs="David"/>
          <w:color w:val="000000" w:themeColor="text1"/>
        </w:rPr>
      </w:pPr>
      <w:r w:rsidRPr="00231F7D">
        <w:rPr>
          <w:rFonts w:cs="David" w:hint="cs"/>
          <w:color w:val="000000" w:themeColor="text1"/>
          <w:rtl/>
        </w:rPr>
        <w:t xml:space="preserve">לאור </w:t>
      </w:r>
      <w:r w:rsidR="003B3E9A" w:rsidRPr="00231F7D">
        <w:rPr>
          <w:rFonts w:cs="David" w:hint="eastAsia"/>
          <w:color w:val="000000" w:themeColor="text1"/>
          <w:rtl/>
        </w:rPr>
        <w:t>האמור</w:t>
      </w:r>
      <w:r w:rsidR="003B3E9A" w:rsidRPr="00231F7D">
        <w:rPr>
          <w:rFonts w:cs="David"/>
          <w:color w:val="000000" w:themeColor="text1"/>
          <w:rtl/>
        </w:rPr>
        <w:t xml:space="preserve"> נטען</w:t>
      </w:r>
      <w:r w:rsidRPr="00231F7D">
        <w:rPr>
          <w:rFonts w:cs="David" w:hint="cs"/>
          <w:color w:val="000000" w:themeColor="text1"/>
          <w:rtl/>
        </w:rPr>
        <w:t xml:space="preserve"> כי מדובר בנימוקים הנדרשים להכרעה במחלוקות אשר הוצגו ממילא בעררים שבנדון, והוועדה המקומית מבקשת לראות ב-2 מכתבים שצורפו לבקשה את טיעוני הוועדה המקומית בעניין. </w:t>
      </w:r>
    </w:p>
    <w:p w:rsidR="005E4144" w:rsidRPr="00231F7D" w:rsidRDefault="005E4144" w:rsidP="005E4144">
      <w:pPr>
        <w:spacing w:line="360" w:lineRule="auto"/>
        <w:jc w:val="both"/>
        <w:rPr>
          <w:rFonts w:ascii="David" w:hAnsi="David" w:cs="David"/>
          <w:color w:val="000000" w:themeColor="text1"/>
          <w:rtl/>
        </w:rPr>
      </w:pPr>
      <w:r w:rsidRPr="00231F7D">
        <w:rPr>
          <w:rFonts w:ascii="David" w:hAnsi="David" w:cs="David" w:hint="cs"/>
          <w:color w:val="000000" w:themeColor="text1"/>
          <w:u w:val="thick"/>
          <w:rtl/>
        </w:rPr>
        <w:t xml:space="preserve">תשובת החברה </w:t>
      </w:r>
    </w:p>
    <w:p w:rsidR="005E4144" w:rsidRPr="00231F7D" w:rsidRDefault="005E4144" w:rsidP="005C5148">
      <w:pPr>
        <w:pStyle w:val="a9"/>
        <w:numPr>
          <w:ilvl w:val="0"/>
          <w:numId w:val="1"/>
        </w:numPr>
        <w:tabs>
          <w:tab w:val="left" w:pos="850"/>
          <w:tab w:val="left" w:pos="1244"/>
        </w:tabs>
        <w:spacing w:line="360" w:lineRule="auto"/>
        <w:ind w:left="357" w:hanging="357"/>
        <w:contextualSpacing w:val="0"/>
        <w:jc w:val="both"/>
        <w:rPr>
          <w:rFonts w:cs="David"/>
          <w:color w:val="000000" w:themeColor="text1"/>
        </w:rPr>
      </w:pPr>
      <w:r w:rsidRPr="00231F7D">
        <w:rPr>
          <w:rFonts w:cs="David"/>
          <w:color w:val="000000" w:themeColor="text1"/>
          <w:rtl/>
        </w:rPr>
        <w:t xml:space="preserve"> </w:t>
      </w:r>
      <w:r w:rsidRPr="00231F7D">
        <w:rPr>
          <w:rFonts w:cs="David" w:hint="cs"/>
          <w:color w:val="000000" w:themeColor="text1"/>
          <w:rtl/>
        </w:rPr>
        <w:t xml:space="preserve">החברה מתנגדת לבקשה. לטענתה מדובר בהוספת טענה חדשה לערר זמן רב לאחר המועד להגשתו, ובניגוד לתקנות סדרי הדין בעניין. </w:t>
      </w:r>
    </w:p>
    <w:p w:rsidR="005E4144" w:rsidRPr="00231F7D" w:rsidRDefault="005E4144" w:rsidP="005C5148">
      <w:pPr>
        <w:pStyle w:val="a9"/>
        <w:numPr>
          <w:ilvl w:val="0"/>
          <w:numId w:val="1"/>
        </w:numPr>
        <w:tabs>
          <w:tab w:val="left" w:pos="850"/>
          <w:tab w:val="left" w:pos="1244"/>
        </w:tabs>
        <w:spacing w:line="360" w:lineRule="auto"/>
        <w:ind w:left="357" w:hanging="357"/>
        <w:contextualSpacing w:val="0"/>
        <w:jc w:val="both"/>
        <w:rPr>
          <w:rFonts w:cs="David"/>
          <w:color w:val="000000" w:themeColor="text1"/>
        </w:rPr>
      </w:pPr>
      <w:r w:rsidRPr="00231F7D">
        <w:rPr>
          <w:rFonts w:cs="David" w:hint="cs"/>
          <w:color w:val="000000" w:themeColor="text1"/>
          <w:rtl/>
        </w:rPr>
        <w:t xml:space="preserve">עוד נטען כי הטעם שהוצג בבקשה אינו מצדיק היעתרות לבקשה, והדבר יוביל לכך שכל צד לערר בעתיד יוכל להרחיב טענותיו לאחר הגשת הערר. </w:t>
      </w:r>
    </w:p>
    <w:p w:rsidR="005E4144" w:rsidRPr="00231F7D" w:rsidRDefault="005E4144" w:rsidP="005C5148">
      <w:pPr>
        <w:pStyle w:val="a9"/>
        <w:numPr>
          <w:ilvl w:val="0"/>
          <w:numId w:val="1"/>
        </w:numPr>
        <w:tabs>
          <w:tab w:val="left" w:pos="850"/>
          <w:tab w:val="left" w:pos="1244"/>
        </w:tabs>
        <w:spacing w:line="360" w:lineRule="auto"/>
        <w:ind w:left="357" w:hanging="357"/>
        <w:contextualSpacing w:val="0"/>
        <w:jc w:val="both"/>
        <w:rPr>
          <w:rFonts w:cs="David"/>
          <w:color w:val="000000" w:themeColor="text1"/>
        </w:rPr>
      </w:pPr>
      <w:r w:rsidRPr="00231F7D">
        <w:rPr>
          <w:rFonts w:cs="David" w:hint="cs"/>
          <w:color w:val="000000" w:themeColor="text1"/>
          <w:rtl/>
        </w:rPr>
        <w:t xml:space="preserve">עוד צוין שציון כותרת הטענה בתחילת הערר הופיעה רק בערר אחד מתוך שני העררים שהגישה הוועדה המקומית. </w:t>
      </w:r>
    </w:p>
    <w:p w:rsidR="005E4144" w:rsidRPr="00231F7D" w:rsidRDefault="005E4144" w:rsidP="005C5148">
      <w:pPr>
        <w:pStyle w:val="a9"/>
        <w:numPr>
          <w:ilvl w:val="0"/>
          <w:numId w:val="1"/>
        </w:numPr>
        <w:tabs>
          <w:tab w:val="left" w:pos="850"/>
          <w:tab w:val="left" w:pos="1244"/>
        </w:tabs>
        <w:spacing w:line="360" w:lineRule="auto"/>
        <w:ind w:left="357" w:hanging="357"/>
        <w:contextualSpacing w:val="0"/>
        <w:jc w:val="both"/>
        <w:rPr>
          <w:rFonts w:cs="David"/>
          <w:color w:val="000000" w:themeColor="text1"/>
        </w:rPr>
      </w:pPr>
      <w:r w:rsidRPr="00231F7D">
        <w:rPr>
          <w:rFonts w:cs="David" w:hint="cs"/>
          <w:color w:val="000000" w:themeColor="text1"/>
          <w:rtl/>
        </w:rPr>
        <w:t xml:space="preserve">עוד נטען כי הוועדה המקומית בחרה מראש שלא להרחיב בסוגיה זו </w:t>
      </w:r>
      <w:proofErr w:type="spellStart"/>
      <w:r w:rsidRPr="00231F7D">
        <w:rPr>
          <w:rFonts w:cs="David" w:hint="cs"/>
          <w:color w:val="000000" w:themeColor="text1"/>
          <w:rtl/>
        </w:rPr>
        <w:t>בערריה</w:t>
      </w:r>
      <w:proofErr w:type="spellEnd"/>
      <w:r w:rsidRPr="00231F7D">
        <w:rPr>
          <w:rFonts w:cs="David" w:hint="cs"/>
          <w:color w:val="000000" w:themeColor="text1"/>
          <w:rtl/>
        </w:rPr>
        <w:t xml:space="preserve">, ורק במסגרת הכנת כתבי התשובה לאחר שראתה כי טענות בעניין עלו בעררי החברה החליטה הוועדה המקומית להעלות טענות מצידה בנושא זה. </w:t>
      </w:r>
    </w:p>
    <w:p w:rsidR="005E4144" w:rsidRPr="00231F7D" w:rsidRDefault="005E4144" w:rsidP="005C5148">
      <w:pPr>
        <w:pStyle w:val="a9"/>
        <w:numPr>
          <w:ilvl w:val="0"/>
          <w:numId w:val="1"/>
        </w:numPr>
        <w:tabs>
          <w:tab w:val="left" w:pos="850"/>
          <w:tab w:val="left" w:pos="1244"/>
        </w:tabs>
        <w:spacing w:line="360" w:lineRule="auto"/>
        <w:ind w:left="357" w:hanging="357"/>
        <w:contextualSpacing w:val="0"/>
        <w:jc w:val="both"/>
        <w:rPr>
          <w:rFonts w:cs="David"/>
          <w:color w:val="000000" w:themeColor="text1"/>
        </w:rPr>
      </w:pPr>
      <w:r w:rsidRPr="00231F7D">
        <w:rPr>
          <w:rFonts w:cs="David" w:hint="cs"/>
          <w:color w:val="000000" w:themeColor="text1"/>
          <w:rtl/>
        </w:rPr>
        <w:t xml:space="preserve">עוד נטען כי עצם כך שהעניין עלה בפני השמאית המכריעה וממילא עומד להכרעת ועדת הערר שאינה כבולה רק לטענות שעלו בפניה, אין בה בכדי להצדיק תיקון כתב ערר. </w:t>
      </w:r>
    </w:p>
    <w:p w:rsidR="005E4144" w:rsidRPr="00231F7D" w:rsidRDefault="005E4144" w:rsidP="005E4144">
      <w:pPr>
        <w:tabs>
          <w:tab w:val="left" w:pos="1244"/>
        </w:tabs>
        <w:spacing w:line="360" w:lineRule="auto"/>
        <w:jc w:val="both"/>
        <w:rPr>
          <w:rFonts w:ascii="David" w:hAnsi="David" w:cs="David"/>
          <w:b/>
          <w:bCs/>
          <w:color w:val="000000" w:themeColor="text1"/>
          <w:u w:val="thick"/>
          <w:rtl/>
        </w:rPr>
      </w:pPr>
      <w:r w:rsidRPr="00231F7D">
        <w:rPr>
          <w:rFonts w:ascii="David" w:hAnsi="David" w:cs="David" w:hint="cs"/>
          <w:b/>
          <w:bCs/>
          <w:color w:val="000000" w:themeColor="text1"/>
          <w:u w:val="thick"/>
          <w:rtl/>
        </w:rPr>
        <w:t xml:space="preserve">דיון והכרעה </w:t>
      </w:r>
    </w:p>
    <w:p w:rsidR="005E4144" w:rsidRPr="005C5148" w:rsidRDefault="005E4144" w:rsidP="005E4144">
      <w:pPr>
        <w:pStyle w:val="a9"/>
        <w:numPr>
          <w:ilvl w:val="0"/>
          <w:numId w:val="1"/>
        </w:numPr>
        <w:tabs>
          <w:tab w:val="left" w:pos="1244"/>
        </w:tabs>
        <w:spacing w:line="360" w:lineRule="auto"/>
        <w:contextualSpacing w:val="0"/>
        <w:jc w:val="both"/>
        <w:rPr>
          <w:rFonts w:ascii="David" w:hAnsi="David" w:cs="David"/>
          <w:color w:val="000000" w:themeColor="text1"/>
        </w:rPr>
      </w:pPr>
      <w:r w:rsidRPr="00231F7D">
        <w:rPr>
          <w:rFonts w:cs="David" w:hint="cs"/>
          <w:color w:val="000000" w:themeColor="text1"/>
          <w:rtl/>
        </w:rPr>
        <w:t xml:space="preserve">ביום 27.10.2024 ניתנה החלטת ביניים בבקשה ע"י כב' היו"ר הלל גלקופ לפיה הבקשה והתגובה יידונו במהלך הדיון, ובמידה ויוחלט כי יש מקום </w:t>
      </w:r>
      <w:r w:rsidRPr="005C5148">
        <w:rPr>
          <w:rFonts w:cs="David" w:hint="cs"/>
          <w:color w:val="000000" w:themeColor="text1"/>
          <w:rtl/>
        </w:rPr>
        <w:t xml:space="preserve">לאפשר את תוספת הטענה היא תבוסס על </w:t>
      </w:r>
      <w:r w:rsidR="003B3E9A" w:rsidRPr="005C5148">
        <w:rPr>
          <w:rFonts w:cs="David" w:hint="eastAsia"/>
          <w:color w:val="000000" w:themeColor="text1"/>
          <w:rtl/>
        </w:rPr>
        <w:t>המכתבים</w:t>
      </w:r>
      <w:r w:rsidR="003B3E9A" w:rsidRPr="005C5148">
        <w:rPr>
          <w:rFonts w:cs="David"/>
          <w:color w:val="000000" w:themeColor="text1"/>
          <w:rtl/>
        </w:rPr>
        <w:t xml:space="preserve"> </w:t>
      </w:r>
      <w:r w:rsidR="003B3E9A" w:rsidRPr="005C5148">
        <w:rPr>
          <w:rFonts w:cs="David" w:hint="eastAsia"/>
          <w:color w:val="000000" w:themeColor="text1"/>
          <w:rtl/>
        </w:rPr>
        <w:t>שצורפו</w:t>
      </w:r>
      <w:r w:rsidRPr="005C5148">
        <w:rPr>
          <w:rFonts w:cs="David"/>
          <w:color w:val="000000" w:themeColor="text1"/>
          <w:rtl/>
        </w:rPr>
        <w:t xml:space="preserve"> לבקש</w:t>
      </w:r>
      <w:r w:rsidR="005C5148" w:rsidRPr="005C5148">
        <w:rPr>
          <w:rFonts w:cs="David" w:hint="cs"/>
          <w:color w:val="000000" w:themeColor="text1"/>
          <w:rtl/>
        </w:rPr>
        <w:t>ת</w:t>
      </w:r>
      <w:r w:rsidRPr="005C5148">
        <w:rPr>
          <w:rFonts w:cs="David"/>
          <w:color w:val="000000" w:themeColor="text1"/>
          <w:rtl/>
        </w:rPr>
        <w:t xml:space="preserve"> הוועד</w:t>
      </w:r>
      <w:r w:rsidR="005C5148" w:rsidRPr="005C5148">
        <w:rPr>
          <w:rFonts w:cs="David" w:hint="cs"/>
          <w:color w:val="000000" w:themeColor="text1"/>
          <w:rtl/>
        </w:rPr>
        <w:t>ה</w:t>
      </w:r>
      <w:r w:rsidRPr="005C5148">
        <w:rPr>
          <w:rFonts w:cs="David" w:hint="cs"/>
          <w:color w:val="000000" w:themeColor="text1"/>
          <w:rtl/>
        </w:rPr>
        <w:t xml:space="preserve"> המקומית ועל כן אין צורך בתיקון הערר בשלב זה.</w:t>
      </w:r>
    </w:p>
    <w:p w:rsidR="005E4144" w:rsidRPr="005C5148" w:rsidRDefault="005E4144" w:rsidP="005E4144">
      <w:pPr>
        <w:pStyle w:val="a9"/>
        <w:numPr>
          <w:ilvl w:val="0"/>
          <w:numId w:val="1"/>
        </w:numPr>
        <w:tabs>
          <w:tab w:val="left" w:pos="1244"/>
        </w:tabs>
        <w:spacing w:line="360" w:lineRule="auto"/>
        <w:contextualSpacing w:val="0"/>
        <w:jc w:val="both"/>
        <w:rPr>
          <w:rFonts w:ascii="David" w:hAnsi="David" w:cs="David"/>
          <w:color w:val="000000" w:themeColor="text1"/>
        </w:rPr>
      </w:pPr>
      <w:r w:rsidRPr="005C5148">
        <w:rPr>
          <w:rFonts w:ascii="David" w:hAnsi="David" w:cs="David" w:hint="cs"/>
          <w:color w:val="000000" w:themeColor="text1"/>
          <w:rtl/>
        </w:rPr>
        <w:t>נציין תחילה כי חילופי גברי במשרד ב"כ הועדה המקומית שערכו טיוטות שונות, אינה מהווה לכשעצמה סיבה מוצדקת להיעתרות לבקשה מסוג זה, אחרת לא יהא סוף וודאות בכתבי טענות ועל כן מוטלת החובה על עורכי דין החליפיים גם אם מקבלים טיוטה לא סופית, לוודא כי הועלו כל הטענות שברצונם להעלות באופן סדור ומנומק, כך שי</w:t>
      </w:r>
      <w:r w:rsidR="00F22045" w:rsidRPr="005C5148">
        <w:rPr>
          <w:rFonts w:ascii="David" w:hAnsi="David" w:cs="David" w:hint="cs"/>
          <w:color w:val="000000" w:themeColor="text1"/>
          <w:rtl/>
        </w:rPr>
        <w:t>ת</w:t>
      </w:r>
      <w:r w:rsidRPr="005C5148">
        <w:rPr>
          <w:rFonts w:ascii="David" w:hAnsi="David" w:cs="David" w:hint="cs"/>
          <w:color w:val="000000" w:themeColor="text1"/>
          <w:rtl/>
        </w:rPr>
        <w:t xml:space="preserve">אפשר לצד שכנגד להיערך עם כתב תשובה מסודר. </w:t>
      </w:r>
    </w:p>
    <w:p w:rsidR="005E4144" w:rsidRPr="00231F7D" w:rsidRDefault="005E4144" w:rsidP="005E4144">
      <w:pPr>
        <w:pStyle w:val="a9"/>
        <w:numPr>
          <w:ilvl w:val="0"/>
          <w:numId w:val="1"/>
        </w:numPr>
        <w:tabs>
          <w:tab w:val="left" w:pos="1244"/>
        </w:tabs>
        <w:spacing w:line="360" w:lineRule="auto"/>
        <w:contextualSpacing w:val="0"/>
        <w:jc w:val="both"/>
        <w:rPr>
          <w:rFonts w:ascii="David" w:hAnsi="David" w:cs="David"/>
          <w:color w:val="000000" w:themeColor="text1"/>
        </w:rPr>
      </w:pPr>
      <w:r w:rsidRPr="00231F7D">
        <w:rPr>
          <w:rFonts w:ascii="David" w:hAnsi="David" w:cs="David" w:hint="cs"/>
          <w:color w:val="000000" w:themeColor="text1"/>
          <w:rtl/>
        </w:rPr>
        <w:t>כמו כן וככלל אין די בהעלאת טענה במסגרת כותרת ללא פירוט כדי לבססה כטענה שהועלתה בערר וככלל טענה שלא פורטה כמוה כטענה שלא הועלתה על כל המשתמע.</w:t>
      </w:r>
    </w:p>
    <w:p w:rsidR="005E4144" w:rsidRDefault="005E4144" w:rsidP="005E4144">
      <w:pPr>
        <w:pStyle w:val="a9"/>
        <w:numPr>
          <w:ilvl w:val="0"/>
          <w:numId w:val="1"/>
        </w:numPr>
        <w:tabs>
          <w:tab w:val="left" w:pos="850"/>
          <w:tab w:val="left" w:pos="1244"/>
        </w:tabs>
        <w:spacing w:line="360" w:lineRule="auto"/>
        <w:contextualSpacing w:val="0"/>
        <w:jc w:val="both"/>
        <w:rPr>
          <w:rFonts w:ascii="David" w:hAnsi="David" w:cs="David"/>
          <w:color w:val="000000" w:themeColor="text1"/>
        </w:rPr>
      </w:pPr>
      <w:r w:rsidRPr="00231F7D">
        <w:rPr>
          <w:rFonts w:ascii="David" w:hAnsi="David" w:cs="David" w:hint="cs"/>
          <w:b/>
          <w:bCs/>
          <w:color w:val="000000" w:themeColor="text1"/>
          <w:rtl/>
        </w:rPr>
        <w:t>יחד  עם זאת</w:t>
      </w:r>
      <w:r w:rsidRPr="00231F7D">
        <w:rPr>
          <w:rFonts w:ascii="David" w:hAnsi="David" w:cs="David" w:hint="cs"/>
          <w:color w:val="000000" w:themeColor="text1"/>
          <w:rtl/>
        </w:rPr>
        <w:t xml:space="preserve"> וכמו בכל כללי פרוצדורה, יש לבחון את הדברים על רקע מכלול הנסיבות שבפנינו, ולנו </w:t>
      </w:r>
      <w:r w:rsidRPr="00231F7D">
        <w:rPr>
          <w:rFonts w:ascii="David" w:hAnsi="David" w:cs="David"/>
          <w:color w:val="000000" w:themeColor="text1"/>
          <w:rtl/>
        </w:rPr>
        <w:t xml:space="preserve">נראה כי לאור העובדה שהטענה עלתה בהליך בפני השמאית המכריעה </w:t>
      </w:r>
      <w:r w:rsidRPr="00231F7D">
        <w:rPr>
          <w:rFonts w:ascii="David" w:hAnsi="David" w:cs="David"/>
          <w:color w:val="000000" w:themeColor="text1"/>
          <w:u w:val="single"/>
          <w:rtl/>
        </w:rPr>
        <w:t>מיוזמתה</w:t>
      </w:r>
      <w:r w:rsidRPr="00231F7D">
        <w:rPr>
          <w:rFonts w:ascii="David" w:hAnsi="David" w:cs="David"/>
          <w:color w:val="000000" w:themeColor="text1"/>
          <w:rtl/>
        </w:rPr>
        <w:t xml:space="preserve"> בדיון משותף ולאחר מכן נתנה שתי חלופות תוך שהשמאית המכריעה הותירה את השאלה להכרעת משפטית של ועדת הערר</w:t>
      </w:r>
      <w:r w:rsidRPr="00231F7D">
        <w:rPr>
          <w:rFonts w:ascii="David" w:hAnsi="David" w:cs="David" w:hint="cs"/>
          <w:color w:val="000000" w:themeColor="text1"/>
          <w:rtl/>
        </w:rPr>
        <w:t xml:space="preserve">, </w:t>
      </w:r>
      <w:r w:rsidRPr="00231F7D">
        <w:rPr>
          <w:rFonts w:ascii="David" w:hAnsi="David" w:cs="David"/>
          <w:color w:val="000000" w:themeColor="text1"/>
          <w:rtl/>
        </w:rPr>
        <w:t>וכן קיומה של מחלוקת בין הצדדים בשאלת פטור שיקום שכונות אליה ממילא נדרש להכריע בעררים אלה</w:t>
      </w:r>
      <w:r w:rsidRPr="00231F7D">
        <w:rPr>
          <w:rFonts w:ascii="David" w:hAnsi="David" w:cs="David" w:hint="cs"/>
          <w:color w:val="000000" w:themeColor="text1"/>
          <w:rtl/>
        </w:rPr>
        <w:t xml:space="preserve"> נוכח טענות שהחברה העלתה </w:t>
      </w:r>
      <w:proofErr w:type="spellStart"/>
      <w:r w:rsidRPr="00231F7D">
        <w:rPr>
          <w:rFonts w:ascii="David" w:hAnsi="David" w:cs="David" w:hint="cs"/>
          <w:color w:val="000000" w:themeColor="text1"/>
          <w:rtl/>
        </w:rPr>
        <w:t>בערריה</w:t>
      </w:r>
      <w:proofErr w:type="spellEnd"/>
      <w:r w:rsidRPr="00231F7D">
        <w:rPr>
          <w:rFonts w:ascii="David" w:hAnsi="David" w:cs="David"/>
          <w:color w:val="000000" w:themeColor="text1"/>
          <w:rtl/>
        </w:rPr>
        <w:t xml:space="preserve">, </w:t>
      </w:r>
      <w:r w:rsidRPr="00231F7D">
        <w:rPr>
          <w:rFonts w:ascii="David" w:hAnsi="David" w:cs="David" w:hint="cs"/>
          <w:color w:val="000000" w:themeColor="text1"/>
          <w:rtl/>
        </w:rPr>
        <w:t xml:space="preserve">כמו גם העובדה שהטענה כן הועלתה בתמצות ב </w:t>
      </w:r>
      <w:r w:rsidR="009A01EA">
        <w:rPr>
          <w:rFonts w:ascii="David" w:hAnsi="David" w:cs="David" w:hint="cs"/>
          <w:color w:val="000000" w:themeColor="text1"/>
          <w:rtl/>
        </w:rPr>
        <w:t>(</w:t>
      </w:r>
      <w:r w:rsidRPr="00231F7D">
        <w:rPr>
          <w:rFonts w:ascii="David" w:hAnsi="David" w:cs="David"/>
          <w:color w:val="000000" w:themeColor="text1"/>
          <w:rtl/>
        </w:rPr>
        <w:t xml:space="preserve">בסעיף 31 (א) לאחד </w:t>
      </w:r>
      <w:proofErr w:type="spellStart"/>
      <w:r w:rsidRPr="00231F7D">
        <w:rPr>
          <w:rFonts w:ascii="David" w:hAnsi="David" w:cs="David"/>
          <w:color w:val="000000" w:themeColor="text1"/>
          <w:rtl/>
        </w:rPr>
        <w:t>מעררי</w:t>
      </w:r>
      <w:proofErr w:type="spellEnd"/>
      <w:r w:rsidRPr="00231F7D">
        <w:rPr>
          <w:rFonts w:ascii="David" w:hAnsi="David" w:cs="David"/>
          <w:color w:val="000000" w:themeColor="text1"/>
          <w:rtl/>
        </w:rPr>
        <w:t xml:space="preserve"> הועדה המקומית וא</w:t>
      </w:r>
      <w:r w:rsidR="00F22045">
        <w:rPr>
          <w:rFonts w:ascii="David" w:hAnsi="David" w:cs="David" w:hint="cs"/>
          <w:color w:val="000000" w:themeColor="text1"/>
          <w:rtl/>
        </w:rPr>
        <w:t>ו</w:t>
      </w:r>
      <w:r w:rsidRPr="00231F7D">
        <w:rPr>
          <w:rFonts w:ascii="David" w:hAnsi="David" w:cs="David"/>
          <w:color w:val="000000" w:themeColor="text1"/>
          <w:rtl/>
        </w:rPr>
        <w:t xml:space="preserve">זכרה בסעיפים 88-89 </w:t>
      </w:r>
      <w:proofErr w:type="spellStart"/>
      <w:r w:rsidRPr="00231F7D">
        <w:rPr>
          <w:rFonts w:ascii="David" w:hAnsi="David" w:cs="David"/>
          <w:color w:val="000000" w:themeColor="text1"/>
          <w:rtl/>
        </w:rPr>
        <w:t>לעררי</w:t>
      </w:r>
      <w:proofErr w:type="spellEnd"/>
      <w:r w:rsidRPr="00231F7D">
        <w:rPr>
          <w:rFonts w:ascii="David" w:hAnsi="David" w:cs="David"/>
          <w:color w:val="000000" w:themeColor="text1"/>
          <w:rtl/>
        </w:rPr>
        <w:t xml:space="preserve"> הועדה המקומית</w:t>
      </w:r>
      <w:r w:rsidR="009A01EA">
        <w:rPr>
          <w:rFonts w:ascii="David" w:hAnsi="David" w:cs="David" w:hint="cs"/>
          <w:color w:val="000000" w:themeColor="text1"/>
          <w:rtl/>
        </w:rPr>
        <w:t>)</w:t>
      </w:r>
      <w:r w:rsidRPr="00231F7D">
        <w:rPr>
          <w:rFonts w:ascii="David" w:hAnsi="David" w:cs="David" w:hint="cs"/>
          <w:color w:val="000000" w:themeColor="text1"/>
          <w:rtl/>
        </w:rPr>
        <w:t xml:space="preserve"> באופן שניתן לומר כי החברה יכלה להיות מודעת לכך שהועדה המקומית מתנגדת להענקת פטור שיקום שכונות לדירות הבעלים </w:t>
      </w:r>
      <w:r w:rsidR="00984315">
        <w:rPr>
          <w:rFonts w:cs="David" w:hint="cs"/>
          <w:color w:val="000000" w:themeColor="text1"/>
          <w:rtl/>
        </w:rPr>
        <w:t>ו</w:t>
      </w:r>
      <w:r w:rsidRPr="00231F7D">
        <w:rPr>
          <w:rFonts w:cs="David" w:hint="cs"/>
          <w:color w:val="000000" w:themeColor="text1"/>
          <w:rtl/>
        </w:rPr>
        <w:t>בהינתן אורך כתבי הטענות ומורכבות התיק</w:t>
      </w:r>
      <w:r w:rsidRPr="00231F7D">
        <w:rPr>
          <w:rFonts w:ascii="David" w:hAnsi="David" w:cs="David" w:hint="cs"/>
          <w:color w:val="000000" w:themeColor="text1"/>
          <w:rtl/>
        </w:rPr>
        <w:t xml:space="preserve"> סביר שהושמטה בשגגה.</w:t>
      </w:r>
      <w:r w:rsidRPr="00231F7D">
        <w:rPr>
          <w:rFonts w:cs="David" w:hint="cs"/>
          <w:color w:val="000000" w:themeColor="text1"/>
          <w:rtl/>
        </w:rPr>
        <w:t xml:space="preserve"> נוכח כך שמדובר בסוגיה שגם כך עומדת לדיון בפני ועדת הערר, </w:t>
      </w:r>
      <w:r w:rsidRPr="00231F7D">
        <w:rPr>
          <w:rFonts w:ascii="David" w:hAnsi="David" w:cs="David"/>
          <w:color w:val="000000" w:themeColor="text1"/>
          <w:rtl/>
        </w:rPr>
        <w:t>אנו סבורים כי יש מקום להיעתר לבקשת הועדה המקומית באופן שהטענה בדבר שיקום שכונות שהועלתה על ידה אך לא פורטה תחשב ככזאת שהועלתה ואנו נכריע בה.</w:t>
      </w:r>
    </w:p>
    <w:p w:rsidR="009A01EA" w:rsidRDefault="009A01EA" w:rsidP="005C5148">
      <w:pPr>
        <w:pStyle w:val="a9"/>
        <w:tabs>
          <w:tab w:val="left" w:pos="850"/>
          <w:tab w:val="left" w:pos="1244"/>
        </w:tabs>
        <w:spacing w:line="360" w:lineRule="auto"/>
        <w:ind w:left="360"/>
        <w:contextualSpacing w:val="0"/>
        <w:jc w:val="both"/>
        <w:rPr>
          <w:rFonts w:ascii="David" w:hAnsi="David" w:cs="David"/>
          <w:color w:val="000000" w:themeColor="text1"/>
        </w:rPr>
      </w:pPr>
    </w:p>
    <w:p w:rsidR="005E4144" w:rsidRPr="00231F7D" w:rsidRDefault="005E4144" w:rsidP="005C5148">
      <w:pPr>
        <w:pStyle w:val="3"/>
        <w:rPr>
          <w:rFonts w:ascii="David" w:hAnsi="David"/>
        </w:rPr>
      </w:pPr>
      <w:bookmarkStart w:id="17" w:name="_Toc203992507"/>
      <w:bookmarkStart w:id="18" w:name="_Toc204504390"/>
      <w:r>
        <w:rPr>
          <w:rFonts w:hint="cs"/>
          <w:rtl/>
        </w:rPr>
        <w:t>א</w:t>
      </w:r>
      <w:r w:rsidRPr="00231F7D">
        <w:rPr>
          <w:rFonts w:hint="cs"/>
          <w:rtl/>
        </w:rPr>
        <w:t>.2 פטור שיקום שכונות</w:t>
      </w:r>
      <w:bookmarkEnd w:id="17"/>
      <w:bookmarkEnd w:id="18"/>
    </w:p>
    <w:p w:rsidR="005E4144" w:rsidRPr="00231F7D" w:rsidRDefault="005E4144" w:rsidP="005E4144">
      <w:pPr>
        <w:pStyle w:val="a9"/>
        <w:numPr>
          <w:ilvl w:val="0"/>
          <w:numId w:val="1"/>
        </w:numPr>
        <w:tabs>
          <w:tab w:val="left" w:pos="850"/>
          <w:tab w:val="left" w:pos="1244"/>
        </w:tabs>
        <w:spacing w:line="360" w:lineRule="auto"/>
        <w:contextualSpacing w:val="0"/>
        <w:jc w:val="both"/>
        <w:rPr>
          <w:rFonts w:ascii="David" w:hAnsi="David" w:cs="David"/>
          <w:color w:val="000000" w:themeColor="text1"/>
        </w:rPr>
      </w:pPr>
      <w:r w:rsidRPr="00231F7D">
        <w:rPr>
          <w:rFonts w:cs="David" w:hint="cs"/>
          <w:color w:val="000000" w:themeColor="text1"/>
          <w:rtl/>
        </w:rPr>
        <w:t xml:space="preserve">בעניינינו השמאית המכריעה קבעה כי פטור שיקום שכונות יינתן לגבי דירות הבעלים בלבד. </w:t>
      </w:r>
    </w:p>
    <w:p w:rsidR="005E4144" w:rsidRPr="00231F7D" w:rsidRDefault="005E4144" w:rsidP="005E4144">
      <w:pPr>
        <w:pStyle w:val="a9"/>
        <w:numPr>
          <w:ilvl w:val="0"/>
          <w:numId w:val="1"/>
        </w:numPr>
        <w:tabs>
          <w:tab w:val="left" w:pos="850"/>
          <w:tab w:val="left" w:pos="1244"/>
        </w:tabs>
        <w:spacing w:line="360" w:lineRule="auto"/>
        <w:contextualSpacing w:val="0"/>
        <w:jc w:val="both"/>
        <w:rPr>
          <w:rFonts w:ascii="David" w:hAnsi="David" w:cs="David"/>
          <w:color w:val="000000" w:themeColor="text1"/>
        </w:rPr>
      </w:pPr>
      <w:r w:rsidRPr="00231F7D">
        <w:rPr>
          <w:rFonts w:ascii="David" w:hAnsi="David" w:cs="David" w:hint="cs"/>
          <w:color w:val="000000" w:themeColor="text1"/>
          <w:rtl/>
        </w:rPr>
        <w:t xml:space="preserve">בקצרה נציין כי </w:t>
      </w:r>
      <w:r w:rsidRPr="00231F7D">
        <w:rPr>
          <w:rFonts w:ascii="David" w:hAnsi="David" w:cs="David" w:hint="cs"/>
          <w:b/>
          <w:bCs/>
          <w:color w:val="000000" w:themeColor="text1"/>
          <w:u w:val="single"/>
          <w:rtl/>
        </w:rPr>
        <w:t>מחד</w:t>
      </w:r>
      <w:r w:rsidRPr="00231F7D">
        <w:rPr>
          <w:rFonts w:ascii="David" w:hAnsi="David" w:cs="David" w:hint="cs"/>
          <w:color w:val="000000" w:themeColor="text1"/>
          <w:rtl/>
        </w:rPr>
        <w:t xml:space="preserve"> טוענת הועדה המקומית כי שגתה השמאית המכריעה עת העניקה פטור שיקום שכונות לדירות הבעלים. </w:t>
      </w:r>
      <w:r w:rsidRPr="00231F7D">
        <w:rPr>
          <w:rFonts w:ascii="David" w:hAnsi="David" w:cs="David" w:hint="cs"/>
          <w:b/>
          <w:bCs/>
          <w:color w:val="000000" w:themeColor="text1"/>
          <w:u w:val="single"/>
          <w:rtl/>
        </w:rPr>
        <w:t>מאידך,</w:t>
      </w:r>
      <w:r w:rsidRPr="00231F7D">
        <w:rPr>
          <w:rFonts w:ascii="David" w:hAnsi="David" w:cs="David" w:hint="cs"/>
          <w:color w:val="000000" w:themeColor="text1"/>
          <w:rtl/>
        </w:rPr>
        <w:t xml:space="preserve"> טענה החברה כי שגתה השמאית המכריעה עת נתנה פטור חלקי בגין שיקום שכונות וזאת רק לדירות הבעלים וכי היה עליה לקבוע פטור גם ובנוסף לדירות היזם.</w:t>
      </w:r>
    </w:p>
    <w:p w:rsidR="005E4144" w:rsidRPr="00231F7D" w:rsidRDefault="005E4144" w:rsidP="005E4144">
      <w:pPr>
        <w:pStyle w:val="a9"/>
        <w:tabs>
          <w:tab w:val="left" w:pos="850"/>
          <w:tab w:val="left" w:pos="1244"/>
        </w:tabs>
        <w:spacing w:line="360" w:lineRule="auto"/>
        <w:ind w:left="360"/>
        <w:contextualSpacing w:val="0"/>
        <w:jc w:val="both"/>
        <w:rPr>
          <w:rFonts w:ascii="David" w:hAnsi="David" w:cs="David"/>
          <w:color w:val="000000" w:themeColor="text1"/>
          <w:rtl/>
        </w:rPr>
      </w:pPr>
      <w:r w:rsidRPr="00231F7D">
        <w:rPr>
          <w:rFonts w:ascii="David" w:hAnsi="David" w:cs="David" w:hint="cs"/>
          <w:color w:val="000000" w:themeColor="text1"/>
          <w:rtl/>
        </w:rPr>
        <w:t xml:space="preserve">וביתר פירוט - </w:t>
      </w:r>
    </w:p>
    <w:p w:rsidR="005E4144" w:rsidRPr="00231F7D" w:rsidRDefault="005E4144" w:rsidP="005E4144">
      <w:pPr>
        <w:pStyle w:val="a9"/>
        <w:tabs>
          <w:tab w:val="left" w:pos="850"/>
          <w:tab w:val="left" w:pos="1244"/>
        </w:tabs>
        <w:spacing w:line="360" w:lineRule="auto"/>
        <w:ind w:left="360"/>
        <w:contextualSpacing w:val="0"/>
        <w:jc w:val="both"/>
        <w:rPr>
          <w:rFonts w:ascii="David" w:hAnsi="David" w:cs="David"/>
          <w:color w:val="000000" w:themeColor="text1"/>
        </w:rPr>
      </w:pPr>
      <w:r w:rsidRPr="00231F7D">
        <w:rPr>
          <w:rFonts w:ascii="David" w:hAnsi="David" w:cs="David" w:hint="cs"/>
          <w:color w:val="000000" w:themeColor="text1"/>
          <w:u w:val="single"/>
          <w:rtl/>
        </w:rPr>
        <w:t>טיעון הועדה המקומית</w:t>
      </w:r>
      <w:r w:rsidRPr="00231F7D">
        <w:rPr>
          <w:rFonts w:ascii="David" w:hAnsi="David" w:cs="David" w:hint="cs"/>
          <w:color w:val="000000" w:themeColor="text1"/>
          <w:rtl/>
        </w:rPr>
        <w:t xml:space="preserve"> - </w:t>
      </w:r>
    </w:p>
    <w:p w:rsidR="005E4144" w:rsidRPr="00231F7D" w:rsidRDefault="005E4144" w:rsidP="005E4144">
      <w:pPr>
        <w:pStyle w:val="a9"/>
        <w:numPr>
          <w:ilvl w:val="0"/>
          <w:numId w:val="1"/>
        </w:numPr>
        <w:tabs>
          <w:tab w:val="left" w:pos="850"/>
          <w:tab w:val="left" w:pos="1244"/>
        </w:tabs>
        <w:spacing w:line="360" w:lineRule="auto"/>
        <w:contextualSpacing w:val="0"/>
        <w:jc w:val="both"/>
        <w:rPr>
          <w:rFonts w:ascii="David" w:hAnsi="David" w:cs="David"/>
          <w:color w:val="000000" w:themeColor="text1"/>
        </w:rPr>
      </w:pPr>
      <w:r w:rsidRPr="00231F7D">
        <w:rPr>
          <w:rFonts w:cs="David"/>
          <w:color w:val="000000" w:themeColor="text1"/>
          <w:rtl/>
        </w:rPr>
        <w:t>בהתאם להלכת בית המשפט העליון בעניין "</w:t>
      </w:r>
      <w:proofErr w:type="spellStart"/>
      <w:r w:rsidRPr="00231F7D">
        <w:rPr>
          <w:rFonts w:cs="David"/>
          <w:color w:val="000000" w:themeColor="text1"/>
          <w:rtl/>
        </w:rPr>
        <w:t>עמאש</w:t>
      </w:r>
      <w:proofErr w:type="spellEnd"/>
      <w:r w:rsidRPr="00231F7D">
        <w:rPr>
          <w:rFonts w:cs="David"/>
          <w:color w:val="000000" w:themeColor="text1"/>
          <w:rtl/>
        </w:rPr>
        <w:t xml:space="preserve">" נקבע שיש </w:t>
      </w:r>
      <w:proofErr w:type="spellStart"/>
      <w:r w:rsidRPr="00231F7D">
        <w:rPr>
          <w:rFonts w:cs="David"/>
          <w:color w:val="000000" w:themeColor="text1"/>
          <w:rtl/>
        </w:rPr>
        <w:t>להחריג</w:t>
      </w:r>
      <w:proofErr w:type="spellEnd"/>
      <w:r w:rsidRPr="00231F7D">
        <w:rPr>
          <w:rFonts w:cs="David"/>
          <w:color w:val="000000" w:themeColor="text1"/>
          <w:rtl/>
        </w:rPr>
        <w:t xml:space="preserve"> מתחולת הפטור בנייה חדשה וכי זו הפרשנות המשרתת את פרשנות הסעיף בפן הסובייקטיבי והאובייקטיבי, ועל כן אין תחולה לפטור הקבוע בסעיף 19(ב)(1) לתוספת השלישית</w:t>
      </w:r>
      <w:r w:rsidRPr="00231F7D">
        <w:rPr>
          <w:rFonts w:cs="David" w:hint="cs"/>
          <w:color w:val="000000" w:themeColor="text1"/>
          <w:rtl/>
        </w:rPr>
        <w:t>.</w:t>
      </w:r>
    </w:p>
    <w:p w:rsidR="005E4144" w:rsidRPr="00231F7D" w:rsidRDefault="005E4144" w:rsidP="005E4144">
      <w:pPr>
        <w:pStyle w:val="a9"/>
        <w:numPr>
          <w:ilvl w:val="0"/>
          <w:numId w:val="1"/>
        </w:numPr>
        <w:tabs>
          <w:tab w:val="left" w:pos="850"/>
          <w:tab w:val="left" w:pos="1244"/>
        </w:tabs>
        <w:spacing w:line="360" w:lineRule="auto"/>
        <w:contextualSpacing w:val="0"/>
        <w:jc w:val="both"/>
        <w:rPr>
          <w:rFonts w:ascii="David" w:hAnsi="David" w:cs="David"/>
          <w:color w:val="000000" w:themeColor="text1"/>
        </w:rPr>
      </w:pPr>
      <w:r w:rsidRPr="00231F7D">
        <w:rPr>
          <w:rFonts w:ascii="David" w:hAnsi="David" w:cs="David" w:hint="cs"/>
          <w:color w:val="000000" w:themeColor="text1"/>
          <w:rtl/>
        </w:rPr>
        <w:t>אם ניישם קביעה מחייבת זו על נסיבות עניינינו ברור כי לא קיימת זכאות לפטור לבניה מכוח תכנית בי/517, שעניינה כולה בבניה חדשה, ולא בהרחבת דירות קיימות ולכן בהתאם להלכת "</w:t>
      </w:r>
      <w:proofErr w:type="spellStart"/>
      <w:r w:rsidRPr="00231F7D">
        <w:rPr>
          <w:rFonts w:ascii="David" w:hAnsi="David" w:cs="David" w:hint="cs"/>
          <w:color w:val="000000" w:themeColor="text1"/>
          <w:rtl/>
        </w:rPr>
        <w:t>עמאש</w:t>
      </w:r>
      <w:proofErr w:type="spellEnd"/>
      <w:r w:rsidRPr="00231F7D">
        <w:rPr>
          <w:rFonts w:ascii="David" w:hAnsi="David" w:cs="David" w:hint="cs"/>
          <w:color w:val="000000" w:themeColor="text1"/>
          <w:rtl/>
        </w:rPr>
        <w:t xml:space="preserve">" אין זכאות לפטור בגינה, לאף אחת מיחידות הדיור, לא המשויכות ליזם ולא המשויכות לבעלי הזכויות המקוריים.  </w:t>
      </w:r>
    </w:p>
    <w:p w:rsidR="005E4144" w:rsidRPr="00231F7D" w:rsidRDefault="005E4144" w:rsidP="005E4144">
      <w:pPr>
        <w:pStyle w:val="a9"/>
        <w:numPr>
          <w:ilvl w:val="0"/>
          <w:numId w:val="1"/>
        </w:numPr>
        <w:tabs>
          <w:tab w:val="left" w:pos="850"/>
          <w:tab w:val="left" w:pos="1244"/>
        </w:tabs>
        <w:spacing w:line="360" w:lineRule="auto"/>
        <w:contextualSpacing w:val="0"/>
        <w:jc w:val="both"/>
        <w:rPr>
          <w:rFonts w:ascii="David" w:hAnsi="David" w:cs="David"/>
          <w:color w:val="000000" w:themeColor="text1"/>
        </w:rPr>
      </w:pPr>
      <w:r w:rsidRPr="00231F7D">
        <w:rPr>
          <w:rFonts w:ascii="David" w:hAnsi="David" w:cs="David" w:hint="cs"/>
          <w:color w:val="000000" w:themeColor="text1"/>
          <w:rtl/>
        </w:rPr>
        <w:t xml:space="preserve">העובדה כי הבניה החדשה מצויה גם בשטח שבו היו בניינים קיימים שנהרסו אינה משנה תוצאה זו, ואינה מביאה לפטור, לרבות בגין דירות חדשות אשר מבחינה קניינית הוקצו לבעלי הדירות בבניינים שנהרסו. </w:t>
      </w:r>
    </w:p>
    <w:p w:rsidR="005E4144" w:rsidRPr="00231F7D" w:rsidRDefault="005E4144" w:rsidP="005C5148">
      <w:pPr>
        <w:pStyle w:val="a9"/>
        <w:numPr>
          <w:ilvl w:val="0"/>
          <w:numId w:val="1"/>
        </w:numPr>
        <w:tabs>
          <w:tab w:val="left" w:pos="1244"/>
        </w:tabs>
        <w:spacing w:line="360" w:lineRule="auto"/>
        <w:ind w:left="357"/>
        <w:contextualSpacing w:val="0"/>
        <w:jc w:val="both"/>
        <w:rPr>
          <w:rFonts w:ascii="David" w:hAnsi="David" w:cs="David"/>
          <w:color w:val="000000" w:themeColor="text1"/>
        </w:rPr>
      </w:pPr>
      <w:r w:rsidRPr="00231F7D">
        <w:rPr>
          <w:rFonts w:ascii="David" w:hAnsi="David" w:cs="David" w:hint="cs"/>
          <w:color w:val="000000" w:themeColor="text1"/>
          <w:rtl/>
        </w:rPr>
        <w:t xml:space="preserve">יצוין כי לאחר שנתנה הלכת </w:t>
      </w:r>
      <w:proofErr w:type="spellStart"/>
      <w:r w:rsidRPr="00231F7D">
        <w:rPr>
          <w:rFonts w:ascii="David" w:hAnsi="David" w:cs="David" w:hint="cs"/>
          <w:color w:val="000000" w:themeColor="text1"/>
          <w:rtl/>
        </w:rPr>
        <w:t>עמאש</w:t>
      </w:r>
      <w:proofErr w:type="spellEnd"/>
      <w:r w:rsidRPr="00231F7D">
        <w:rPr>
          <w:rFonts w:ascii="David" w:hAnsi="David" w:cs="David" w:hint="cs"/>
          <w:color w:val="000000" w:themeColor="text1"/>
          <w:rtl/>
        </w:rPr>
        <w:t>, עלתה לדיון שאלה מקבילה, בעניין פרשנות הוראה דומה המצויה בסעיף 19 (ב) (3) לתוספת השלישית לחוק, העוסק בפטור לאזור שיקום כמשמעותו בחוק בינוי ופינוי של אזורי שיקום תשכ"ה 1965.</w:t>
      </w:r>
    </w:p>
    <w:p w:rsidR="005E4144" w:rsidRPr="00231F7D" w:rsidRDefault="005E4144" w:rsidP="005C5148">
      <w:pPr>
        <w:pStyle w:val="a9"/>
        <w:numPr>
          <w:ilvl w:val="0"/>
          <w:numId w:val="1"/>
        </w:numPr>
        <w:tabs>
          <w:tab w:val="left" w:pos="425"/>
        </w:tabs>
        <w:spacing w:line="360" w:lineRule="auto"/>
        <w:ind w:left="357"/>
        <w:contextualSpacing w:val="0"/>
        <w:jc w:val="both"/>
        <w:rPr>
          <w:rFonts w:ascii="David" w:hAnsi="David" w:cs="David"/>
          <w:color w:val="000000" w:themeColor="text1"/>
        </w:rPr>
      </w:pPr>
      <w:r w:rsidRPr="00231F7D">
        <w:rPr>
          <w:rFonts w:ascii="David" w:hAnsi="David" w:cs="David" w:hint="cs"/>
          <w:color w:val="000000" w:themeColor="text1"/>
          <w:rtl/>
        </w:rPr>
        <w:t xml:space="preserve">במסגרת </w:t>
      </w:r>
      <w:proofErr w:type="spellStart"/>
      <w:r w:rsidRPr="00231F7D">
        <w:rPr>
          <w:rFonts w:ascii="David" w:hAnsi="David" w:cs="David" w:hint="cs"/>
          <w:color w:val="000000" w:themeColor="text1"/>
          <w:rtl/>
        </w:rPr>
        <w:t>עמ"נ</w:t>
      </w:r>
      <w:proofErr w:type="spellEnd"/>
      <w:r w:rsidRPr="00231F7D">
        <w:rPr>
          <w:rFonts w:ascii="David" w:hAnsi="David" w:cs="David" w:hint="cs"/>
          <w:color w:val="000000" w:themeColor="text1"/>
          <w:rtl/>
        </w:rPr>
        <w:t xml:space="preserve"> דיסקין (</w:t>
      </w:r>
      <w:proofErr w:type="spellStart"/>
      <w:r w:rsidRPr="00231F7D">
        <w:rPr>
          <w:rFonts w:ascii="David" w:hAnsi="David" w:cs="David" w:hint="cs"/>
          <w:color w:val="000000" w:themeColor="text1"/>
          <w:rtl/>
        </w:rPr>
        <w:t>עמ"נ</w:t>
      </w:r>
      <w:proofErr w:type="spellEnd"/>
      <w:r w:rsidRPr="00231F7D">
        <w:rPr>
          <w:rFonts w:ascii="David" w:hAnsi="David" w:cs="David" w:hint="cs"/>
          <w:color w:val="000000" w:themeColor="text1"/>
          <w:rtl/>
        </w:rPr>
        <w:t xml:space="preserve"> 15933-02-14) נקבע שוב לאור הלכת </w:t>
      </w:r>
      <w:proofErr w:type="spellStart"/>
      <w:r w:rsidRPr="00231F7D">
        <w:rPr>
          <w:rFonts w:ascii="David" w:hAnsi="David" w:cs="David" w:hint="cs"/>
          <w:color w:val="000000" w:themeColor="text1"/>
          <w:rtl/>
        </w:rPr>
        <w:t>עמאש</w:t>
      </w:r>
      <w:proofErr w:type="spellEnd"/>
      <w:r w:rsidRPr="00231F7D">
        <w:rPr>
          <w:rFonts w:ascii="David" w:hAnsi="David" w:cs="David" w:hint="cs"/>
          <w:color w:val="000000" w:themeColor="text1"/>
          <w:rtl/>
        </w:rPr>
        <w:t xml:space="preserve"> ולאור בחינת שני סעיפי הפטור ותכליותיה</w:t>
      </w:r>
      <w:r w:rsidRPr="00231F7D">
        <w:rPr>
          <w:rFonts w:ascii="David" w:hAnsi="David" w:cs="David" w:hint="eastAsia"/>
          <w:color w:val="000000" w:themeColor="text1"/>
          <w:rtl/>
        </w:rPr>
        <w:t>ם</w:t>
      </w:r>
      <w:r w:rsidRPr="00231F7D">
        <w:rPr>
          <w:rFonts w:ascii="David" w:hAnsi="David" w:cs="David" w:hint="cs"/>
          <w:color w:val="000000" w:themeColor="text1"/>
          <w:rtl/>
        </w:rPr>
        <w:t>, כי גם הפטור לפי סעיף 19 (ב) (3) אינו חל על בניית יחידות דיור חדשות.</w:t>
      </w:r>
    </w:p>
    <w:p w:rsidR="005E4144" w:rsidRPr="00231F7D" w:rsidRDefault="005E4144" w:rsidP="005C5148">
      <w:pPr>
        <w:pStyle w:val="a9"/>
        <w:numPr>
          <w:ilvl w:val="0"/>
          <w:numId w:val="1"/>
        </w:numPr>
        <w:tabs>
          <w:tab w:val="left" w:pos="425"/>
        </w:tabs>
        <w:spacing w:line="360" w:lineRule="auto"/>
        <w:ind w:left="357"/>
        <w:contextualSpacing w:val="0"/>
        <w:jc w:val="both"/>
        <w:rPr>
          <w:rFonts w:ascii="David" w:hAnsi="David" w:cs="David"/>
          <w:color w:val="000000" w:themeColor="text1"/>
        </w:rPr>
      </w:pPr>
      <w:r w:rsidRPr="00231F7D">
        <w:rPr>
          <w:rFonts w:ascii="David" w:hAnsi="David" w:cs="David" w:hint="cs"/>
          <w:color w:val="000000" w:themeColor="text1"/>
          <w:rtl/>
        </w:rPr>
        <w:t xml:space="preserve">הנושא הגיע שוב לפתחו של ביהמ"ש העליון </w:t>
      </w:r>
      <w:r w:rsidR="009A01EA">
        <w:rPr>
          <w:rFonts w:ascii="David" w:hAnsi="David" w:cs="David" w:hint="cs"/>
          <w:color w:val="000000" w:themeColor="text1"/>
          <w:rtl/>
        </w:rPr>
        <w:t xml:space="preserve">בעניין </w:t>
      </w:r>
      <w:r w:rsidRPr="00231F7D">
        <w:rPr>
          <w:rFonts w:ascii="David" w:hAnsi="David" w:cs="David" w:hint="cs"/>
          <w:color w:val="000000" w:themeColor="text1"/>
          <w:rtl/>
        </w:rPr>
        <w:t>דיסקין (</w:t>
      </w:r>
      <w:proofErr w:type="spellStart"/>
      <w:r w:rsidRPr="00231F7D">
        <w:rPr>
          <w:rFonts w:ascii="David" w:hAnsi="David" w:cs="David" w:hint="cs"/>
          <w:color w:val="000000" w:themeColor="text1"/>
          <w:rtl/>
        </w:rPr>
        <w:t>בר"ם</w:t>
      </w:r>
      <w:proofErr w:type="spellEnd"/>
      <w:r w:rsidRPr="00231F7D">
        <w:rPr>
          <w:rFonts w:ascii="David" w:hAnsi="David" w:cs="David" w:hint="cs"/>
          <w:color w:val="000000" w:themeColor="text1"/>
          <w:rtl/>
        </w:rPr>
        <w:t xml:space="preserve"> 7925/14) ובמסגרת ההליך התבקשה </w:t>
      </w:r>
      <w:r w:rsidR="00AC7F12" w:rsidRPr="00231F7D">
        <w:rPr>
          <w:rFonts w:ascii="David" w:hAnsi="David" w:cs="David" w:hint="eastAsia"/>
          <w:color w:val="000000" w:themeColor="text1"/>
          <w:rtl/>
        </w:rPr>
        <w:t>אף</w:t>
      </w:r>
      <w:r w:rsidR="00AC7F12" w:rsidRPr="00231F7D">
        <w:rPr>
          <w:rFonts w:ascii="David" w:hAnsi="David" w:cs="David"/>
          <w:color w:val="000000" w:themeColor="text1"/>
          <w:rtl/>
        </w:rPr>
        <w:t xml:space="preserve"> עמדת</w:t>
      </w:r>
      <w:r w:rsidRPr="00231F7D">
        <w:rPr>
          <w:rFonts w:ascii="David" w:hAnsi="David" w:cs="David" w:hint="cs"/>
          <w:color w:val="000000" w:themeColor="text1"/>
          <w:rtl/>
        </w:rPr>
        <w:t xml:space="preserve"> היוע</w:t>
      </w:r>
      <w:r w:rsidR="00944657">
        <w:rPr>
          <w:rFonts w:ascii="David" w:hAnsi="David" w:cs="David" w:hint="cs"/>
          <w:color w:val="000000" w:themeColor="text1"/>
          <w:rtl/>
        </w:rPr>
        <w:t xml:space="preserve">צת המשפטית </w:t>
      </w:r>
      <w:r w:rsidRPr="00231F7D">
        <w:rPr>
          <w:rFonts w:ascii="David" w:hAnsi="David" w:cs="David" w:hint="cs"/>
          <w:color w:val="000000" w:themeColor="text1"/>
          <w:rtl/>
        </w:rPr>
        <w:t xml:space="preserve">לממשלה. במסגרת עמדה זו נקבע, כי יש לנקוט בפרשנות מצמצמת לפיה אין להחיל את הפטור מכוח סעיף 19 (ב) (3) לתוספת השלישית על בניה חדשה במקרקעין שהוכרזו כאזור שיקום ויש להגבילו אך ורק </w:t>
      </w:r>
      <w:r w:rsidRPr="00231F7D">
        <w:rPr>
          <w:rFonts w:ascii="David" w:hAnsi="David" w:cs="David" w:hint="cs"/>
          <w:color w:val="000000" w:themeColor="text1"/>
          <w:u w:val="single"/>
          <w:rtl/>
        </w:rPr>
        <w:t xml:space="preserve">להרחבת </w:t>
      </w:r>
      <w:r w:rsidRPr="00231F7D">
        <w:rPr>
          <w:rFonts w:ascii="David" w:hAnsi="David" w:cs="David" w:hint="cs"/>
          <w:color w:val="000000" w:themeColor="text1"/>
          <w:rtl/>
        </w:rPr>
        <w:t xml:space="preserve">דירת מגורים </w:t>
      </w:r>
      <w:r w:rsidRPr="00231F7D">
        <w:rPr>
          <w:rFonts w:ascii="David" w:hAnsi="David" w:cs="David" w:hint="cs"/>
          <w:color w:val="000000" w:themeColor="text1"/>
          <w:u w:val="single"/>
          <w:rtl/>
        </w:rPr>
        <w:t>קיימת</w:t>
      </w:r>
      <w:r w:rsidRPr="00231F7D">
        <w:rPr>
          <w:rFonts w:ascii="David" w:hAnsi="David" w:cs="David" w:hint="cs"/>
          <w:color w:val="000000" w:themeColor="text1"/>
          <w:rtl/>
        </w:rPr>
        <w:t xml:space="preserve"> באזור שיקום. </w:t>
      </w:r>
    </w:p>
    <w:p w:rsidR="005E4144" w:rsidRPr="00231F7D" w:rsidRDefault="005E4144" w:rsidP="005C5148">
      <w:pPr>
        <w:pStyle w:val="a9"/>
        <w:numPr>
          <w:ilvl w:val="0"/>
          <w:numId w:val="1"/>
        </w:numPr>
        <w:tabs>
          <w:tab w:val="left" w:pos="425"/>
        </w:tabs>
        <w:spacing w:line="360" w:lineRule="auto"/>
        <w:ind w:left="357"/>
        <w:contextualSpacing w:val="0"/>
        <w:jc w:val="both"/>
        <w:rPr>
          <w:rFonts w:ascii="David" w:hAnsi="David" w:cs="David"/>
          <w:color w:val="000000" w:themeColor="text1"/>
        </w:rPr>
      </w:pPr>
      <w:r w:rsidRPr="00231F7D">
        <w:rPr>
          <w:rFonts w:ascii="David" w:hAnsi="David" w:cs="David" w:hint="cs"/>
          <w:color w:val="000000" w:themeColor="text1"/>
          <w:rtl/>
        </w:rPr>
        <w:t xml:space="preserve">בסופו של יום ניתן פסק דינו של ביהמ"ש העליון הדוחה בקשות רשות הערעור, ועל בסיס </w:t>
      </w:r>
      <w:r w:rsidR="009A01EA">
        <w:rPr>
          <w:rFonts w:ascii="David" w:hAnsi="David" w:cs="David" w:hint="cs"/>
          <w:color w:val="000000" w:themeColor="text1"/>
          <w:rtl/>
        </w:rPr>
        <w:t xml:space="preserve">התכלית </w:t>
      </w:r>
      <w:r w:rsidRPr="00231F7D">
        <w:rPr>
          <w:rFonts w:ascii="David" w:hAnsi="David" w:cs="David" w:hint="cs"/>
          <w:color w:val="000000" w:themeColor="text1"/>
          <w:rtl/>
        </w:rPr>
        <w:t xml:space="preserve">הסוציאלית של הסעיף ולאור הפרשנות המצמצמת הנהוגה בקשר לפטורים מהיטל השבחה, </w:t>
      </w:r>
      <w:r w:rsidR="009A01EA">
        <w:rPr>
          <w:rFonts w:ascii="David" w:hAnsi="David" w:cs="David" w:hint="cs"/>
          <w:color w:val="000000" w:themeColor="text1"/>
          <w:rtl/>
        </w:rPr>
        <w:t xml:space="preserve">וביהמ"ש </w:t>
      </w:r>
      <w:r w:rsidRPr="00231F7D">
        <w:rPr>
          <w:rFonts w:ascii="David" w:hAnsi="David" w:cs="David" w:hint="cs"/>
          <w:color w:val="000000" w:themeColor="text1"/>
          <w:rtl/>
        </w:rPr>
        <w:t>חוזר על ההלכה לפיה אין זכאות לפטור לבניה חדשה.</w:t>
      </w:r>
    </w:p>
    <w:p w:rsidR="005E4144" w:rsidRPr="00231F7D" w:rsidRDefault="005E4144" w:rsidP="005C5148">
      <w:pPr>
        <w:pStyle w:val="a9"/>
        <w:numPr>
          <w:ilvl w:val="0"/>
          <w:numId w:val="1"/>
        </w:numPr>
        <w:tabs>
          <w:tab w:val="left" w:pos="425"/>
        </w:tabs>
        <w:spacing w:line="360" w:lineRule="auto"/>
        <w:ind w:left="357"/>
        <w:contextualSpacing w:val="0"/>
        <w:jc w:val="both"/>
        <w:rPr>
          <w:rFonts w:ascii="David" w:hAnsi="David" w:cs="David"/>
          <w:color w:val="000000" w:themeColor="text1"/>
        </w:rPr>
      </w:pPr>
      <w:r w:rsidRPr="00231F7D">
        <w:rPr>
          <w:rFonts w:ascii="David" w:hAnsi="David" w:cs="David" w:hint="cs"/>
          <w:color w:val="000000" w:themeColor="text1"/>
          <w:rtl/>
        </w:rPr>
        <w:t xml:space="preserve">אם כן, 2 הלכות מטעם ביהמ"ש העליון, קבעו באופן ברור וחד משמעי חזור ושנה שהפטור לשיקום שכונות חל רק ביחס להרחבת בניה קיימת ולא ביחס לבניה חדשה. </w:t>
      </w:r>
    </w:p>
    <w:p w:rsidR="005E4144" w:rsidRPr="00231F7D" w:rsidRDefault="005E4144" w:rsidP="005C5148">
      <w:pPr>
        <w:pStyle w:val="a9"/>
        <w:numPr>
          <w:ilvl w:val="0"/>
          <w:numId w:val="1"/>
        </w:numPr>
        <w:tabs>
          <w:tab w:val="left" w:pos="425"/>
          <w:tab w:val="left" w:pos="1244"/>
        </w:tabs>
        <w:spacing w:line="360" w:lineRule="auto"/>
        <w:ind w:left="357"/>
        <w:contextualSpacing w:val="0"/>
        <w:jc w:val="both"/>
        <w:rPr>
          <w:rFonts w:ascii="David" w:hAnsi="David" w:cs="David"/>
          <w:color w:val="000000" w:themeColor="text1"/>
        </w:rPr>
      </w:pPr>
      <w:r w:rsidRPr="00231F7D">
        <w:rPr>
          <w:rFonts w:cs="David" w:hint="cs"/>
          <w:color w:val="000000" w:themeColor="text1"/>
          <w:rtl/>
        </w:rPr>
        <w:t xml:space="preserve">בנוסף ניתנה התייחסות להליך התלוי ועומד בעניין בר"מ 2041/21 הוועדה המקומית נ' שושנה מדמוני ואח'. נטען שבענייננו תכנית בי/517 היא תכנית משביחה שמטרתה הריסה ובניה חדשה, אזי שלפי הלכת </w:t>
      </w:r>
      <w:proofErr w:type="spellStart"/>
      <w:r w:rsidRPr="00231F7D">
        <w:rPr>
          <w:rFonts w:cs="David" w:hint="cs"/>
          <w:color w:val="000000" w:themeColor="text1"/>
          <w:rtl/>
        </w:rPr>
        <w:t>עמאש</w:t>
      </w:r>
      <w:proofErr w:type="spellEnd"/>
      <w:r w:rsidRPr="00231F7D">
        <w:rPr>
          <w:rFonts w:cs="David" w:hint="cs"/>
          <w:color w:val="000000" w:themeColor="text1"/>
          <w:rtl/>
        </w:rPr>
        <w:t xml:space="preserve"> לא חל הפטור הקבוע בסעיף 19(ב)(1). עוד נטען ש</w:t>
      </w:r>
      <w:r w:rsidR="009A01EA">
        <w:rPr>
          <w:rFonts w:cs="David" w:hint="cs"/>
          <w:color w:val="000000" w:themeColor="text1"/>
          <w:rtl/>
        </w:rPr>
        <w:t>ב</w:t>
      </w:r>
      <w:r w:rsidRPr="00231F7D">
        <w:rPr>
          <w:rFonts w:cs="David" w:hint="cs"/>
          <w:color w:val="000000" w:themeColor="text1"/>
          <w:rtl/>
        </w:rPr>
        <w:t xml:space="preserve">פסק </w:t>
      </w:r>
      <w:r w:rsidR="009A01EA">
        <w:rPr>
          <w:rFonts w:cs="David" w:hint="cs"/>
          <w:color w:val="000000" w:themeColor="text1"/>
          <w:rtl/>
        </w:rPr>
        <w:t>ה</w:t>
      </w:r>
      <w:r w:rsidRPr="00231F7D">
        <w:rPr>
          <w:rFonts w:cs="David" w:hint="cs"/>
          <w:color w:val="000000" w:themeColor="text1"/>
          <w:rtl/>
        </w:rPr>
        <w:t xml:space="preserve">דין </w:t>
      </w:r>
      <w:proofErr w:type="spellStart"/>
      <w:r w:rsidRPr="00231F7D">
        <w:rPr>
          <w:rFonts w:cs="David" w:hint="cs"/>
          <w:color w:val="000000" w:themeColor="text1"/>
          <w:rtl/>
        </w:rPr>
        <w:t>בעמ"נ</w:t>
      </w:r>
      <w:proofErr w:type="spellEnd"/>
      <w:r w:rsidRPr="00231F7D">
        <w:rPr>
          <w:rFonts w:cs="David" w:hint="cs"/>
          <w:color w:val="000000" w:themeColor="text1"/>
          <w:rtl/>
        </w:rPr>
        <w:t xml:space="preserve"> 22956-03-17 הועדה המקומית </w:t>
      </w:r>
      <w:proofErr w:type="spellStart"/>
      <w:r w:rsidRPr="00231F7D">
        <w:rPr>
          <w:rFonts w:cs="David" w:hint="cs"/>
          <w:color w:val="000000" w:themeColor="text1"/>
          <w:rtl/>
        </w:rPr>
        <w:t>לתו"ב</w:t>
      </w:r>
      <w:proofErr w:type="spellEnd"/>
      <w:r w:rsidRPr="00231F7D">
        <w:rPr>
          <w:rFonts w:cs="David" w:hint="cs"/>
          <w:color w:val="000000" w:themeColor="text1"/>
          <w:rtl/>
        </w:rPr>
        <w:t xml:space="preserve"> ראש העין נ' נ. מעודה (שהינו חלוט) נקבע שהפטור אינו חל גם במימוש במכר. בהתאם נטען שההליך בעניין "מדמוני" דן בשאלה שונה והיא פטור למימוש במכר של מבנים קיימים בשכונות שיקום, והציג עמדה שונה מהאמור בפסק דין "מעודה". מכל מקום נטען שבענייננו מדובר בנסיבות שונות לחלוטין, ואין מקום להמתין להכרעת בית המשפט העליון בעניין, וכן נטען כי שבענייננו מדובר בעסקה למכירת זכויות קרקע, קרי זכויות להקמת יחידות דיור חדשות במבנים חדשים, ועל כן אין זכאות לפטור. </w:t>
      </w:r>
    </w:p>
    <w:p w:rsidR="005E4144" w:rsidRPr="00231F7D" w:rsidRDefault="005E4144" w:rsidP="005C5148">
      <w:pPr>
        <w:pStyle w:val="a9"/>
        <w:tabs>
          <w:tab w:val="left" w:pos="850"/>
          <w:tab w:val="left" w:pos="1244"/>
        </w:tabs>
        <w:spacing w:line="360" w:lineRule="auto"/>
        <w:ind w:left="357"/>
        <w:contextualSpacing w:val="0"/>
        <w:jc w:val="both"/>
        <w:rPr>
          <w:rFonts w:cs="David"/>
          <w:color w:val="000000" w:themeColor="text1"/>
          <w:rtl/>
        </w:rPr>
      </w:pPr>
      <w:r w:rsidRPr="00231F7D">
        <w:rPr>
          <w:rFonts w:cs="David"/>
          <w:color w:val="000000" w:themeColor="text1"/>
          <w:rtl/>
        </w:rPr>
        <w:t xml:space="preserve">לא זאת בלבד, נטען גם שאישור ההקלה לתוספת 90 יח"ד גם הן מהוות יחידות דיור חדשות שאינן זכאיות לפטור.  </w:t>
      </w:r>
    </w:p>
    <w:p w:rsidR="005E4144" w:rsidRPr="00231F7D" w:rsidRDefault="005E4144" w:rsidP="005C5148">
      <w:pPr>
        <w:pStyle w:val="a9"/>
        <w:numPr>
          <w:ilvl w:val="0"/>
          <w:numId w:val="1"/>
        </w:numPr>
        <w:tabs>
          <w:tab w:val="left" w:pos="567"/>
          <w:tab w:val="left" w:pos="850"/>
        </w:tabs>
        <w:spacing w:line="360" w:lineRule="auto"/>
        <w:ind w:left="357"/>
        <w:contextualSpacing w:val="0"/>
        <w:jc w:val="both"/>
        <w:rPr>
          <w:rFonts w:cs="David"/>
          <w:color w:val="000000" w:themeColor="text1"/>
        </w:rPr>
      </w:pPr>
      <w:r w:rsidRPr="00231F7D">
        <w:rPr>
          <w:rFonts w:cs="David" w:hint="cs"/>
          <w:color w:val="000000" w:themeColor="text1"/>
          <w:rtl/>
        </w:rPr>
        <w:t>כלומר,</w:t>
      </w:r>
      <w:r w:rsidRPr="00231F7D">
        <w:rPr>
          <w:rFonts w:cs="David"/>
          <w:color w:val="000000" w:themeColor="text1"/>
          <w:rtl/>
        </w:rPr>
        <w:t xml:space="preserve"> עמדת הוועדה המקומית בענייננו </w:t>
      </w:r>
      <w:r w:rsidRPr="00231F7D">
        <w:rPr>
          <w:rFonts w:cs="David" w:hint="cs"/>
          <w:color w:val="000000" w:themeColor="text1"/>
          <w:rtl/>
        </w:rPr>
        <w:t xml:space="preserve">היא כי </w:t>
      </w:r>
      <w:r w:rsidRPr="00231F7D">
        <w:rPr>
          <w:rFonts w:cs="David"/>
          <w:color w:val="000000" w:themeColor="text1"/>
          <w:rtl/>
        </w:rPr>
        <w:t>אין עסקינן במכירת בניינים קיימים כפי שהיה בענ</w:t>
      </w:r>
      <w:r w:rsidRPr="00231F7D">
        <w:rPr>
          <w:rFonts w:cs="David" w:hint="cs"/>
          <w:color w:val="000000" w:themeColor="text1"/>
          <w:rtl/>
        </w:rPr>
        <w:t>י</w:t>
      </w:r>
      <w:r w:rsidRPr="00231F7D">
        <w:rPr>
          <w:rFonts w:cs="David"/>
          <w:color w:val="000000" w:themeColor="text1"/>
          <w:rtl/>
        </w:rPr>
        <w:t xml:space="preserve">ין </w:t>
      </w:r>
      <w:r w:rsidRPr="00231F7D">
        <w:rPr>
          <w:rFonts w:cs="David" w:hint="cs"/>
          <w:color w:val="000000" w:themeColor="text1"/>
          <w:rtl/>
        </w:rPr>
        <w:t>"</w:t>
      </w:r>
      <w:r w:rsidRPr="00231F7D">
        <w:rPr>
          <w:rFonts w:cs="David"/>
          <w:color w:val="000000" w:themeColor="text1"/>
          <w:rtl/>
        </w:rPr>
        <w:t>מדמוני</w:t>
      </w:r>
      <w:r w:rsidRPr="00231F7D">
        <w:rPr>
          <w:rFonts w:cs="David" w:hint="cs"/>
          <w:color w:val="000000" w:themeColor="text1"/>
          <w:rtl/>
        </w:rPr>
        <w:t>"</w:t>
      </w:r>
      <w:r w:rsidRPr="00231F7D">
        <w:rPr>
          <w:rFonts w:cs="David"/>
          <w:color w:val="000000" w:themeColor="text1"/>
          <w:rtl/>
        </w:rPr>
        <w:t>, אלא</w:t>
      </w:r>
      <w:r w:rsidRPr="00231F7D">
        <w:rPr>
          <w:rFonts w:cs="David" w:hint="cs"/>
          <w:color w:val="000000" w:themeColor="text1"/>
          <w:rtl/>
        </w:rPr>
        <w:t>,</w:t>
      </w:r>
      <w:r w:rsidRPr="00231F7D">
        <w:rPr>
          <w:rFonts w:cs="David"/>
          <w:color w:val="000000" w:themeColor="text1"/>
          <w:rtl/>
        </w:rPr>
        <w:t xml:space="preserve"> במכירת זכויות להקים מב</w:t>
      </w:r>
      <w:r w:rsidRPr="00231F7D">
        <w:rPr>
          <w:rFonts w:cs="David" w:hint="cs"/>
          <w:color w:val="000000" w:themeColor="text1"/>
          <w:rtl/>
        </w:rPr>
        <w:t>נ</w:t>
      </w:r>
      <w:r w:rsidRPr="00231F7D">
        <w:rPr>
          <w:rFonts w:cs="David"/>
          <w:color w:val="000000" w:themeColor="text1"/>
          <w:rtl/>
        </w:rPr>
        <w:t>ים חדשים ויחידות דיור חדשות בהתאם לתכנית פינוי בינוי מאושרת, ועל כן חלה הקביעה בעני</w:t>
      </w:r>
      <w:r w:rsidRPr="00231F7D">
        <w:rPr>
          <w:rFonts w:cs="David" w:hint="cs"/>
          <w:color w:val="000000" w:themeColor="text1"/>
          <w:rtl/>
        </w:rPr>
        <w:t>י</w:t>
      </w:r>
      <w:r w:rsidRPr="00231F7D">
        <w:rPr>
          <w:rFonts w:cs="David"/>
          <w:color w:val="000000" w:themeColor="text1"/>
          <w:rtl/>
        </w:rPr>
        <w:t>ן "</w:t>
      </w:r>
      <w:proofErr w:type="spellStart"/>
      <w:r w:rsidRPr="00231F7D">
        <w:rPr>
          <w:rFonts w:cs="David"/>
          <w:color w:val="000000" w:themeColor="text1"/>
          <w:rtl/>
        </w:rPr>
        <w:t>עמאש</w:t>
      </w:r>
      <w:proofErr w:type="spellEnd"/>
      <w:r w:rsidRPr="00231F7D">
        <w:rPr>
          <w:rFonts w:cs="David"/>
          <w:color w:val="000000" w:themeColor="text1"/>
          <w:rtl/>
        </w:rPr>
        <w:t xml:space="preserve">", לפיה לא קיימת זכאות לפטור מכוח סעיף 19(ב)(1) במסגרת בניה חדשה. </w:t>
      </w:r>
    </w:p>
    <w:p w:rsidR="005E4144" w:rsidRPr="00231F7D" w:rsidRDefault="005E4144" w:rsidP="005C5148">
      <w:pPr>
        <w:pStyle w:val="a9"/>
        <w:numPr>
          <w:ilvl w:val="0"/>
          <w:numId w:val="1"/>
        </w:numPr>
        <w:tabs>
          <w:tab w:val="left" w:pos="567"/>
          <w:tab w:val="left" w:pos="850"/>
        </w:tabs>
        <w:spacing w:line="360" w:lineRule="auto"/>
        <w:ind w:left="357"/>
        <w:contextualSpacing w:val="0"/>
        <w:jc w:val="both"/>
        <w:rPr>
          <w:rFonts w:cs="David"/>
          <w:color w:val="000000" w:themeColor="text1"/>
        </w:rPr>
      </w:pPr>
      <w:r w:rsidRPr="00231F7D">
        <w:rPr>
          <w:rFonts w:ascii="David" w:hAnsi="David" w:cs="David" w:hint="cs"/>
          <w:color w:val="000000" w:themeColor="text1"/>
          <w:rtl/>
        </w:rPr>
        <w:t>כן מציינת הועדה המקומית את קביעת ועדת הערר זו בעניין לוי סופי (ערר 85234/1223) שהכירה בפטור לדירות הדיירים בפרויקט הריסה ובניה מחדש, אולם מדובר בערר בגינו הוגש ערעור לבית המשפט התלוי ועומד לעת זו.</w:t>
      </w:r>
    </w:p>
    <w:p w:rsidR="005E4144" w:rsidRPr="00231F7D" w:rsidRDefault="005E4144" w:rsidP="005C5148">
      <w:pPr>
        <w:pStyle w:val="a9"/>
        <w:numPr>
          <w:ilvl w:val="0"/>
          <w:numId w:val="1"/>
        </w:numPr>
        <w:tabs>
          <w:tab w:val="left" w:pos="425"/>
          <w:tab w:val="left" w:pos="850"/>
        </w:tabs>
        <w:spacing w:line="360" w:lineRule="auto"/>
        <w:ind w:left="357"/>
        <w:contextualSpacing w:val="0"/>
        <w:jc w:val="both"/>
        <w:rPr>
          <w:rFonts w:cs="David"/>
          <w:color w:val="000000" w:themeColor="text1"/>
        </w:rPr>
      </w:pPr>
      <w:r w:rsidRPr="00231F7D">
        <w:rPr>
          <w:rFonts w:ascii="David" w:hAnsi="David" w:cs="David" w:hint="cs"/>
          <w:color w:val="000000" w:themeColor="text1"/>
          <w:rtl/>
        </w:rPr>
        <w:t>בסופו של דבר לעמדת הועדה המקומית דחיית טענת החברה מחייבת למעשה גם שינוי החלטת השמאית המכריעה אשר קבעה בעצמה פטור חלקי לבניה רק עבור דירות התמורה, בניגוד להלכת "</w:t>
      </w:r>
      <w:proofErr w:type="spellStart"/>
      <w:r w:rsidRPr="00231F7D">
        <w:rPr>
          <w:rFonts w:ascii="David" w:hAnsi="David" w:cs="David" w:hint="cs"/>
          <w:color w:val="000000" w:themeColor="text1"/>
          <w:rtl/>
        </w:rPr>
        <w:t>עמאש</w:t>
      </w:r>
      <w:proofErr w:type="spellEnd"/>
      <w:r w:rsidRPr="00231F7D">
        <w:rPr>
          <w:rFonts w:ascii="David" w:hAnsi="David" w:cs="David" w:hint="cs"/>
          <w:color w:val="000000" w:themeColor="text1"/>
          <w:rtl/>
        </w:rPr>
        <w:t xml:space="preserve">" ו"דיסקין" שכן, אף אלו חלק מהבניה החדשה שאינה זכאית לפטור. לפיכך הקביעה בדבר היעדר פטור לבניה החדשה רלבנטית לכל הדירות החדשות הנבנות ללא קשר הקניינית </w:t>
      </w:r>
      <w:r w:rsidR="00944657" w:rsidRPr="00231F7D">
        <w:rPr>
          <w:rFonts w:ascii="David" w:hAnsi="David" w:cs="David" w:hint="eastAsia"/>
          <w:color w:val="000000" w:themeColor="text1"/>
          <w:rtl/>
        </w:rPr>
        <w:t>לגביהן</w:t>
      </w:r>
      <w:r w:rsidR="00944657" w:rsidRPr="00231F7D">
        <w:rPr>
          <w:rFonts w:ascii="David" w:hAnsi="David" w:cs="David"/>
          <w:color w:val="000000" w:themeColor="text1"/>
          <w:rtl/>
        </w:rPr>
        <w:t>,</w:t>
      </w:r>
      <w:r w:rsidRPr="00231F7D">
        <w:rPr>
          <w:rFonts w:ascii="David" w:hAnsi="David" w:cs="David" w:hint="cs"/>
          <w:color w:val="000000" w:themeColor="text1"/>
          <w:rtl/>
        </w:rPr>
        <w:t xml:space="preserve"> האם לבעלי הדירות בבניינים </w:t>
      </w:r>
      <w:r w:rsidR="00944657" w:rsidRPr="00231F7D">
        <w:rPr>
          <w:rFonts w:ascii="David" w:hAnsi="David" w:cs="David" w:hint="eastAsia"/>
          <w:color w:val="000000" w:themeColor="text1"/>
          <w:rtl/>
        </w:rPr>
        <w:t>הקיימים</w:t>
      </w:r>
      <w:r w:rsidR="00944657" w:rsidRPr="00231F7D">
        <w:rPr>
          <w:rFonts w:ascii="David" w:hAnsi="David" w:cs="David"/>
          <w:color w:val="000000" w:themeColor="text1"/>
          <w:rtl/>
        </w:rPr>
        <w:t xml:space="preserve"> או</w:t>
      </w:r>
      <w:r w:rsidRPr="00231F7D">
        <w:rPr>
          <w:rFonts w:ascii="David" w:hAnsi="David" w:cs="David" w:hint="cs"/>
          <w:color w:val="000000" w:themeColor="text1"/>
          <w:rtl/>
        </w:rPr>
        <w:t xml:space="preserve"> לרוכשי דירות מן השוק החופשי ועל כן ככל </w:t>
      </w:r>
      <w:r w:rsidR="00944657" w:rsidRPr="00231F7D">
        <w:rPr>
          <w:rFonts w:ascii="David" w:hAnsi="David" w:cs="David" w:hint="eastAsia"/>
          <w:color w:val="000000" w:themeColor="text1"/>
          <w:rtl/>
        </w:rPr>
        <w:t>שיקבע</w:t>
      </w:r>
      <w:r w:rsidR="00944657" w:rsidRPr="00231F7D">
        <w:rPr>
          <w:rFonts w:ascii="David" w:hAnsi="David" w:cs="David"/>
          <w:color w:val="000000" w:themeColor="text1"/>
          <w:rtl/>
        </w:rPr>
        <w:t>,</w:t>
      </w:r>
      <w:r w:rsidRPr="00231F7D">
        <w:rPr>
          <w:rFonts w:ascii="David" w:hAnsi="David" w:cs="David" w:hint="cs"/>
          <w:color w:val="000000" w:themeColor="text1"/>
          <w:rtl/>
        </w:rPr>
        <w:t xml:space="preserve"> אין בסיס למתן פטור חלקי לדירה התמורה. </w:t>
      </w:r>
    </w:p>
    <w:p w:rsidR="005E4144" w:rsidRPr="00231F7D" w:rsidRDefault="005E4144" w:rsidP="005E4144">
      <w:pPr>
        <w:tabs>
          <w:tab w:val="left" w:pos="425"/>
          <w:tab w:val="left" w:pos="850"/>
        </w:tabs>
        <w:spacing w:line="360" w:lineRule="auto"/>
        <w:jc w:val="both"/>
        <w:rPr>
          <w:rFonts w:cs="David"/>
          <w:color w:val="000000" w:themeColor="text1"/>
          <w:u w:val="single"/>
        </w:rPr>
      </w:pPr>
      <w:r w:rsidRPr="00231F7D">
        <w:rPr>
          <w:rFonts w:cs="David" w:hint="cs"/>
          <w:color w:val="000000" w:themeColor="text1"/>
          <w:u w:val="single"/>
          <w:rtl/>
        </w:rPr>
        <w:t xml:space="preserve">טיעוני החברה </w:t>
      </w:r>
    </w:p>
    <w:p w:rsidR="005E4144" w:rsidRPr="00231F7D" w:rsidRDefault="005E4144" w:rsidP="005C5148">
      <w:pPr>
        <w:pStyle w:val="a9"/>
        <w:numPr>
          <w:ilvl w:val="0"/>
          <w:numId w:val="1"/>
        </w:numPr>
        <w:tabs>
          <w:tab w:val="left" w:pos="425"/>
        </w:tabs>
        <w:spacing w:line="360" w:lineRule="auto"/>
        <w:ind w:left="357" w:hanging="357"/>
        <w:contextualSpacing w:val="0"/>
        <w:jc w:val="both"/>
        <w:rPr>
          <w:rFonts w:cs="David"/>
          <w:color w:val="000000" w:themeColor="text1"/>
        </w:rPr>
      </w:pPr>
      <w:r w:rsidRPr="00231F7D">
        <w:rPr>
          <w:rFonts w:ascii="David" w:hAnsi="David" w:cs="David" w:hint="cs"/>
          <w:color w:val="000000" w:themeColor="text1"/>
          <w:rtl/>
        </w:rPr>
        <w:t xml:space="preserve">לטענת החברה צדקה השמאית המכריעה עת החילה את הפטור על דירות הבעלים הקיימים ולשם כך </w:t>
      </w:r>
      <w:r w:rsidRPr="00231F7D">
        <w:rPr>
          <w:rFonts w:cs="David" w:hint="eastAsia"/>
          <w:color w:val="000000" w:themeColor="text1"/>
          <w:rtl/>
        </w:rPr>
        <w:t>במהלך</w:t>
      </w:r>
      <w:r w:rsidRPr="00231F7D">
        <w:rPr>
          <w:rFonts w:cs="David"/>
          <w:color w:val="000000" w:themeColor="text1"/>
          <w:rtl/>
        </w:rPr>
        <w:t xml:space="preserve"> </w:t>
      </w:r>
      <w:r w:rsidRPr="00231F7D">
        <w:rPr>
          <w:rFonts w:cs="David" w:hint="eastAsia"/>
          <w:color w:val="000000" w:themeColor="text1"/>
          <w:rtl/>
        </w:rPr>
        <w:t>הדיון</w:t>
      </w:r>
      <w:r w:rsidRPr="00231F7D">
        <w:rPr>
          <w:rFonts w:cs="David"/>
          <w:color w:val="000000" w:themeColor="text1"/>
          <w:rtl/>
        </w:rPr>
        <w:t xml:space="preserve"> </w:t>
      </w:r>
      <w:r w:rsidRPr="00231F7D">
        <w:rPr>
          <w:rFonts w:cs="David" w:hint="eastAsia"/>
          <w:color w:val="000000" w:themeColor="text1"/>
          <w:rtl/>
        </w:rPr>
        <w:t>ניתנה</w:t>
      </w:r>
      <w:r w:rsidRPr="00231F7D">
        <w:rPr>
          <w:rFonts w:cs="David"/>
          <w:color w:val="000000" w:themeColor="text1"/>
          <w:rtl/>
        </w:rPr>
        <w:t xml:space="preserve"> </w:t>
      </w:r>
      <w:r w:rsidRPr="00231F7D">
        <w:rPr>
          <w:rFonts w:cs="David" w:hint="eastAsia"/>
          <w:color w:val="000000" w:themeColor="text1"/>
          <w:rtl/>
        </w:rPr>
        <w:t>התייחסות</w:t>
      </w:r>
      <w:r w:rsidRPr="00231F7D">
        <w:rPr>
          <w:rFonts w:cs="David"/>
          <w:color w:val="000000" w:themeColor="text1"/>
          <w:rtl/>
        </w:rPr>
        <w:t xml:space="preserve"> </w:t>
      </w:r>
      <w:r w:rsidRPr="00231F7D">
        <w:rPr>
          <w:rFonts w:cs="David" w:hint="eastAsia"/>
          <w:color w:val="000000" w:themeColor="text1"/>
          <w:rtl/>
        </w:rPr>
        <w:t>לגופו</w:t>
      </w:r>
      <w:r w:rsidRPr="00231F7D">
        <w:rPr>
          <w:rFonts w:cs="David"/>
          <w:color w:val="000000" w:themeColor="text1"/>
          <w:rtl/>
        </w:rPr>
        <w:t xml:space="preserve"> </w:t>
      </w:r>
      <w:r w:rsidRPr="00231F7D">
        <w:rPr>
          <w:rFonts w:cs="David" w:hint="eastAsia"/>
          <w:color w:val="000000" w:themeColor="text1"/>
          <w:rtl/>
        </w:rPr>
        <w:t>של</w:t>
      </w:r>
      <w:r w:rsidRPr="00231F7D">
        <w:rPr>
          <w:rFonts w:cs="David"/>
          <w:color w:val="000000" w:themeColor="text1"/>
          <w:rtl/>
        </w:rPr>
        <w:t xml:space="preserve"> </w:t>
      </w:r>
      <w:r w:rsidRPr="00231F7D">
        <w:rPr>
          <w:rFonts w:cs="David" w:hint="eastAsia"/>
          <w:color w:val="000000" w:themeColor="text1"/>
          <w:rtl/>
        </w:rPr>
        <w:t>עניין</w:t>
      </w:r>
      <w:r w:rsidRPr="00231F7D">
        <w:rPr>
          <w:rFonts w:cs="David"/>
          <w:color w:val="000000" w:themeColor="text1"/>
          <w:rtl/>
        </w:rPr>
        <w:t xml:space="preserve"> (ר' עמ' 59-60 לפרוטוקול הדיון) ונטען </w:t>
      </w:r>
      <w:r w:rsidRPr="00231F7D">
        <w:rPr>
          <w:rFonts w:cs="David" w:hint="eastAsia"/>
          <w:color w:val="000000" w:themeColor="text1"/>
          <w:rtl/>
        </w:rPr>
        <w:t>כי</w:t>
      </w:r>
      <w:r w:rsidRPr="00231F7D">
        <w:rPr>
          <w:rFonts w:cs="David"/>
          <w:color w:val="000000" w:themeColor="text1"/>
          <w:rtl/>
        </w:rPr>
        <w:t xml:space="preserve"> הנושא נדון כבר בעניין "לוי סופי" </w:t>
      </w:r>
      <w:r w:rsidRPr="00231F7D">
        <w:rPr>
          <w:rFonts w:cs="David" w:hint="cs"/>
          <w:color w:val="000000" w:themeColor="text1"/>
          <w:rtl/>
        </w:rPr>
        <w:t xml:space="preserve">שם </w:t>
      </w:r>
      <w:r w:rsidRPr="00231F7D">
        <w:rPr>
          <w:rFonts w:cs="David" w:hint="eastAsia"/>
          <w:color w:val="000000" w:themeColor="text1"/>
          <w:rtl/>
        </w:rPr>
        <w:t>נקבע</w:t>
      </w:r>
      <w:r w:rsidRPr="00231F7D">
        <w:rPr>
          <w:rFonts w:cs="David"/>
          <w:color w:val="000000" w:themeColor="text1"/>
          <w:rtl/>
        </w:rPr>
        <w:t xml:space="preserve"> </w:t>
      </w:r>
      <w:r w:rsidRPr="00231F7D">
        <w:rPr>
          <w:rFonts w:cs="David" w:hint="eastAsia"/>
          <w:color w:val="000000" w:themeColor="text1"/>
          <w:rtl/>
        </w:rPr>
        <w:t>שיש</w:t>
      </w:r>
      <w:r w:rsidRPr="00231F7D">
        <w:rPr>
          <w:rFonts w:cs="David"/>
          <w:color w:val="000000" w:themeColor="text1"/>
          <w:rtl/>
        </w:rPr>
        <w:t xml:space="preserve"> </w:t>
      </w:r>
      <w:r w:rsidRPr="00231F7D">
        <w:rPr>
          <w:rFonts w:cs="David" w:hint="eastAsia"/>
          <w:color w:val="000000" w:themeColor="text1"/>
          <w:rtl/>
        </w:rPr>
        <w:t>ליתן</w:t>
      </w:r>
      <w:r w:rsidRPr="00231F7D">
        <w:rPr>
          <w:rFonts w:cs="David"/>
          <w:color w:val="000000" w:themeColor="text1"/>
          <w:rtl/>
        </w:rPr>
        <w:t xml:space="preserve"> </w:t>
      </w:r>
      <w:r w:rsidRPr="00231F7D">
        <w:rPr>
          <w:rFonts w:cs="David" w:hint="eastAsia"/>
          <w:color w:val="000000" w:themeColor="text1"/>
          <w:rtl/>
        </w:rPr>
        <w:t>את</w:t>
      </w:r>
      <w:r w:rsidRPr="00231F7D">
        <w:rPr>
          <w:rFonts w:cs="David"/>
          <w:color w:val="000000" w:themeColor="text1"/>
          <w:rtl/>
        </w:rPr>
        <w:t xml:space="preserve"> </w:t>
      </w:r>
      <w:r w:rsidRPr="00231F7D">
        <w:rPr>
          <w:rFonts w:cs="David" w:hint="eastAsia"/>
          <w:color w:val="000000" w:themeColor="text1"/>
          <w:rtl/>
        </w:rPr>
        <w:t>הפטור</w:t>
      </w:r>
      <w:r w:rsidRPr="00231F7D">
        <w:rPr>
          <w:rFonts w:cs="David"/>
          <w:color w:val="000000" w:themeColor="text1"/>
          <w:rtl/>
        </w:rPr>
        <w:t xml:space="preserve"> </w:t>
      </w:r>
      <w:r w:rsidRPr="00231F7D">
        <w:rPr>
          <w:rFonts w:cs="David" w:hint="eastAsia"/>
          <w:color w:val="000000" w:themeColor="text1"/>
          <w:rtl/>
        </w:rPr>
        <w:t>לדירות</w:t>
      </w:r>
      <w:r w:rsidRPr="00231F7D">
        <w:rPr>
          <w:rFonts w:cs="David"/>
          <w:color w:val="000000" w:themeColor="text1"/>
          <w:rtl/>
        </w:rPr>
        <w:t xml:space="preserve"> </w:t>
      </w:r>
      <w:r w:rsidRPr="00231F7D">
        <w:rPr>
          <w:rFonts w:cs="David" w:hint="eastAsia"/>
          <w:color w:val="000000" w:themeColor="text1"/>
          <w:rtl/>
        </w:rPr>
        <w:t>הקיימות</w:t>
      </w:r>
      <w:r w:rsidRPr="00231F7D">
        <w:rPr>
          <w:rFonts w:cs="David"/>
          <w:color w:val="000000" w:themeColor="text1"/>
          <w:rtl/>
        </w:rPr>
        <w:t xml:space="preserve">, </w:t>
      </w:r>
      <w:r w:rsidRPr="00231F7D">
        <w:rPr>
          <w:rFonts w:cs="David" w:hint="eastAsia"/>
          <w:color w:val="000000" w:themeColor="text1"/>
          <w:rtl/>
        </w:rPr>
        <w:t>להבדיל</w:t>
      </w:r>
      <w:r w:rsidRPr="00231F7D">
        <w:rPr>
          <w:rFonts w:cs="David"/>
          <w:color w:val="000000" w:themeColor="text1"/>
          <w:rtl/>
        </w:rPr>
        <w:t xml:space="preserve"> </w:t>
      </w:r>
      <w:r w:rsidRPr="00231F7D">
        <w:rPr>
          <w:rFonts w:cs="David" w:hint="eastAsia"/>
          <w:color w:val="000000" w:themeColor="text1"/>
          <w:rtl/>
        </w:rPr>
        <w:t>מהדירות</w:t>
      </w:r>
      <w:r w:rsidRPr="00231F7D">
        <w:rPr>
          <w:rFonts w:cs="David"/>
          <w:color w:val="000000" w:themeColor="text1"/>
          <w:rtl/>
        </w:rPr>
        <w:t xml:space="preserve"> החדשות שמתווספות.  </w:t>
      </w:r>
    </w:p>
    <w:p w:rsidR="005E4144" w:rsidRPr="00231F7D" w:rsidRDefault="005E4144" w:rsidP="005C5148">
      <w:pPr>
        <w:pStyle w:val="a9"/>
        <w:numPr>
          <w:ilvl w:val="0"/>
          <w:numId w:val="1"/>
        </w:numPr>
        <w:tabs>
          <w:tab w:val="left" w:pos="425"/>
        </w:tabs>
        <w:spacing w:line="360" w:lineRule="auto"/>
        <w:ind w:left="357" w:hanging="357"/>
        <w:contextualSpacing w:val="0"/>
        <w:jc w:val="both"/>
        <w:rPr>
          <w:rFonts w:ascii="David" w:hAnsi="David" w:cs="David"/>
          <w:color w:val="000000" w:themeColor="text1"/>
        </w:rPr>
      </w:pPr>
      <w:r w:rsidRPr="00231F7D">
        <w:rPr>
          <w:rFonts w:ascii="David" w:hAnsi="David" w:cs="David" w:hint="cs"/>
          <w:color w:val="000000" w:themeColor="text1"/>
          <w:rtl/>
        </w:rPr>
        <w:t xml:space="preserve">אלא שטעותה של השמאית המכריעה </w:t>
      </w:r>
      <w:r w:rsidR="005C5148">
        <w:rPr>
          <w:rFonts w:ascii="David" w:hAnsi="David" w:cs="David" w:hint="cs"/>
          <w:color w:val="000000" w:themeColor="text1"/>
          <w:rtl/>
        </w:rPr>
        <w:t xml:space="preserve">הוא בהחלת פטור </w:t>
      </w:r>
      <w:r w:rsidR="00944657">
        <w:rPr>
          <w:rFonts w:ascii="David" w:hAnsi="David" w:cs="David" w:hint="eastAsia"/>
          <w:color w:val="000000" w:themeColor="text1"/>
          <w:rtl/>
        </w:rPr>
        <w:t>חלקי</w:t>
      </w:r>
      <w:r w:rsidR="00944657">
        <w:rPr>
          <w:rFonts w:ascii="David" w:hAnsi="David" w:cs="David"/>
          <w:color w:val="000000" w:themeColor="text1"/>
          <w:rtl/>
        </w:rPr>
        <w:t>,</w:t>
      </w:r>
      <w:r w:rsidR="005C5148">
        <w:rPr>
          <w:rFonts w:ascii="David" w:hAnsi="David" w:cs="David" w:hint="cs"/>
          <w:color w:val="000000" w:themeColor="text1"/>
          <w:rtl/>
        </w:rPr>
        <w:t xml:space="preserve"> כלומר לטענת החברה </w:t>
      </w:r>
      <w:r w:rsidRPr="00231F7D">
        <w:rPr>
          <w:rFonts w:ascii="David" w:hAnsi="David" w:cs="David" w:hint="cs"/>
          <w:color w:val="000000" w:themeColor="text1"/>
          <w:rtl/>
        </w:rPr>
        <w:t>היה על השמאית המכריעה לקבוע כי הפטור בגין שיקום שכונות חל על הבניה החדשה כולה ולא רק על דירות התמורה.</w:t>
      </w:r>
    </w:p>
    <w:p w:rsidR="00783D4F" w:rsidRDefault="00783D4F" w:rsidP="00783D4F">
      <w:pPr>
        <w:spacing w:after="0" w:line="240" w:lineRule="auto"/>
        <w:rPr>
          <w:rFonts w:ascii="David" w:eastAsia="Times New Roman" w:hAnsi="David" w:cs="David"/>
          <w:b/>
          <w:bCs/>
          <w:color w:val="000000" w:themeColor="text1"/>
          <w:kern w:val="0"/>
          <w:u w:val="single"/>
          <w:rtl/>
          <w:lang w:eastAsia="he-IL"/>
          <w14:ligatures w14:val="none"/>
        </w:rPr>
      </w:pPr>
    </w:p>
    <w:p w:rsidR="005E4144" w:rsidRPr="00231F7D" w:rsidRDefault="005E4144" w:rsidP="00783D4F">
      <w:pPr>
        <w:spacing w:after="0" w:line="240" w:lineRule="auto"/>
        <w:rPr>
          <w:rFonts w:ascii="David" w:eastAsia="Times New Roman" w:hAnsi="David" w:cs="David"/>
          <w:b/>
          <w:bCs/>
          <w:color w:val="000000" w:themeColor="text1"/>
          <w:kern w:val="0"/>
          <w:u w:val="single"/>
          <w:rtl/>
          <w:lang w:eastAsia="he-IL"/>
          <w14:ligatures w14:val="none"/>
        </w:rPr>
      </w:pPr>
      <w:r w:rsidRPr="00231F7D">
        <w:rPr>
          <w:rFonts w:ascii="David" w:eastAsia="Times New Roman" w:hAnsi="David" w:cs="David" w:hint="cs"/>
          <w:b/>
          <w:bCs/>
          <w:color w:val="000000" w:themeColor="text1"/>
          <w:kern w:val="0"/>
          <w:u w:val="single"/>
          <w:rtl/>
          <w:lang w:eastAsia="he-IL"/>
          <w14:ligatures w14:val="none"/>
        </w:rPr>
        <w:t>דיון והכרעה</w:t>
      </w:r>
    </w:p>
    <w:p w:rsidR="005E4144" w:rsidRPr="00231F7D" w:rsidRDefault="005E4144" w:rsidP="005E4144">
      <w:pPr>
        <w:spacing w:after="0" w:line="240" w:lineRule="auto"/>
        <w:rPr>
          <w:rFonts w:ascii="David" w:eastAsia="Times New Roman" w:hAnsi="David" w:cs="David"/>
          <w:b/>
          <w:bCs/>
          <w:color w:val="000000" w:themeColor="text1"/>
          <w:kern w:val="0"/>
          <w:u w:val="single"/>
          <w:rtl/>
          <w:lang w:eastAsia="he-IL"/>
          <w14:ligatures w14:val="none"/>
        </w:rPr>
      </w:pPr>
    </w:p>
    <w:p w:rsidR="005E4144" w:rsidRPr="00231F7D" w:rsidRDefault="005E4144" w:rsidP="005E4144">
      <w:pPr>
        <w:pStyle w:val="a9"/>
        <w:numPr>
          <w:ilvl w:val="0"/>
          <w:numId w:val="1"/>
        </w:numPr>
        <w:tabs>
          <w:tab w:val="left" w:pos="425"/>
          <w:tab w:val="left" w:pos="850"/>
        </w:tabs>
        <w:spacing w:line="360" w:lineRule="auto"/>
        <w:contextualSpacing w:val="0"/>
        <w:jc w:val="both"/>
        <w:rPr>
          <w:rFonts w:ascii="David" w:hAnsi="David" w:cs="David"/>
          <w:color w:val="000000" w:themeColor="text1"/>
        </w:rPr>
      </w:pPr>
      <w:r w:rsidRPr="00231F7D">
        <w:rPr>
          <w:rFonts w:ascii="David" w:hAnsi="David" w:cs="David" w:hint="cs"/>
          <w:color w:val="000000" w:themeColor="text1"/>
          <w:rtl/>
        </w:rPr>
        <w:t xml:space="preserve">נקדים את המאוחר ונציין כי הננו סבורים שצדקה השמאית המכריעה עת החילה פטור שיקום שכונות רק בגין דירות התמורה ולא בגין כל הבניה החדשה. משכך דין טענות שני הצדדים בעניין פטור שיקום שכונות להידחות. </w:t>
      </w:r>
    </w:p>
    <w:p w:rsidR="005E4144" w:rsidRPr="00231F7D" w:rsidRDefault="005E4144" w:rsidP="005C5148">
      <w:pPr>
        <w:pStyle w:val="a9"/>
        <w:numPr>
          <w:ilvl w:val="0"/>
          <w:numId w:val="1"/>
        </w:numPr>
        <w:tabs>
          <w:tab w:val="left" w:pos="425"/>
          <w:tab w:val="left" w:pos="850"/>
        </w:tabs>
        <w:spacing w:line="360" w:lineRule="auto"/>
        <w:ind w:right="-142"/>
        <w:contextualSpacing w:val="0"/>
        <w:jc w:val="both"/>
        <w:rPr>
          <w:rFonts w:ascii="David" w:hAnsi="David" w:cs="David"/>
          <w:color w:val="000000" w:themeColor="text1"/>
        </w:rPr>
      </w:pPr>
      <w:r w:rsidRPr="00231F7D">
        <w:rPr>
          <w:rFonts w:ascii="David" w:hAnsi="David" w:cs="David" w:hint="cs"/>
          <w:color w:val="000000" w:themeColor="text1"/>
          <w:rtl/>
        </w:rPr>
        <w:t>רק לאחרונה נתנה על ידינו החלטה בהרכב אחר בראשות הח"מ בעניין ב</w:t>
      </w:r>
      <w:r w:rsidRPr="00231F7D">
        <w:rPr>
          <w:rFonts w:ascii="David" w:hAnsi="David" w:cs="David"/>
          <w:color w:val="000000" w:themeColor="text1"/>
          <w:rtl/>
        </w:rPr>
        <w:t>ערר (ת"א) 85233-12-23</w:t>
      </w:r>
      <w:r w:rsidRPr="00231F7D">
        <w:rPr>
          <w:rFonts w:ascii="David" w:hAnsi="David" w:cs="David"/>
          <w:color w:val="000000" w:themeColor="text1"/>
          <w:rtl/>
        </w:rPr>
        <w:tab/>
      </w:r>
      <w:r w:rsidRPr="00231F7D">
        <w:rPr>
          <w:rFonts w:ascii="David" w:hAnsi="David" w:cs="David"/>
          <w:b/>
          <w:bCs/>
          <w:color w:val="000000" w:themeColor="text1"/>
          <w:u w:val="single"/>
          <w:rtl/>
        </w:rPr>
        <w:t xml:space="preserve">לוי </w:t>
      </w:r>
      <w:r w:rsidRPr="00231F7D">
        <w:rPr>
          <w:rFonts w:ascii="David" w:hAnsi="David" w:cs="David" w:hint="cs"/>
          <w:b/>
          <w:bCs/>
          <w:color w:val="000000" w:themeColor="text1"/>
          <w:u w:val="single"/>
          <w:rtl/>
        </w:rPr>
        <w:t>ס</w:t>
      </w:r>
      <w:r w:rsidRPr="00231F7D">
        <w:rPr>
          <w:rFonts w:ascii="David" w:hAnsi="David" w:cs="David"/>
          <w:b/>
          <w:bCs/>
          <w:color w:val="000000" w:themeColor="text1"/>
          <w:u w:val="single"/>
          <w:rtl/>
        </w:rPr>
        <w:t>ופי נ' הוועדה המקומית לתכנון ובניה תל-אביב יפו</w:t>
      </w:r>
      <w:r w:rsidRPr="00231F7D">
        <w:rPr>
          <w:rFonts w:ascii="David" w:hAnsi="David" w:cs="David" w:hint="cs"/>
          <w:color w:val="000000" w:themeColor="text1"/>
          <w:rtl/>
        </w:rPr>
        <w:t xml:space="preserve"> (נבו 23.1.25) (להלן </w:t>
      </w:r>
      <w:r w:rsidRPr="00231F7D">
        <w:rPr>
          <w:rFonts w:ascii="David" w:hAnsi="David" w:cs="David"/>
          <w:color w:val="000000" w:themeColor="text1"/>
          <w:rtl/>
        </w:rPr>
        <w:t>–</w:t>
      </w:r>
      <w:r w:rsidRPr="00231F7D">
        <w:rPr>
          <w:rFonts w:ascii="David" w:hAnsi="David" w:cs="David" w:hint="cs"/>
          <w:color w:val="000000" w:themeColor="text1"/>
          <w:rtl/>
        </w:rPr>
        <w:t xml:space="preserve"> "</w:t>
      </w:r>
      <w:r w:rsidRPr="00231F7D">
        <w:rPr>
          <w:rFonts w:ascii="David" w:hAnsi="David" w:cs="David" w:hint="cs"/>
          <w:b/>
          <w:bCs/>
          <w:color w:val="000000" w:themeColor="text1"/>
          <w:rtl/>
        </w:rPr>
        <w:t>לוי סופי</w:t>
      </w:r>
      <w:r w:rsidRPr="00231F7D">
        <w:rPr>
          <w:rFonts w:ascii="David" w:hAnsi="David" w:cs="David" w:hint="cs"/>
          <w:color w:val="000000" w:themeColor="text1"/>
          <w:rtl/>
        </w:rPr>
        <w:t>") בגינו תלוי ועומד ערעור בפני בית המשפט לעניינים מנהליים תל אביב</w:t>
      </w:r>
      <w:r w:rsidRPr="00231F7D">
        <w:rPr>
          <w:rStyle w:val="af9"/>
          <w:rFonts w:ascii="David" w:hAnsi="David" w:cs="David"/>
          <w:b/>
          <w:bCs/>
          <w:color w:val="000000" w:themeColor="text1"/>
          <w:rtl/>
        </w:rPr>
        <w:footnoteReference w:id="1"/>
      </w:r>
      <w:r w:rsidRPr="00231F7D">
        <w:rPr>
          <w:rFonts w:ascii="David" w:hAnsi="David" w:cs="David" w:hint="cs"/>
          <w:color w:val="000000" w:themeColor="text1"/>
          <w:rtl/>
        </w:rPr>
        <w:t>,</w:t>
      </w:r>
      <w:r w:rsidRPr="00231F7D">
        <w:rPr>
          <w:rFonts w:ascii="David" w:hAnsi="David" w:cs="David" w:hint="cs"/>
          <w:b/>
          <w:bCs/>
          <w:color w:val="000000" w:themeColor="text1"/>
          <w:rtl/>
        </w:rPr>
        <w:t xml:space="preserve"> </w:t>
      </w:r>
      <w:r w:rsidRPr="00231F7D">
        <w:rPr>
          <w:rFonts w:ascii="David" w:hAnsi="David" w:cs="David" w:hint="cs"/>
          <w:color w:val="000000" w:themeColor="text1"/>
          <w:rtl/>
        </w:rPr>
        <w:t>שד</w:t>
      </w:r>
      <w:r w:rsidR="005C5148">
        <w:rPr>
          <w:rFonts w:ascii="David" w:hAnsi="David" w:cs="David" w:hint="cs"/>
          <w:color w:val="000000" w:themeColor="text1"/>
          <w:rtl/>
        </w:rPr>
        <w:t>ן בין היתר</w:t>
      </w:r>
      <w:r w:rsidRPr="00231F7D">
        <w:rPr>
          <w:rFonts w:ascii="David" w:hAnsi="David" w:cs="David" w:hint="cs"/>
          <w:color w:val="000000" w:themeColor="text1"/>
          <w:rtl/>
        </w:rPr>
        <w:t xml:space="preserve"> בשאלת תחולת פטור שיקום שכונות במקרה של הריסה ובניה מחדש</w:t>
      </w:r>
      <w:r w:rsidR="005C5148">
        <w:rPr>
          <w:rFonts w:ascii="David" w:hAnsi="David" w:cs="David" w:hint="cs"/>
          <w:color w:val="000000" w:themeColor="text1"/>
          <w:rtl/>
        </w:rPr>
        <w:t>,</w:t>
      </w:r>
      <w:r w:rsidRPr="00231F7D">
        <w:rPr>
          <w:rFonts w:ascii="David" w:hAnsi="David" w:cs="David" w:hint="cs"/>
          <w:color w:val="000000" w:themeColor="text1"/>
          <w:rtl/>
        </w:rPr>
        <w:t xml:space="preserve"> ומאחר וטיעוני הצדדים שם דומים במהותם לטיעונים העולים בעניינינו, ועל כן בהתאמה הקביעות שם רלוונטיות ביותר לעניינינו ואין לנו אלא להפנות לקביעותנו שם כהאי לישנא: </w:t>
      </w:r>
    </w:p>
    <w:p w:rsidR="005E4144" w:rsidRPr="00231F7D" w:rsidRDefault="005E4144" w:rsidP="005C5148">
      <w:pPr>
        <w:pStyle w:val="a9"/>
        <w:tabs>
          <w:tab w:val="left" w:pos="425"/>
          <w:tab w:val="left" w:pos="850"/>
        </w:tabs>
        <w:spacing w:line="360" w:lineRule="auto"/>
        <w:ind w:left="360"/>
        <w:contextualSpacing w:val="0"/>
        <w:jc w:val="both"/>
        <w:rPr>
          <w:rFonts w:ascii="David" w:hAnsi="David" w:cs="David"/>
          <w:color w:val="000000" w:themeColor="text1"/>
        </w:rPr>
      </w:pPr>
      <w:r w:rsidRPr="00231F7D">
        <w:rPr>
          <w:rFonts w:ascii="David" w:hAnsi="David" w:cs="David" w:hint="cs"/>
          <w:color w:val="000000" w:themeColor="text1"/>
          <w:rtl/>
        </w:rPr>
        <w:t>"</w:t>
      </w:r>
      <w:r w:rsidRPr="00231F7D">
        <w:rPr>
          <w:rFonts w:ascii="David" w:eastAsia="Calibri" w:hAnsi="David" w:cs="David" w:hint="cs"/>
          <w:i/>
          <w:iCs/>
          <w:color w:val="000000" w:themeColor="text1"/>
          <w:kern w:val="0"/>
          <w:rtl/>
          <w14:ligatures w14:val="none"/>
        </w:rPr>
        <w:t>בעניינינו ערב הוצאת היתר הבניה היו קיימות במקרקעין 24 יח"ד (להלן "</w:t>
      </w:r>
      <w:r w:rsidRPr="00231F7D">
        <w:rPr>
          <w:rFonts w:ascii="David" w:eastAsia="Calibri" w:hAnsi="David" w:cs="David" w:hint="cs"/>
          <w:b/>
          <w:bCs/>
          <w:i/>
          <w:iCs/>
          <w:color w:val="000000" w:themeColor="text1"/>
          <w:kern w:val="0"/>
          <w:rtl/>
          <w14:ligatures w14:val="none"/>
        </w:rPr>
        <w:t xml:space="preserve">הדירות </w:t>
      </w:r>
      <w:r w:rsidRPr="00231F7D">
        <w:rPr>
          <w:rFonts w:ascii="David" w:eastAsia="Calibri" w:hAnsi="David" w:cs="David"/>
          <w:b/>
          <w:bCs/>
          <w:i/>
          <w:iCs/>
          <w:color w:val="000000" w:themeColor="text1"/>
          <w:kern w:val="0"/>
          <w:rtl/>
          <w14:ligatures w14:val="none"/>
        </w:rPr>
        <w:tab/>
      </w:r>
      <w:r w:rsidRPr="00231F7D">
        <w:rPr>
          <w:rFonts w:ascii="David" w:eastAsia="Calibri" w:hAnsi="David" w:cs="David"/>
          <w:b/>
          <w:bCs/>
          <w:i/>
          <w:iCs/>
          <w:color w:val="000000" w:themeColor="text1"/>
          <w:kern w:val="0"/>
          <w:rtl/>
          <w14:ligatures w14:val="none"/>
        </w:rPr>
        <w:tab/>
      </w:r>
      <w:r w:rsidRPr="00231F7D">
        <w:rPr>
          <w:rFonts w:ascii="David" w:eastAsia="Calibri" w:hAnsi="David" w:cs="David"/>
          <w:b/>
          <w:bCs/>
          <w:i/>
          <w:iCs/>
          <w:color w:val="000000" w:themeColor="text1"/>
          <w:kern w:val="0"/>
          <w:rtl/>
          <w14:ligatures w14:val="none"/>
        </w:rPr>
        <w:tab/>
      </w:r>
      <w:r w:rsidRPr="00231F7D">
        <w:rPr>
          <w:rFonts w:ascii="David" w:eastAsia="Calibri" w:hAnsi="David" w:cs="David" w:hint="cs"/>
          <w:b/>
          <w:bCs/>
          <w:i/>
          <w:iCs/>
          <w:color w:val="000000" w:themeColor="text1"/>
          <w:kern w:val="0"/>
          <w:rtl/>
          <w14:ligatures w14:val="none"/>
        </w:rPr>
        <w:t>הקיימות</w:t>
      </w:r>
      <w:r w:rsidRPr="00231F7D">
        <w:rPr>
          <w:rFonts w:ascii="David" w:eastAsia="Calibri" w:hAnsi="David" w:cs="David" w:hint="cs"/>
          <w:i/>
          <w:iCs/>
          <w:color w:val="000000" w:themeColor="text1"/>
          <w:kern w:val="0"/>
          <w:rtl/>
          <w14:ligatures w14:val="none"/>
        </w:rPr>
        <w:t xml:space="preserve">") שנהרסו ונבנו מחדש, בסך </w:t>
      </w:r>
      <w:proofErr w:type="spellStart"/>
      <w:r w:rsidRPr="00231F7D">
        <w:rPr>
          <w:rFonts w:ascii="David" w:eastAsia="Calibri" w:hAnsi="David" w:cs="David" w:hint="cs"/>
          <w:i/>
          <w:iCs/>
          <w:color w:val="000000" w:themeColor="text1"/>
          <w:kern w:val="0"/>
          <w:rtl/>
          <w14:ligatures w14:val="none"/>
        </w:rPr>
        <w:t>הכל</w:t>
      </w:r>
      <w:proofErr w:type="spellEnd"/>
      <w:r w:rsidRPr="00231F7D">
        <w:rPr>
          <w:rFonts w:ascii="David" w:eastAsia="Calibri" w:hAnsi="David" w:cs="David" w:hint="cs"/>
          <w:i/>
          <w:iCs/>
          <w:color w:val="000000" w:themeColor="text1"/>
          <w:kern w:val="0"/>
          <w:rtl/>
          <w14:ligatures w14:val="none"/>
        </w:rPr>
        <w:t xml:space="preserve"> 66 יח"ד. </w:t>
      </w:r>
    </w:p>
    <w:p w:rsidR="005E4144" w:rsidRPr="00231F7D" w:rsidRDefault="005E4144" w:rsidP="00073883">
      <w:pPr>
        <w:numPr>
          <w:ilvl w:val="0"/>
          <w:numId w:val="8"/>
        </w:numPr>
        <w:tabs>
          <w:tab w:val="left" w:pos="850"/>
          <w:tab w:val="left" w:pos="992"/>
        </w:tabs>
        <w:spacing w:before="120" w:after="120" w:line="360" w:lineRule="auto"/>
        <w:ind w:left="567" w:right="1560" w:firstLine="0"/>
        <w:jc w:val="both"/>
        <w:rPr>
          <w:rFonts w:ascii="David" w:eastAsia="Calibri" w:hAnsi="David" w:cs="David"/>
          <w:i/>
          <w:iCs/>
          <w:color w:val="000000" w:themeColor="text1"/>
          <w:kern w:val="0"/>
          <w14:ligatures w14:val="none"/>
        </w:rPr>
      </w:pPr>
      <w:r w:rsidRPr="00231F7D">
        <w:rPr>
          <w:rFonts w:ascii="David" w:eastAsia="Calibri" w:hAnsi="David" w:cs="David" w:hint="cs"/>
          <w:i/>
          <w:iCs/>
          <w:color w:val="000000" w:themeColor="text1"/>
          <w:kern w:val="0"/>
          <w:rtl/>
          <w14:ligatures w14:val="none"/>
        </w:rPr>
        <w:t xml:space="preserve">כפי שיובהר לקמן השמאי המכריע קבע פטור אך ורק לגבי 24 יח"ד הן הדירות הקיימות ואילו לגבי יתרת הדירות (42 יח"ד) לא החיל את הפטור. ר' </w:t>
      </w:r>
      <w:proofErr w:type="spellStart"/>
      <w:r w:rsidRPr="00231F7D">
        <w:rPr>
          <w:rFonts w:ascii="David" w:eastAsia="Calibri" w:hAnsi="David" w:cs="David" w:hint="cs"/>
          <w:i/>
          <w:iCs/>
          <w:color w:val="000000" w:themeColor="text1"/>
          <w:kern w:val="0"/>
          <w:rtl/>
          <w14:ligatures w14:val="none"/>
        </w:rPr>
        <w:t>סיפת</w:t>
      </w:r>
      <w:proofErr w:type="spellEnd"/>
      <w:r w:rsidRPr="00231F7D">
        <w:rPr>
          <w:rFonts w:ascii="David" w:eastAsia="Calibri" w:hAnsi="David" w:cs="David" w:hint="cs"/>
          <w:i/>
          <w:iCs/>
          <w:color w:val="000000" w:themeColor="text1"/>
          <w:kern w:val="0"/>
          <w:rtl/>
          <w14:ligatures w14:val="none"/>
        </w:rPr>
        <w:t xml:space="preserve"> עמוד 35 לשומה המכרעת שם נקבע כדלקמן:</w:t>
      </w:r>
    </w:p>
    <w:p w:rsidR="005E4144" w:rsidRPr="00231F7D" w:rsidRDefault="005E4144" w:rsidP="005E4144">
      <w:pPr>
        <w:tabs>
          <w:tab w:val="left" w:pos="850"/>
        </w:tabs>
        <w:spacing w:before="120" w:after="120" w:line="360" w:lineRule="auto"/>
        <w:ind w:left="567" w:right="1560"/>
        <w:jc w:val="both"/>
        <w:rPr>
          <w:rFonts w:ascii="David" w:eastAsia="Calibri" w:hAnsi="David" w:cs="David"/>
          <w:i/>
          <w:iCs/>
          <w:color w:val="000000" w:themeColor="text1"/>
          <w:kern w:val="0"/>
          <w14:ligatures w14:val="none"/>
        </w:rPr>
      </w:pPr>
      <w:r w:rsidRPr="00231F7D">
        <w:rPr>
          <w:rFonts w:ascii="David" w:eastAsia="Calibri" w:hAnsi="David" w:cs="David" w:hint="cs"/>
          <w:i/>
          <w:iCs/>
          <w:color w:val="000000" w:themeColor="text1"/>
          <w:kern w:val="0"/>
          <w:rtl/>
          <w14:ligatures w14:val="none"/>
        </w:rPr>
        <w:t>"אני סבור כי השטח שהוקנה בתכנית שבנדון בניכוי השטח המשמש בפועל לבניה והרחבה של דירות הדיירים הינו שטח שלגביו לא חל הפטור בגין שיקום שכונות"</w:t>
      </w:r>
    </w:p>
    <w:p w:rsidR="005E4144" w:rsidRPr="00231F7D" w:rsidRDefault="005E4144" w:rsidP="005E4144">
      <w:pPr>
        <w:tabs>
          <w:tab w:val="left" w:pos="850"/>
        </w:tabs>
        <w:spacing w:before="120" w:after="120" w:line="360" w:lineRule="auto"/>
        <w:ind w:left="567" w:right="1560"/>
        <w:jc w:val="both"/>
        <w:rPr>
          <w:rFonts w:ascii="David" w:eastAsia="Calibri" w:hAnsi="David" w:cs="David"/>
          <w:i/>
          <w:iCs/>
          <w:color w:val="000000" w:themeColor="text1"/>
          <w:kern w:val="0"/>
          <w14:ligatures w14:val="none"/>
        </w:rPr>
      </w:pPr>
      <w:r w:rsidRPr="00231F7D">
        <w:rPr>
          <w:rFonts w:ascii="David" w:eastAsia="Calibri" w:hAnsi="David" w:cs="David" w:hint="cs"/>
          <w:i/>
          <w:iCs/>
          <w:color w:val="000000" w:themeColor="text1"/>
          <w:kern w:val="0"/>
          <w:rtl/>
          <w14:ligatures w14:val="none"/>
        </w:rPr>
        <w:t xml:space="preserve">כמו כן בעמוד 36 לשומה המכרעת אנו למדים כי אכן השמאי המכריע החיל פטור שכונות שיקום </w:t>
      </w:r>
      <w:r w:rsidRPr="00231F7D">
        <w:rPr>
          <w:rFonts w:ascii="David" w:eastAsia="Calibri" w:hAnsi="David" w:cs="David" w:hint="cs"/>
          <w:b/>
          <w:bCs/>
          <w:i/>
          <w:iCs/>
          <w:color w:val="000000" w:themeColor="text1"/>
          <w:kern w:val="0"/>
          <w:u w:val="single"/>
          <w:rtl/>
          <w14:ligatures w14:val="none"/>
        </w:rPr>
        <w:t xml:space="preserve">אך ורק ביחס לשטח הדירות הקיימות (השייכות לדיירים הוותיקים) </w:t>
      </w:r>
      <w:r w:rsidRPr="00231F7D">
        <w:rPr>
          <w:rFonts w:ascii="David" w:eastAsia="Calibri" w:hAnsi="David" w:cs="David" w:hint="cs"/>
          <w:i/>
          <w:iCs/>
          <w:color w:val="000000" w:themeColor="text1"/>
          <w:kern w:val="0"/>
          <w:rtl/>
          <w14:ligatures w14:val="none"/>
        </w:rPr>
        <w:t xml:space="preserve">זאת להבדיל מהדירות החדשות שהתווספו בפרויקט. </w:t>
      </w:r>
    </w:p>
    <w:p w:rsidR="005E4144" w:rsidRPr="00231F7D" w:rsidRDefault="005E4144" w:rsidP="005E4144">
      <w:pPr>
        <w:tabs>
          <w:tab w:val="left" w:pos="850"/>
        </w:tabs>
        <w:spacing w:before="120" w:after="120" w:line="360" w:lineRule="auto"/>
        <w:ind w:left="567" w:right="1560"/>
        <w:jc w:val="both"/>
        <w:rPr>
          <w:rFonts w:ascii="David" w:eastAsia="Calibri" w:hAnsi="David" w:cs="David"/>
          <w:i/>
          <w:iCs/>
          <w:color w:val="000000" w:themeColor="text1"/>
          <w:kern w:val="0"/>
          <w:rtl/>
          <w14:ligatures w14:val="none"/>
        </w:rPr>
      </w:pPr>
      <w:r w:rsidRPr="00231F7D">
        <w:rPr>
          <w:rFonts w:ascii="David" w:eastAsia="Calibri" w:hAnsi="David" w:cs="David" w:hint="cs"/>
          <w:i/>
          <w:iCs/>
          <w:color w:val="000000" w:themeColor="text1"/>
          <w:kern w:val="0"/>
          <w:rtl/>
          <w14:ligatures w14:val="none"/>
        </w:rPr>
        <w:t>כך צוין בין היתר בתחשיב ההכרעה שבעמוד 36 לשומה המכרעת:</w:t>
      </w:r>
    </w:p>
    <w:p w:rsidR="005E4144" w:rsidRPr="00231F7D" w:rsidRDefault="005E4144" w:rsidP="005E4144">
      <w:pPr>
        <w:tabs>
          <w:tab w:val="left" w:pos="850"/>
        </w:tabs>
        <w:spacing w:before="120" w:after="120" w:line="360" w:lineRule="auto"/>
        <w:ind w:left="567" w:right="1560"/>
        <w:jc w:val="both"/>
        <w:rPr>
          <w:rFonts w:ascii="David" w:eastAsia="Calibri" w:hAnsi="David" w:cs="David"/>
          <w:i/>
          <w:iCs/>
          <w:color w:val="000000" w:themeColor="text1"/>
          <w:kern w:val="0"/>
          <w:rtl/>
          <w14:ligatures w14:val="none"/>
        </w:rPr>
      </w:pPr>
      <w:r w:rsidRPr="00231F7D">
        <w:rPr>
          <w:rFonts w:ascii="David" w:eastAsia="Calibri" w:hAnsi="David" w:cs="David" w:hint="cs"/>
          <w:i/>
          <w:iCs/>
          <w:color w:val="000000" w:themeColor="text1"/>
          <w:kern w:val="0"/>
          <w:rtl/>
          <w14:ligatures w14:val="none"/>
        </w:rPr>
        <w:t>שטח עיקרי מבוקש בגין הדירות הקיימות 1,712 מ"ר.</w:t>
      </w:r>
    </w:p>
    <w:p w:rsidR="005E4144" w:rsidRPr="00231F7D" w:rsidRDefault="005E4144" w:rsidP="005E4144">
      <w:pPr>
        <w:tabs>
          <w:tab w:val="left" w:pos="850"/>
        </w:tabs>
        <w:spacing w:before="120" w:after="120" w:line="360" w:lineRule="auto"/>
        <w:ind w:left="567" w:right="1560"/>
        <w:jc w:val="both"/>
        <w:rPr>
          <w:rFonts w:ascii="David" w:eastAsia="Calibri" w:hAnsi="David" w:cs="David"/>
          <w:i/>
          <w:iCs/>
          <w:color w:val="000000" w:themeColor="text1"/>
          <w:kern w:val="0"/>
          <w:rtl/>
          <w14:ligatures w14:val="none"/>
        </w:rPr>
      </w:pPr>
      <w:r w:rsidRPr="00231F7D">
        <w:rPr>
          <w:rFonts w:ascii="David" w:eastAsia="Calibri" w:hAnsi="David" w:cs="David" w:hint="cs"/>
          <w:i/>
          <w:iCs/>
          <w:color w:val="000000" w:themeColor="text1"/>
          <w:kern w:val="0"/>
          <w:rtl/>
          <w14:ligatures w14:val="none"/>
        </w:rPr>
        <w:t>שטח עיקרי לפי התכנית (כולל 4 יח"ד חדשות) 2,640 מ"ר</w:t>
      </w:r>
    </w:p>
    <w:p w:rsidR="005E4144" w:rsidRPr="00231F7D" w:rsidRDefault="005E4144" w:rsidP="005E4144">
      <w:pPr>
        <w:tabs>
          <w:tab w:val="left" w:pos="850"/>
        </w:tabs>
        <w:spacing w:before="120" w:after="120" w:line="360" w:lineRule="auto"/>
        <w:ind w:left="567" w:right="1560"/>
        <w:jc w:val="both"/>
        <w:rPr>
          <w:rFonts w:ascii="David" w:eastAsia="Calibri" w:hAnsi="David" w:cs="David"/>
          <w:i/>
          <w:iCs/>
          <w:color w:val="000000" w:themeColor="text1"/>
          <w:kern w:val="0"/>
          <w:rtl/>
          <w14:ligatures w14:val="none"/>
        </w:rPr>
      </w:pPr>
      <w:r w:rsidRPr="00231F7D">
        <w:rPr>
          <w:rFonts w:ascii="David" w:eastAsia="Calibri" w:hAnsi="David" w:cs="David" w:hint="cs"/>
          <w:i/>
          <w:iCs/>
          <w:color w:val="000000" w:themeColor="text1"/>
          <w:kern w:val="0"/>
          <w:rtl/>
          <w14:ligatures w14:val="none"/>
        </w:rPr>
        <w:t xml:space="preserve">סה"כ השטח לחיוב </w:t>
      </w:r>
      <w:r w:rsidRPr="00231F7D">
        <w:rPr>
          <w:rFonts w:ascii="David" w:eastAsia="Calibri" w:hAnsi="David" w:cs="David" w:hint="cs"/>
          <w:i/>
          <w:iCs/>
          <w:color w:val="000000" w:themeColor="text1"/>
          <w:kern w:val="0"/>
          <w:u w:val="single"/>
          <w:rtl/>
          <w14:ligatures w14:val="none"/>
        </w:rPr>
        <w:t>שאינו</w:t>
      </w:r>
      <w:r w:rsidRPr="00231F7D">
        <w:rPr>
          <w:rFonts w:ascii="David" w:eastAsia="Calibri" w:hAnsi="David" w:cs="David" w:hint="cs"/>
          <w:i/>
          <w:iCs/>
          <w:color w:val="000000" w:themeColor="text1"/>
          <w:kern w:val="0"/>
          <w:rtl/>
          <w14:ligatures w14:val="none"/>
        </w:rPr>
        <w:t xml:space="preserve"> במסגרת הפטור לשיקום שכונות 928 מ"ר </w:t>
      </w:r>
      <w:r w:rsidRPr="00231F7D">
        <w:rPr>
          <w:rFonts w:ascii="David" w:eastAsia="Calibri" w:hAnsi="David" w:cs="David"/>
          <w:i/>
          <w:iCs/>
          <w:color w:val="000000" w:themeColor="text1"/>
          <w:kern w:val="0"/>
          <w:vertAlign w:val="superscript"/>
          <w:rtl/>
          <w14:ligatures w14:val="none"/>
        </w:rPr>
        <w:footnoteReference w:id="2"/>
      </w:r>
    </w:p>
    <w:p w:rsidR="005E4144" w:rsidRPr="00231F7D" w:rsidRDefault="005E4144" w:rsidP="00073883">
      <w:pPr>
        <w:numPr>
          <w:ilvl w:val="0"/>
          <w:numId w:val="8"/>
        </w:numPr>
        <w:tabs>
          <w:tab w:val="left" w:pos="850"/>
          <w:tab w:val="left" w:pos="992"/>
        </w:tabs>
        <w:spacing w:before="120" w:after="120" w:line="360" w:lineRule="auto"/>
        <w:ind w:left="567" w:right="1560" w:firstLine="0"/>
        <w:jc w:val="both"/>
        <w:rPr>
          <w:rFonts w:ascii="David" w:eastAsia="Calibri" w:hAnsi="David" w:cs="David"/>
          <w:i/>
          <w:iCs/>
          <w:color w:val="000000" w:themeColor="text1"/>
          <w:kern w:val="0"/>
          <w14:ligatures w14:val="none"/>
        </w:rPr>
      </w:pPr>
      <w:r w:rsidRPr="00231F7D">
        <w:rPr>
          <w:rFonts w:ascii="David" w:eastAsia="Calibri" w:hAnsi="David" w:cs="David" w:hint="cs"/>
          <w:i/>
          <w:iCs/>
          <w:color w:val="000000" w:themeColor="text1"/>
          <w:kern w:val="0"/>
          <w:rtl/>
          <w14:ligatures w14:val="none"/>
        </w:rPr>
        <w:t xml:space="preserve">פועל יוצא אפוא, כי הפטור בעניין שכונת שיקום הוחל רק לגבי </w:t>
      </w:r>
      <w:r w:rsidRPr="00231F7D">
        <w:rPr>
          <w:rFonts w:ascii="David" w:eastAsia="Calibri" w:hAnsi="David" w:cs="David" w:hint="cs"/>
          <w:b/>
          <w:bCs/>
          <w:i/>
          <w:iCs/>
          <w:color w:val="000000" w:themeColor="text1"/>
          <w:kern w:val="0"/>
          <w:rtl/>
          <w14:ligatures w14:val="none"/>
        </w:rPr>
        <w:t>הדירות הקיימות</w:t>
      </w:r>
      <w:r w:rsidRPr="00231F7D">
        <w:rPr>
          <w:rFonts w:ascii="David" w:eastAsia="Calibri" w:hAnsi="David" w:cs="David" w:hint="cs"/>
          <w:i/>
          <w:iCs/>
          <w:color w:val="000000" w:themeColor="text1"/>
          <w:kern w:val="0"/>
          <w:rtl/>
          <w14:ligatures w14:val="none"/>
        </w:rPr>
        <w:t xml:space="preserve"> להבדיל מהדירות החדשות שהתווספו במסגרת פרויקט הריסה ובניה מחדש. </w:t>
      </w:r>
    </w:p>
    <w:p w:rsidR="005E4144" w:rsidRPr="00231F7D" w:rsidRDefault="005E4144" w:rsidP="00073883">
      <w:pPr>
        <w:numPr>
          <w:ilvl w:val="0"/>
          <w:numId w:val="8"/>
        </w:numPr>
        <w:tabs>
          <w:tab w:val="left" w:pos="850"/>
          <w:tab w:val="left" w:pos="992"/>
        </w:tabs>
        <w:spacing w:before="120" w:after="120" w:line="360" w:lineRule="auto"/>
        <w:ind w:left="567" w:right="1560" w:firstLine="0"/>
        <w:jc w:val="both"/>
        <w:rPr>
          <w:rFonts w:ascii="David" w:eastAsia="Calibri" w:hAnsi="David" w:cs="David"/>
          <w:i/>
          <w:iCs/>
          <w:color w:val="000000" w:themeColor="text1"/>
          <w:kern w:val="0"/>
          <w14:ligatures w14:val="none"/>
        </w:rPr>
      </w:pPr>
      <w:r w:rsidRPr="00231F7D">
        <w:rPr>
          <w:rFonts w:ascii="David" w:eastAsia="Calibri" w:hAnsi="David" w:cs="David" w:hint="cs"/>
          <w:i/>
          <w:iCs/>
          <w:color w:val="000000" w:themeColor="text1"/>
          <w:kern w:val="0"/>
          <w:rtl/>
          <w14:ligatures w14:val="none"/>
        </w:rPr>
        <w:t>ייאמר כבר עתה, כי סבורים אנו שצדק השמאי המכריע כאשר קבע שבמקרה הנדון שיש להחיל את הפטור ביחס לדירות הקיימות בלבד (להבדיל מהדירות החדשות שיתווספו לגביהן אין להחיל הפטור), וכי אין בהכרעתו לעמוד בניגוד להלכות שנקבעו בבית המשפט העליון. וביתר פירוט:</w:t>
      </w:r>
    </w:p>
    <w:p w:rsidR="005E4144" w:rsidRPr="00231F7D" w:rsidRDefault="008C536B" w:rsidP="00073883">
      <w:pPr>
        <w:numPr>
          <w:ilvl w:val="0"/>
          <w:numId w:val="8"/>
        </w:numPr>
        <w:tabs>
          <w:tab w:val="left" w:pos="850"/>
          <w:tab w:val="left" w:pos="992"/>
        </w:tabs>
        <w:spacing w:before="120" w:after="120" w:line="360" w:lineRule="auto"/>
        <w:ind w:left="567" w:right="1560" w:firstLine="0"/>
        <w:contextualSpacing/>
        <w:jc w:val="both"/>
        <w:rPr>
          <w:rFonts w:ascii="David" w:eastAsia="Calibri" w:hAnsi="David" w:cs="David"/>
          <w:i/>
          <w:iCs/>
          <w:color w:val="000000" w:themeColor="text1"/>
          <w:kern w:val="0"/>
          <w14:ligatures w14:val="none"/>
        </w:rPr>
      </w:pPr>
      <w:hyperlink r:id="rId10" w:history="1">
        <w:r w:rsidR="005E4144" w:rsidRPr="00231F7D">
          <w:rPr>
            <w:rFonts w:ascii="David" w:eastAsia="Calibri" w:hAnsi="David" w:cs="David" w:hint="eastAsia"/>
            <w:i/>
            <w:iCs/>
            <w:color w:val="000000" w:themeColor="text1"/>
            <w:kern w:val="0"/>
            <w:u w:val="single"/>
            <w:rtl/>
            <w14:ligatures w14:val="none"/>
          </w:rPr>
          <w:t>סעיף</w:t>
        </w:r>
        <w:r w:rsidR="005E4144" w:rsidRPr="00231F7D">
          <w:rPr>
            <w:rFonts w:ascii="David" w:eastAsia="Calibri" w:hAnsi="David" w:cs="David"/>
            <w:i/>
            <w:iCs/>
            <w:color w:val="000000" w:themeColor="text1"/>
            <w:kern w:val="0"/>
            <w:u w:val="single"/>
            <w:rtl/>
            <w14:ligatures w14:val="none"/>
          </w:rPr>
          <w:t xml:space="preserve"> 19 (ב) (1)</w:t>
        </w:r>
      </w:hyperlink>
      <w:r w:rsidR="005E4144" w:rsidRPr="00231F7D">
        <w:rPr>
          <w:rFonts w:ascii="David" w:eastAsia="Calibri" w:hAnsi="David" w:cs="David" w:hint="cs"/>
          <w:i/>
          <w:iCs/>
          <w:color w:val="000000" w:themeColor="text1"/>
          <w:kern w:val="0"/>
          <w:rtl/>
          <w14:ligatures w14:val="none"/>
        </w:rPr>
        <w:t xml:space="preserve"> לתוספת השלישית לחוק קובע:</w:t>
      </w:r>
    </w:p>
    <w:p w:rsidR="005E4144" w:rsidRPr="00231F7D" w:rsidRDefault="005E4144" w:rsidP="005E4144">
      <w:pPr>
        <w:tabs>
          <w:tab w:val="left" w:pos="850"/>
        </w:tabs>
        <w:spacing w:before="120" w:after="120" w:line="360" w:lineRule="auto"/>
        <w:ind w:left="567" w:right="1560"/>
        <w:contextualSpacing/>
        <w:jc w:val="both"/>
        <w:rPr>
          <w:rFonts w:ascii="David" w:eastAsia="Calibri" w:hAnsi="David" w:cs="David"/>
          <w:b/>
          <w:bCs/>
          <w:i/>
          <w:iCs/>
          <w:color w:val="000000" w:themeColor="text1"/>
          <w:kern w:val="0"/>
          <w:rtl/>
          <w14:ligatures w14:val="none"/>
        </w:rPr>
      </w:pPr>
      <w:r w:rsidRPr="00231F7D">
        <w:rPr>
          <w:rFonts w:ascii="David" w:eastAsia="Calibri" w:hAnsi="David" w:cs="David" w:hint="cs"/>
          <w:b/>
          <w:bCs/>
          <w:i/>
          <w:iCs/>
          <w:color w:val="000000" w:themeColor="text1"/>
          <w:kern w:val="0"/>
          <w:rtl/>
          <w14:ligatures w14:val="none"/>
        </w:rPr>
        <w:t>"</w:t>
      </w:r>
      <w:r w:rsidRPr="00231F7D">
        <w:rPr>
          <w:rFonts w:ascii="David" w:eastAsia="Calibri" w:hAnsi="David" w:cs="David"/>
          <w:b/>
          <w:bCs/>
          <w:i/>
          <w:iCs/>
          <w:color w:val="000000" w:themeColor="text1"/>
          <w:kern w:val="0"/>
          <w:rtl/>
          <w14:ligatures w14:val="none"/>
        </w:rPr>
        <w:t>לא תחול חובת תשלום היטל בשל השבחה שהיא אחת מאלה:</w:t>
      </w:r>
      <w:r w:rsidRPr="00231F7D">
        <w:rPr>
          <w:rFonts w:ascii="David" w:eastAsia="Calibri" w:hAnsi="David" w:cs="David"/>
          <w:b/>
          <w:bCs/>
          <w:i/>
          <w:iCs/>
          <w:color w:val="000000" w:themeColor="text1"/>
          <w:kern w:val="0"/>
          <w:rtl/>
          <w14:ligatures w14:val="none"/>
        </w:rPr>
        <w:tab/>
      </w:r>
      <w:r w:rsidRPr="00231F7D">
        <w:rPr>
          <w:rFonts w:ascii="David" w:eastAsia="Calibri" w:hAnsi="David" w:cs="David"/>
          <w:b/>
          <w:bCs/>
          <w:i/>
          <w:iCs/>
          <w:color w:val="000000" w:themeColor="text1"/>
          <w:kern w:val="0"/>
          <w:rtl/>
          <w14:ligatures w14:val="none"/>
        </w:rPr>
        <w:tab/>
      </w:r>
      <w:r w:rsidRPr="00231F7D">
        <w:rPr>
          <w:rFonts w:ascii="David" w:eastAsia="Calibri" w:hAnsi="David" w:cs="David"/>
          <w:b/>
          <w:bCs/>
          <w:i/>
          <w:iCs/>
          <w:color w:val="000000" w:themeColor="text1"/>
          <w:kern w:val="0"/>
          <w:rtl/>
          <w14:ligatures w14:val="none"/>
        </w:rPr>
        <w:tab/>
      </w:r>
    </w:p>
    <w:p w:rsidR="005E4144" w:rsidRPr="00231F7D" w:rsidRDefault="005E4144" w:rsidP="00073883">
      <w:pPr>
        <w:numPr>
          <w:ilvl w:val="0"/>
          <w:numId w:val="9"/>
        </w:numPr>
        <w:tabs>
          <w:tab w:val="left" w:pos="850"/>
        </w:tabs>
        <w:spacing w:before="120" w:after="120" w:line="360" w:lineRule="auto"/>
        <w:ind w:left="567" w:right="1560" w:firstLine="0"/>
        <w:contextualSpacing/>
        <w:jc w:val="both"/>
        <w:rPr>
          <w:rFonts w:ascii="David" w:eastAsia="Calibri" w:hAnsi="David" w:cs="David"/>
          <w:b/>
          <w:bCs/>
          <w:i/>
          <w:iCs/>
          <w:color w:val="000000" w:themeColor="text1"/>
          <w:kern w:val="0"/>
          <w14:ligatures w14:val="none"/>
        </w:rPr>
      </w:pPr>
      <w:r w:rsidRPr="00231F7D">
        <w:rPr>
          <w:rFonts w:ascii="David" w:eastAsia="Calibri" w:hAnsi="David" w:cs="David"/>
          <w:b/>
          <w:bCs/>
          <w:i/>
          <w:iCs/>
          <w:color w:val="000000" w:themeColor="text1"/>
          <w:kern w:val="0"/>
          <w:rtl/>
          <w14:ligatures w14:val="none"/>
        </w:rPr>
        <w:t>השבחה במקרקעין למגורים המצויים בישוב או בחלק ממנו שהממשלה הכריזה עליו כעל שכונת שיקום, כל עוד ההכרזה בתוקף</w:t>
      </w:r>
      <w:r w:rsidRPr="00231F7D">
        <w:rPr>
          <w:rFonts w:ascii="David" w:eastAsia="Calibri" w:hAnsi="David" w:cs="David" w:hint="cs"/>
          <w:b/>
          <w:bCs/>
          <w:i/>
          <w:iCs/>
          <w:color w:val="000000" w:themeColor="text1"/>
          <w:kern w:val="0"/>
          <w:rtl/>
          <w14:ligatures w14:val="none"/>
        </w:rPr>
        <w:t>"</w:t>
      </w:r>
      <w:r w:rsidRPr="00231F7D">
        <w:rPr>
          <w:rFonts w:ascii="David" w:eastAsia="Calibri" w:hAnsi="David" w:cs="David"/>
          <w:b/>
          <w:bCs/>
          <w:i/>
          <w:iCs/>
          <w:color w:val="000000" w:themeColor="text1"/>
          <w:kern w:val="0"/>
          <w:rtl/>
          <w14:ligatures w14:val="none"/>
        </w:rPr>
        <w:t>;</w:t>
      </w:r>
    </w:p>
    <w:p w:rsidR="005E4144" w:rsidRPr="00231F7D" w:rsidRDefault="005E4144" w:rsidP="005E4144">
      <w:pPr>
        <w:tabs>
          <w:tab w:val="left" w:pos="850"/>
        </w:tabs>
        <w:spacing w:before="120" w:after="120" w:line="360" w:lineRule="auto"/>
        <w:ind w:left="567" w:right="1560"/>
        <w:contextualSpacing/>
        <w:jc w:val="both"/>
        <w:rPr>
          <w:rFonts w:ascii="David" w:eastAsia="Calibri" w:hAnsi="David" w:cs="David"/>
          <w:b/>
          <w:bCs/>
          <w:i/>
          <w:iCs/>
          <w:color w:val="000000" w:themeColor="text1"/>
          <w:kern w:val="0"/>
          <w14:ligatures w14:val="none"/>
        </w:rPr>
      </w:pPr>
    </w:p>
    <w:p w:rsidR="005E4144" w:rsidRPr="00231F7D" w:rsidRDefault="005E4144" w:rsidP="00073883">
      <w:pPr>
        <w:numPr>
          <w:ilvl w:val="0"/>
          <w:numId w:val="8"/>
        </w:numPr>
        <w:tabs>
          <w:tab w:val="left" w:pos="850"/>
          <w:tab w:val="left" w:pos="992"/>
        </w:tabs>
        <w:spacing w:before="120" w:after="120" w:line="360" w:lineRule="auto"/>
        <w:ind w:left="567" w:right="1560" w:firstLine="0"/>
        <w:jc w:val="both"/>
        <w:rPr>
          <w:rFonts w:ascii="David" w:eastAsia="Calibri" w:hAnsi="David" w:cs="David"/>
          <w:i/>
          <w:iCs/>
          <w:color w:val="000000" w:themeColor="text1"/>
          <w:kern w:val="0"/>
          <w14:ligatures w14:val="none"/>
        </w:rPr>
      </w:pPr>
      <w:r w:rsidRPr="00231F7D">
        <w:rPr>
          <w:rFonts w:ascii="David" w:eastAsia="Calibri" w:hAnsi="David" w:cs="David" w:hint="cs"/>
          <w:i/>
          <w:iCs/>
          <w:color w:val="000000" w:themeColor="text1"/>
          <w:kern w:val="0"/>
          <w:rtl/>
          <w14:ligatures w14:val="none"/>
        </w:rPr>
        <w:t xml:space="preserve">פסק הדין </w:t>
      </w:r>
      <w:r w:rsidRPr="00231F7D">
        <w:rPr>
          <w:rFonts w:ascii="David" w:eastAsia="Calibri" w:hAnsi="David" w:cs="David" w:hint="cs"/>
          <w:b/>
          <w:bCs/>
          <w:i/>
          <w:iCs/>
          <w:color w:val="000000" w:themeColor="text1"/>
          <w:kern w:val="0"/>
          <w:rtl/>
          <w14:ligatures w14:val="none"/>
        </w:rPr>
        <w:t>בעניין</w:t>
      </w:r>
      <w:r w:rsidRPr="00231F7D">
        <w:rPr>
          <w:rFonts w:ascii="David" w:eastAsia="Calibri" w:hAnsi="David" w:cs="David" w:hint="cs"/>
          <w:i/>
          <w:iCs/>
          <w:color w:val="000000" w:themeColor="text1"/>
          <w:kern w:val="0"/>
          <w:rtl/>
          <w14:ligatures w14:val="none"/>
        </w:rPr>
        <w:t xml:space="preserve"> "</w:t>
      </w:r>
      <w:proofErr w:type="spellStart"/>
      <w:r w:rsidRPr="00231F7D">
        <w:rPr>
          <w:rFonts w:ascii="David" w:eastAsia="Calibri" w:hAnsi="David" w:cs="David" w:hint="cs"/>
          <w:b/>
          <w:bCs/>
          <w:i/>
          <w:iCs/>
          <w:color w:val="000000" w:themeColor="text1"/>
          <w:kern w:val="0"/>
          <w:rtl/>
          <w14:ligatures w14:val="none"/>
        </w:rPr>
        <w:t>עמאש</w:t>
      </w:r>
      <w:proofErr w:type="spellEnd"/>
      <w:r w:rsidRPr="00231F7D">
        <w:rPr>
          <w:rFonts w:ascii="David" w:eastAsia="Calibri" w:hAnsi="David" w:cs="David" w:hint="cs"/>
          <w:b/>
          <w:bCs/>
          <w:i/>
          <w:iCs/>
          <w:color w:val="000000" w:themeColor="text1"/>
          <w:kern w:val="0"/>
          <w:rtl/>
          <w14:ligatures w14:val="none"/>
        </w:rPr>
        <w:t>"</w:t>
      </w:r>
      <w:r w:rsidRPr="00231F7D">
        <w:rPr>
          <w:rFonts w:ascii="David" w:eastAsia="Calibri" w:hAnsi="David" w:cs="David" w:hint="cs"/>
          <w:i/>
          <w:iCs/>
          <w:color w:val="000000" w:themeColor="text1"/>
          <w:kern w:val="0"/>
          <w:rtl/>
          <w14:ligatures w14:val="none"/>
        </w:rPr>
        <w:t xml:space="preserve"> שניתן על ידי בית המשפט העליון עליו מבססת הוועדה המקומית את טענתה, דן בשאלת היקף תחולת הפטור לגבי קרקע שבמצב הקודם הייתה קרקע </w:t>
      </w:r>
      <w:r w:rsidRPr="00231F7D">
        <w:rPr>
          <w:rFonts w:ascii="David" w:eastAsia="Calibri" w:hAnsi="David" w:cs="David" w:hint="cs"/>
          <w:i/>
          <w:iCs/>
          <w:color w:val="000000" w:themeColor="text1"/>
          <w:kern w:val="0"/>
          <w:u w:val="single"/>
          <w:rtl/>
          <w14:ligatures w14:val="none"/>
        </w:rPr>
        <w:t>ריקה</w:t>
      </w:r>
      <w:r w:rsidRPr="00231F7D">
        <w:rPr>
          <w:rFonts w:ascii="David" w:eastAsia="Calibri" w:hAnsi="David" w:cs="David" w:hint="cs"/>
          <w:i/>
          <w:iCs/>
          <w:color w:val="000000" w:themeColor="text1"/>
          <w:kern w:val="0"/>
          <w:rtl/>
          <w14:ligatures w14:val="none"/>
        </w:rPr>
        <w:t xml:space="preserve"> הממוקמת בשכונת שיקום, (קרי, שלא היו בה דירות שנזקקו לשיקום) ונקבע שם כי בנסיבות של מימוש הזכויות בדרך של היתר בניה, הוראת הפטור לא תחול במקרה של בנייה חדשה, אלא אך ורק במקרים של </w:t>
      </w:r>
      <w:r w:rsidRPr="00231F7D">
        <w:rPr>
          <w:rFonts w:ascii="David" w:eastAsia="Calibri" w:hAnsi="David" w:cs="David" w:hint="cs"/>
          <w:i/>
          <w:iCs/>
          <w:color w:val="000000" w:themeColor="text1"/>
          <w:kern w:val="0"/>
          <w:u w:val="single"/>
          <w:rtl/>
          <w14:ligatures w14:val="none"/>
        </w:rPr>
        <w:t>הרחבת</w:t>
      </w:r>
      <w:r w:rsidRPr="00231F7D">
        <w:rPr>
          <w:rFonts w:ascii="David" w:eastAsia="Calibri" w:hAnsi="David" w:cs="David" w:hint="cs"/>
          <w:i/>
          <w:iCs/>
          <w:color w:val="000000" w:themeColor="text1"/>
          <w:kern w:val="0"/>
          <w:rtl/>
          <w14:ligatures w14:val="none"/>
        </w:rPr>
        <w:t xml:space="preserve"> מבנה מגורים קיים.</w:t>
      </w:r>
    </w:p>
    <w:p w:rsidR="005E4144" w:rsidRPr="00231F7D" w:rsidRDefault="005E4144" w:rsidP="00073883">
      <w:pPr>
        <w:numPr>
          <w:ilvl w:val="0"/>
          <w:numId w:val="8"/>
        </w:numPr>
        <w:tabs>
          <w:tab w:val="left" w:pos="850"/>
          <w:tab w:val="left" w:pos="992"/>
        </w:tabs>
        <w:spacing w:before="120" w:after="120" w:line="360" w:lineRule="auto"/>
        <w:ind w:left="567" w:right="1560" w:firstLine="0"/>
        <w:jc w:val="both"/>
        <w:rPr>
          <w:rFonts w:ascii="David" w:eastAsia="Calibri" w:hAnsi="David" w:cs="David"/>
          <w:i/>
          <w:iCs/>
          <w:color w:val="000000" w:themeColor="text1"/>
          <w:kern w:val="0"/>
          <w14:ligatures w14:val="none"/>
        </w:rPr>
      </w:pPr>
      <w:r w:rsidRPr="00231F7D">
        <w:rPr>
          <w:rFonts w:ascii="David" w:eastAsia="Calibri" w:hAnsi="David" w:cs="David" w:hint="cs"/>
          <w:b/>
          <w:bCs/>
          <w:i/>
          <w:iCs/>
          <w:color w:val="000000" w:themeColor="text1"/>
          <w:kern w:val="0"/>
          <w:rtl/>
          <w14:ligatures w14:val="none"/>
        </w:rPr>
        <w:t>דא עקא,</w:t>
      </w:r>
      <w:r w:rsidRPr="00231F7D">
        <w:rPr>
          <w:rFonts w:ascii="David" w:eastAsia="Calibri" w:hAnsi="David" w:cs="David" w:hint="cs"/>
          <w:i/>
          <w:iCs/>
          <w:color w:val="000000" w:themeColor="text1"/>
          <w:kern w:val="0"/>
          <w:rtl/>
          <w14:ligatures w14:val="none"/>
        </w:rPr>
        <w:t xml:space="preserve"> כי בעניינינו אין עסקינן במגרש ריק, אלא מדובר בהריסת דירות קיימות ובנייתן מחדש כאשר השמאי המכריע החיל את הפטור רק על אותן הדירות שהיו קיימות ערב הריסת המבנה (להבדיל מהדירות החדשות שהתווספו לאחר בנייתו). </w:t>
      </w:r>
    </w:p>
    <w:p w:rsidR="005E4144" w:rsidRPr="00231F7D" w:rsidRDefault="005E4144" w:rsidP="005E4144">
      <w:pPr>
        <w:tabs>
          <w:tab w:val="left" w:pos="567"/>
          <w:tab w:val="left" w:pos="709"/>
          <w:tab w:val="left" w:pos="850"/>
          <w:tab w:val="left" w:pos="1417"/>
        </w:tabs>
        <w:spacing w:before="120" w:after="120" w:line="360" w:lineRule="auto"/>
        <w:ind w:left="567" w:right="1560"/>
        <w:jc w:val="both"/>
        <w:rPr>
          <w:rFonts w:ascii="David" w:eastAsia="Calibri" w:hAnsi="David" w:cs="David"/>
          <w:i/>
          <w:iCs/>
          <w:color w:val="000000" w:themeColor="text1"/>
          <w:kern w:val="0"/>
          <w14:ligatures w14:val="none"/>
        </w:rPr>
      </w:pPr>
      <w:r w:rsidRPr="00231F7D">
        <w:rPr>
          <w:rFonts w:ascii="David" w:eastAsia="Calibri" w:hAnsi="David" w:cs="David" w:hint="cs"/>
          <w:i/>
          <w:iCs/>
          <w:color w:val="000000" w:themeColor="text1"/>
          <w:kern w:val="0"/>
          <w:rtl/>
          <w14:ligatures w14:val="none"/>
        </w:rPr>
        <w:t>115. גם בעניין</w:t>
      </w:r>
      <w:r w:rsidRPr="00231F7D">
        <w:rPr>
          <w:rFonts w:ascii="David" w:eastAsia="Calibri" w:hAnsi="David" w:cs="David" w:hint="cs"/>
          <w:b/>
          <w:bCs/>
          <w:i/>
          <w:iCs/>
          <w:color w:val="000000" w:themeColor="text1"/>
          <w:kern w:val="0"/>
          <w:rtl/>
          <w14:ligatures w14:val="none"/>
        </w:rPr>
        <w:t xml:space="preserve"> "דיסקין"</w:t>
      </w:r>
      <w:r w:rsidRPr="00231F7D">
        <w:rPr>
          <w:rFonts w:ascii="David" w:eastAsia="Calibri" w:hAnsi="David" w:cs="David" w:hint="cs"/>
          <w:i/>
          <w:iCs/>
          <w:color w:val="000000" w:themeColor="text1"/>
          <w:kern w:val="0"/>
          <w:rtl/>
          <w14:ligatures w14:val="none"/>
        </w:rPr>
        <w:t xml:space="preserve"> אליו הפנתה הוועדה המקומית, עסק בית המשפט בהוראת פטור דומה לפי </w:t>
      </w:r>
      <w:hyperlink r:id="rId11" w:history="1">
        <w:r w:rsidRPr="00231F7D">
          <w:rPr>
            <w:rFonts w:ascii="David" w:eastAsia="Calibri" w:hAnsi="David" w:cs="David" w:hint="eastAsia"/>
            <w:i/>
            <w:iCs/>
            <w:color w:val="000000" w:themeColor="text1"/>
            <w:kern w:val="0"/>
            <w:u w:val="single"/>
            <w:rtl/>
            <w14:ligatures w14:val="none"/>
          </w:rPr>
          <w:t>סעיף</w:t>
        </w:r>
        <w:r w:rsidRPr="00231F7D">
          <w:rPr>
            <w:rFonts w:ascii="David" w:eastAsia="Calibri" w:hAnsi="David" w:cs="David"/>
            <w:i/>
            <w:iCs/>
            <w:color w:val="000000" w:themeColor="text1"/>
            <w:kern w:val="0"/>
            <w:u w:val="single"/>
            <w:rtl/>
            <w14:ligatures w14:val="none"/>
          </w:rPr>
          <w:t xml:space="preserve"> 19(ב)(3)</w:t>
        </w:r>
      </w:hyperlink>
      <w:r w:rsidRPr="00231F7D">
        <w:rPr>
          <w:rFonts w:ascii="David" w:eastAsia="Calibri" w:hAnsi="David" w:cs="David" w:hint="cs"/>
          <w:i/>
          <w:iCs/>
          <w:color w:val="000000" w:themeColor="text1"/>
          <w:kern w:val="0"/>
          <w:rtl/>
          <w14:ligatures w14:val="none"/>
        </w:rPr>
        <w:t xml:space="preserve"> לתוספת השלישית ושם קיבל בית המשפט העליון את העמדה שלפיה הוספת יחידת דירות על בניין קיים כמוה כבניה חדשה ובהתאם ועל יסוד ההכרעה בעניין "</w:t>
      </w:r>
      <w:proofErr w:type="spellStart"/>
      <w:r w:rsidRPr="00231F7D">
        <w:rPr>
          <w:rFonts w:ascii="David" w:eastAsia="Calibri" w:hAnsi="David" w:cs="David" w:hint="cs"/>
          <w:i/>
          <w:iCs/>
          <w:color w:val="000000" w:themeColor="text1"/>
          <w:kern w:val="0"/>
          <w:rtl/>
          <w14:ligatures w14:val="none"/>
        </w:rPr>
        <w:t>עמאש</w:t>
      </w:r>
      <w:proofErr w:type="spellEnd"/>
      <w:r w:rsidRPr="00231F7D">
        <w:rPr>
          <w:rFonts w:ascii="David" w:eastAsia="Calibri" w:hAnsi="David" w:cs="David" w:hint="cs"/>
          <w:i/>
          <w:iCs/>
          <w:color w:val="000000" w:themeColor="text1"/>
          <w:kern w:val="0"/>
          <w:rtl/>
          <w14:ligatures w14:val="none"/>
        </w:rPr>
        <w:t>" נקבע כי אין מקום להחיל לגביה את הפטור מהיטל השבחה.  בעניין זה קובע השמאי המכריע בעמ' 34 לשומה המכרעת כדלקמן:</w:t>
      </w:r>
    </w:p>
    <w:p w:rsidR="005E4144" w:rsidRPr="00231F7D" w:rsidRDefault="005E4144" w:rsidP="005E4144">
      <w:pPr>
        <w:tabs>
          <w:tab w:val="left" w:pos="708"/>
          <w:tab w:val="left" w:pos="850"/>
        </w:tabs>
        <w:spacing w:before="120" w:after="120" w:line="360" w:lineRule="auto"/>
        <w:ind w:left="567" w:right="1560"/>
        <w:jc w:val="both"/>
        <w:rPr>
          <w:rFonts w:ascii="David" w:eastAsia="Calibri" w:hAnsi="David" w:cs="David"/>
          <w:i/>
          <w:iCs/>
          <w:color w:val="000000" w:themeColor="text1"/>
          <w:kern w:val="0"/>
          <w:rtl/>
          <w14:ligatures w14:val="none"/>
        </w:rPr>
      </w:pPr>
      <w:r w:rsidRPr="00231F7D">
        <w:rPr>
          <w:rFonts w:ascii="David" w:eastAsia="Calibri" w:hAnsi="David" w:cs="David" w:hint="cs"/>
          <w:i/>
          <w:iCs/>
          <w:color w:val="000000" w:themeColor="text1"/>
          <w:kern w:val="0"/>
          <w:rtl/>
          <w14:ligatures w14:val="none"/>
        </w:rPr>
        <w:t xml:space="preserve">"בפס"ד אלון דיסקין אליו הפנתה המשיבה נקבע בין היתר ביחס לתחולת הפטור כי התנאי היחידי אשר נדרש שיתקיים על פי לשון סעיף 19 (ב)(3) הוא כי האזור יוכרז כאזור לשיקום. בהתאם לכך אין למעשה מחלוקת על העובדה כי הנכס המצוי בתחום האזור לשיקום זכאי לפטור בתנאים מסיימים" </w:t>
      </w:r>
    </w:p>
    <w:p w:rsidR="005E4144" w:rsidRPr="00231F7D" w:rsidRDefault="005E4144" w:rsidP="005E4144">
      <w:pPr>
        <w:tabs>
          <w:tab w:val="left" w:pos="708"/>
          <w:tab w:val="left" w:pos="850"/>
        </w:tabs>
        <w:spacing w:before="120" w:after="120" w:line="360" w:lineRule="auto"/>
        <w:ind w:left="567" w:right="1560"/>
        <w:jc w:val="both"/>
        <w:rPr>
          <w:rFonts w:ascii="David" w:eastAsia="Calibri" w:hAnsi="David" w:cs="David"/>
          <w:i/>
          <w:iCs/>
          <w:color w:val="000000" w:themeColor="text1"/>
          <w:kern w:val="0"/>
          <w:rtl/>
          <w14:ligatures w14:val="none"/>
        </w:rPr>
      </w:pPr>
      <w:r w:rsidRPr="00231F7D">
        <w:rPr>
          <w:rFonts w:ascii="David" w:eastAsia="Calibri" w:hAnsi="David" w:cs="David" w:hint="cs"/>
          <w:i/>
          <w:iCs/>
          <w:color w:val="000000" w:themeColor="text1"/>
          <w:kern w:val="0"/>
          <w:rtl/>
          <w14:ligatures w14:val="none"/>
        </w:rPr>
        <w:t>המועד הקובע לתכנית תא/</w:t>
      </w:r>
      <w:proofErr w:type="spellStart"/>
      <w:r w:rsidRPr="00231F7D">
        <w:rPr>
          <w:rFonts w:ascii="David" w:eastAsia="Calibri" w:hAnsi="David" w:cs="David" w:hint="cs"/>
          <w:i/>
          <w:iCs/>
          <w:color w:val="000000" w:themeColor="text1"/>
          <w:kern w:val="0"/>
          <w:rtl/>
          <w14:ligatures w14:val="none"/>
        </w:rPr>
        <w:t>במ</w:t>
      </w:r>
      <w:proofErr w:type="spellEnd"/>
      <w:r w:rsidRPr="00231F7D">
        <w:rPr>
          <w:rFonts w:ascii="David" w:eastAsia="Calibri" w:hAnsi="David" w:cs="David" w:hint="cs"/>
          <w:i/>
          <w:iCs/>
          <w:color w:val="000000" w:themeColor="text1"/>
          <w:kern w:val="0"/>
          <w:rtl/>
          <w14:ligatures w14:val="none"/>
        </w:rPr>
        <w:t xml:space="preserve">/41/2551 שבנדון הינו כאמור בשנת 1993 כאשר במועד זה אין מחלוקת על כך שהשימוש הטוב והיעיל לנכס הינו תוספת בניה ליח"ד הקיימות ותוספת 4 יח"ד בקומה נוספת. </w:t>
      </w:r>
    </w:p>
    <w:p w:rsidR="005E4144" w:rsidRPr="00231F7D" w:rsidRDefault="005E4144" w:rsidP="005E4144">
      <w:pPr>
        <w:tabs>
          <w:tab w:val="left" w:pos="708"/>
          <w:tab w:val="left" w:pos="850"/>
        </w:tabs>
        <w:spacing w:before="120" w:after="120" w:line="360" w:lineRule="auto"/>
        <w:ind w:left="567" w:right="1560"/>
        <w:jc w:val="both"/>
        <w:rPr>
          <w:rFonts w:ascii="David" w:eastAsia="Calibri" w:hAnsi="David" w:cs="David"/>
          <w:i/>
          <w:iCs/>
          <w:color w:val="000000" w:themeColor="text1"/>
          <w:kern w:val="0"/>
          <w:rtl/>
          <w14:ligatures w14:val="none"/>
        </w:rPr>
      </w:pPr>
      <w:r w:rsidRPr="00231F7D">
        <w:rPr>
          <w:rFonts w:ascii="David" w:eastAsia="Calibri" w:hAnsi="David" w:cs="David" w:hint="cs"/>
          <w:i/>
          <w:iCs/>
          <w:color w:val="000000" w:themeColor="text1"/>
          <w:kern w:val="0"/>
          <w:rtl/>
          <w14:ligatures w14:val="none"/>
        </w:rPr>
        <w:t xml:space="preserve">מכיוון שהתכנית שבנדון כללה הוראות קונקרטיות וספציפיות עד לרמת הבניין הבודד למימוש זכויות אלו, אני סבור כי לא ניתן לטעון כי כאשר מוגשת בקשה להיתר הכוללת זכויות שהוקנו על בסיס הבינוי והזכויות הקיימים מדובר בבנייה חדשה /בקרקע ריקה". </w:t>
      </w:r>
    </w:p>
    <w:p w:rsidR="005E4144" w:rsidRPr="00231F7D" w:rsidRDefault="005E4144" w:rsidP="00073883">
      <w:pPr>
        <w:numPr>
          <w:ilvl w:val="0"/>
          <w:numId w:val="8"/>
        </w:numPr>
        <w:tabs>
          <w:tab w:val="left" w:pos="850"/>
          <w:tab w:val="left" w:pos="992"/>
        </w:tabs>
        <w:spacing w:before="120" w:after="120" w:line="360" w:lineRule="auto"/>
        <w:ind w:left="567" w:right="1560" w:firstLine="0"/>
        <w:jc w:val="both"/>
        <w:rPr>
          <w:rFonts w:ascii="David" w:eastAsia="Calibri" w:hAnsi="David" w:cs="David"/>
          <w:i/>
          <w:iCs/>
          <w:color w:val="000000" w:themeColor="text1"/>
          <w:kern w:val="0"/>
          <w14:ligatures w14:val="none"/>
        </w:rPr>
      </w:pPr>
      <w:r w:rsidRPr="00231F7D">
        <w:rPr>
          <w:rFonts w:ascii="David" w:eastAsia="Calibri" w:hAnsi="David" w:cs="David" w:hint="cs"/>
          <w:i/>
          <w:iCs/>
          <w:color w:val="000000" w:themeColor="text1"/>
          <w:kern w:val="0"/>
          <w:rtl/>
          <w14:ligatures w14:val="none"/>
        </w:rPr>
        <w:t>יוצא אפוא כי לשיטת השמאי המכריע בעניינינו אין מדובר בבניה חדשה, ובעניין זה טוענת הועדה המקומית כי אין ספק שההיתר כולו במסגרתו נערך המימוש בעניינינו הוא לבניה חדשה ולכן קביעת השמאי המכריע שגויה ועומדת בניגוד מוחלט לקביעת בית המשפט העליון בעניין "</w:t>
      </w:r>
      <w:proofErr w:type="spellStart"/>
      <w:r w:rsidRPr="00231F7D">
        <w:rPr>
          <w:rFonts w:ascii="David" w:eastAsia="Calibri" w:hAnsi="David" w:cs="David" w:hint="cs"/>
          <w:i/>
          <w:iCs/>
          <w:color w:val="000000" w:themeColor="text1"/>
          <w:kern w:val="0"/>
          <w:rtl/>
          <w14:ligatures w14:val="none"/>
        </w:rPr>
        <w:t>עמאש</w:t>
      </w:r>
      <w:proofErr w:type="spellEnd"/>
      <w:r w:rsidRPr="00231F7D">
        <w:rPr>
          <w:rFonts w:ascii="David" w:eastAsia="Calibri" w:hAnsi="David" w:cs="David" w:hint="cs"/>
          <w:i/>
          <w:iCs/>
          <w:color w:val="000000" w:themeColor="text1"/>
          <w:kern w:val="0"/>
          <w:rtl/>
          <w14:ligatures w14:val="none"/>
        </w:rPr>
        <w:t xml:space="preserve">". </w:t>
      </w:r>
    </w:p>
    <w:p w:rsidR="005E4144" w:rsidRPr="00231F7D" w:rsidRDefault="005E4144" w:rsidP="00073883">
      <w:pPr>
        <w:numPr>
          <w:ilvl w:val="0"/>
          <w:numId w:val="8"/>
        </w:numPr>
        <w:tabs>
          <w:tab w:val="left" w:pos="850"/>
          <w:tab w:val="left" w:pos="992"/>
        </w:tabs>
        <w:spacing w:before="120" w:after="120" w:line="360" w:lineRule="auto"/>
        <w:ind w:left="567" w:right="1560" w:firstLine="0"/>
        <w:jc w:val="both"/>
        <w:rPr>
          <w:rFonts w:ascii="David" w:eastAsia="Calibri" w:hAnsi="David" w:cs="David"/>
          <w:i/>
          <w:iCs/>
          <w:color w:val="000000" w:themeColor="text1"/>
          <w:kern w:val="0"/>
          <w14:ligatures w14:val="none"/>
        </w:rPr>
      </w:pPr>
      <w:r w:rsidRPr="00231F7D">
        <w:rPr>
          <w:rFonts w:ascii="David" w:eastAsia="Calibri" w:hAnsi="David" w:cs="David" w:hint="cs"/>
          <w:i/>
          <w:iCs/>
          <w:color w:val="000000" w:themeColor="text1"/>
          <w:kern w:val="0"/>
          <w:rtl/>
          <w14:ligatures w14:val="none"/>
        </w:rPr>
        <w:t>ברם, בעניינינו כאמור אין עסקינן בבניה על הנכס הקיים, אלא בהריסה ובניה כאשר הפטור כאמור מוענק לדירות הקיימות שנבנות מחדש ואילו על הדירות הנוספות החדשות מעבר לאלה הקיימות, השמאי המכריע לא החיל את הפטור. כפי שיוסבר לקמן, אנו סבורים כי בהכרעת השמאי בעניין זה לא רק שלא נפלה טעות אלא שקביעתו מתחייבת בנסיבות עניינינו.</w:t>
      </w:r>
    </w:p>
    <w:p w:rsidR="005E4144" w:rsidRPr="00231F7D" w:rsidRDefault="005E4144" w:rsidP="00073883">
      <w:pPr>
        <w:numPr>
          <w:ilvl w:val="0"/>
          <w:numId w:val="8"/>
        </w:numPr>
        <w:tabs>
          <w:tab w:val="left" w:pos="850"/>
          <w:tab w:val="left" w:pos="992"/>
        </w:tabs>
        <w:spacing w:before="120" w:after="120" w:line="360" w:lineRule="auto"/>
        <w:ind w:left="567" w:right="1560" w:firstLine="0"/>
        <w:jc w:val="both"/>
        <w:rPr>
          <w:rFonts w:ascii="David" w:eastAsia="Calibri" w:hAnsi="David" w:cs="David"/>
          <w:i/>
          <w:iCs/>
          <w:color w:val="000000" w:themeColor="text1"/>
          <w:kern w:val="0"/>
          <w14:ligatures w14:val="none"/>
        </w:rPr>
      </w:pPr>
      <w:r w:rsidRPr="00231F7D">
        <w:rPr>
          <w:rFonts w:ascii="David" w:eastAsia="Calibri" w:hAnsi="David" w:cs="David" w:hint="cs"/>
          <w:i/>
          <w:iCs/>
          <w:color w:val="000000" w:themeColor="text1"/>
          <w:kern w:val="0"/>
          <w:rtl/>
          <w14:ligatures w14:val="none"/>
        </w:rPr>
        <w:t xml:space="preserve">הואיל והמצב שבפנינו דומה כ"כפפה ליד" לאמירות וקביעות ועדת הערר בראשות כב' היו"ר דאז עו"ד גילת אייל אליה הפנו גם הבעלים, בעניין </w:t>
      </w:r>
      <w:hyperlink r:id="rId12" w:history="1">
        <w:r w:rsidRPr="00231F7D">
          <w:rPr>
            <w:rFonts w:ascii="David" w:eastAsia="Calibri" w:hAnsi="David" w:cs="David"/>
            <w:i/>
            <w:iCs/>
            <w:color w:val="000000" w:themeColor="text1"/>
            <w:kern w:val="0"/>
            <w:u w:val="single"/>
            <w:rtl/>
            <w14:ligatures w14:val="none"/>
          </w:rPr>
          <w:t>ערר (תא) 85246/14</w:t>
        </w:r>
      </w:hyperlink>
      <w:r w:rsidRPr="00231F7D">
        <w:rPr>
          <w:rFonts w:ascii="David" w:eastAsia="Calibri" w:hAnsi="David" w:cs="David" w:hint="cs"/>
          <w:i/>
          <w:iCs/>
          <w:color w:val="000000" w:themeColor="text1"/>
          <w:kern w:val="0"/>
          <w:rtl/>
          <w14:ligatures w14:val="none"/>
        </w:rPr>
        <w:t xml:space="preserve"> </w:t>
      </w:r>
      <w:r w:rsidRPr="00231F7D">
        <w:rPr>
          <w:rFonts w:ascii="David" w:eastAsia="Calibri" w:hAnsi="David" w:cs="David" w:hint="cs"/>
          <w:b/>
          <w:bCs/>
          <w:i/>
          <w:iCs/>
          <w:color w:val="000000" w:themeColor="text1"/>
          <w:kern w:val="0"/>
          <w:u w:val="single"/>
          <w:rtl/>
          <w14:ligatures w14:val="none"/>
        </w:rPr>
        <w:t xml:space="preserve">נתן עזוז נ' הועדה המקומית לתכנון ולבניה תל אביב </w:t>
      </w:r>
      <w:r w:rsidRPr="00231F7D">
        <w:rPr>
          <w:rFonts w:ascii="David" w:eastAsia="Calibri" w:hAnsi="David" w:cs="David" w:hint="cs"/>
          <w:i/>
          <w:iCs/>
          <w:color w:val="000000" w:themeColor="text1"/>
          <w:kern w:val="0"/>
          <w:rtl/>
          <w14:ligatures w14:val="none"/>
        </w:rPr>
        <w:t xml:space="preserve">, </w:t>
      </w:r>
      <w:r w:rsidRPr="00231F7D">
        <w:rPr>
          <w:rFonts w:ascii="David" w:eastAsia="Calibri" w:hAnsi="David" w:cs="David"/>
          <w:i/>
          <w:iCs/>
          <w:color w:val="000000" w:themeColor="text1"/>
          <w:kern w:val="0"/>
          <w:rtl/>
          <w14:ligatures w14:val="none"/>
        </w:rPr>
        <w:t>[נבו]</w:t>
      </w:r>
      <w:r w:rsidRPr="00231F7D">
        <w:rPr>
          <w:rFonts w:ascii="David" w:eastAsia="Calibri" w:hAnsi="David" w:cs="David" w:hint="cs"/>
          <w:i/>
          <w:iCs/>
          <w:color w:val="000000" w:themeColor="text1"/>
          <w:kern w:val="0"/>
          <w:rtl/>
          <w14:ligatures w14:val="none"/>
        </w:rPr>
        <w:t xml:space="preserve"> (17.7.2019), אין לנו, אלא להביא דברים ככתבם וכלשונם:</w:t>
      </w:r>
    </w:p>
    <w:p w:rsidR="005E4144" w:rsidRPr="00231F7D" w:rsidRDefault="005E4144" w:rsidP="005E4144">
      <w:pPr>
        <w:tabs>
          <w:tab w:val="left" w:pos="708"/>
          <w:tab w:val="left" w:pos="850"/>
        </w:tabs>
        <w:spacing w:after="0" w:line="360" w:lineRule="auto"/>
        <w:ind w:left="567" w:right="1560"/>
        <w:contextualSpacing/>
        <w:jc w:val="both"/>
        <w:rPr>
          <w:rFonts w:ascii="David" w:eastAsia="Calibri" w:hAnsi="David" w:cs="David"/>
          <w:i/>
          <w:iCs/>
          <w:color w:val="000000" w:themeColor="text1"/>
          <w:kern w:val="0"/>
          <w:rtl/>
          <w14:ligatures w14:val="none"/>
        </w:rPr>
      </w:pPr>
      <w:r w:rsidRPr="00231F7D">
        <w:rPr>
          <w:rFonts w:ascii="David" w:eastAsia="Calibri" w:hAnsi="David" w:cs="David"/>
          <w:i/>
          <w:iCs/>
          <w:color w:val="000000" w:themeColor="text1"/>
          <w:kern w:val="0"/>
          <w:rtl/>
          <w14:ligatures w14:val="none"/>
        </w:rPr>
        <w:t>נאמר כבר בראשית הדברים כי אין בידנו לקבל את טענת הוועדה המקומית.</w:t>
      </w:r>
    </w:p>
    <w:p w:rsidR="005E4144" w:rsidRPr="00231F7D" w:rsidRDefault="005E4144" w:rsidP="005E4144">
      <w:pPr>
        <w:tabs>
          <w:tab w:val="left" w:pos="708"/>
          <w:tab w:val="left" w:pos="850"/>
        </w:tabs>
        <w:spacing w:after="0" w:line="360" w:lineRule="auto"/>
        <w:ind w:left="567" w:right="1560"/>
        <w:contextualSpacing/>
        <w:jc w:val="both"/>
        <w:rPr>
          <w:rFonts w:ascii="David" w:eastAsia="Calibri" w:hAnsi="David" w:cs="David"/>
          <w:i/>
          <w:iCs/>
          <w:color w:val="000000" w:themeColor="text1"/>
          <w:kern w:val="0"/>
          <w:rtl/>
          <w14:ligatures w14:val="none"/>
        </w:rPr>
      </w:pPr>
      <w:r w:rsidRPr="00231F7D">
        <w:rPr>
          <w:rFonts w:ascii="David" w:eastAsia="Calibri" w:hAnsi="David" w:cs="David"/>
          <w:i/>
          <w:iCs/>
          <w:color w:val="000000" w:themeColor="text1"/>
          <w:kern w:val="0"/>
          <w:rtl/>
          <w14:ligatures w14:val="none"/>
        </w:rPr>
        <w:t xml:space="preserve">כעניין שבעובדה אין בפנינו מגרש ריק, כי אם מגרש שבנוי עליו מבנה, גם אם מבנה זה הינו מבנה רעוע כטענת הוועדה המקומית. הוועדה המקומית לא ביססה בפנינו טענתה כי מהלכת </w:t>
      </w:r>
      <w:proofErr w:type="spellStart"/>
      <w:r w:rsidRPr="00231F7D">
        <w:rPr>
          <w:rFonts w:ascii="David" w:eastAsia="Calibri" w:hAnsi="David" w:cs="David"/>
          <w:i/>
          <w:iCs/>
          <w:color w:val="000000" w:themeColor="text1"/>
          <w:kern w:val="0"/>
          <w:rtl/>
          <w14:ligatures w14:val="none"/>
        </w:rPr>
        <w:t>עמאש</w:t>
      </w:r>
      <w:proofErr w:type="spellEnd"/>
      <w:r w:rsidRPr="00231F7D">
        <w:rPr>
          <w:rFonts w:ascii="David" w:eastAsia="Calibri" w:hAnsi="David" w:cs="David"/>
          <w:i/>
          <w:iCs/>
          <w:color w:val="000000" w:themeColor="text1"/>
          <w:kern w:val="0"/>
          <w:rtl/>
          <w14:ligatures w14:val="none"/>
        </w:rPr>
        <w:t xml:space="preserve"> עולה כי מבנה ראוי להריסה כמוהו כמגרש ריק.</w:t>
      </w:r>
    </w:p>
    <w:p w:rsidR="005E4144" w:rsidRPr="00231F7D" w:rsidRDefault="005E4144" w:rsidP="005E4144">
      <w:pPr>
        <w:tabs>
          <w:tab w:val="left" w:pos="708"/>
          <w:tab w:val="left" w:pos="850"/>
        </w:tabs>
        <w:spacing w:after="0" w:line="360" w:lineRule="auto"/>
        <w:ind w:left="567" w:right="1560"/>
        <w:contextualSpacing/>
        <w:jc w:val="both"/>
        <w:rPr>
          <w:rFonts w:ascii="David" w:eastAsia="Calibri" w:hAnsi="David" w:cs="David"/>
          <w:i/>
          <w:iCs/>
          <w:color w:val="000000" w:themeColor="text1"/>
          <w:kern w:val="0"/>
          <w:rtl/>
          <w14:ligatures w14:val="none"/>
        </w:rPr>
      </w:pPr>
      <w:r w:rsidRPr="00231F7D">
        <w:rPr>
          <w:rFonts w:ascii="David" w:eastAsia="Calibri" w:hAnsi="David" w:cs="David"/>
          <w:i/>
          <w:iCs/>
          <w:color w:val="000000" w:themeColor="text1"/>
          <w:kern w:val="0"/>
          <w:rtl/>
          <w14:ligatures w14:val="none"/>
        </w:rPr>
        <w:t xml:space="preserve">נוסיף עוד כי היותו של מבנה מסוכן אינה מעידה בהכרח על היותו </w:t>
      </w:r>
      <w:proofErr w:type="spellStart"/>
      <w:r w:rsidRPr="00231F7D">
        <w:rPr>
          <w:rFonts w:ascii="David" w:eastAsia="Calibri" w:hAnsi="David" w:cs="David"/>
          <w:i/>
          <w:iCs/>
          <w:color w:val="000000" w:themeColor="text1"/>
          <w:kern w:val="0"/>
          <w:rtl/>
          <w14:ligatures w14:val="none"/>
        </w:rPr>
        <w:t>מחוייב</w:t>
      </w:r>
      <w:proofErr w:type="spellEnd"/>
      <w:r w:rsidRPr="00231F7D">
        <w:rPr>
          <w:rFonts w:ascii="David" w:eastAsia="Calibri" w:hAnsi="David" w:cs="David"/>
          <w:i/>
          <w:iCs/>
          <w:color w:val="000000" w:themeColor="text1"/>
          <w:kern w:val="0"/>
          <w:rtl/>
          <w14:ligatures w14:val="none"/>
        </w:rPr>
        <w:t xml:space="preserve"> בהריסה. קיימים מצבים בהם לאחר בדיקה הנדסית ניתן לנקוט באמצעים ועבודות הנדסיים לחיזוק המבנה.</w:t>
      </w:r>
    </w:p>
    <w:p w:rsidR="005E4144" w:rsidRPr="00231F7D" w:rsidRDefault="005E4144" w:rsidP="005E4144">
      <w:pPr>
        <w:tabs>
          <w:tab w:val="left" w:pos="708"/>
          <w:tab w:val="left" w:pos="850"/>
        </w:tabs>
        <w:spacing w:after="0" w:line="360" w:lineRule="auto"/>
        <w:ind w:left="567" w:right="1560"/>
        <w:contextualSpacing/>
        <w:jc w:val="both"/>
        <w:rPr>
          <w:rFonts w:ascii="David" w:eastAsia="Calibri" w:hAnsi="David" w:cs="David"/>
          <w:i/>
          <w:iCs/>
          <w:color w:val="000000" w:themeColor="text1"/>
          <w:kern w:val="0"/>
          <w:rtl/>
          <w14:ligatures w14:val="none"/>
        </w:rPr>
      </w:pPr>
      <w:r w:rsidRPr="00231F7D">
        <w:rPr>
          <w:rFonts w:ascii="David" w:eastAsia="Calibri" w:hAnsi="David" w:cs="David"/>
          <w:i/>
          <w:iCs/>
          <w:color w:val="000000" w:themeColor="text1"/>
          <w:kern w:val="0"/>
          <w:rtl/>
          <w14:ligatures w14:val="none"/>
        </w:rPr>
        <w:t xml:space="preserve">יתר על כן, אנו סבורים כי אף אם נכונה טענת הוועדה המקומית כי המבנה חייב הריסה, הרי שהריסת המבנה ובנייתו מחדש בהתאם לתכניות התקפות, תואמות דווקא את התכליות העומדות בבסיס הפטור ומגשימות אותו. איננו סבורים כי הלכת </w:t>
      </w:r>
      <w:proofErr w:type="spellStart"/>
      <w:r w:rsidRPr="00231F7D">
        <w:rPr>
          <w:rFonts w:ascii="David" w:eastAsia="Calibri" w:hAnsi="David" w:cs="David"/>
          <w:i/>
          <w:iCs/>
          <w:color w:val="000000" w:themeColor="text1"/>
          <w:kern w:val="0"/>
          <w:rtl/>
          <w14:ligatures w14:val="none"/>
        </w:rPr>
        <w:t>עמאש</w:t>
      </w:r>
      <w:proofErr w:type="spellEnd"/>
      <w:r w:rsidRPr="00231F7D">
        <w:rPr>
          <w:rFonts w:ascii="David" w:eastAsia="Calibri" w:hAnsi="David" w:cs="David"/>
          <w:i/>
          <w:iCs/>
          <w:color w:val="000000" w:themeColor="text1"/>
          <w:kern w:val="0"/>
          <w:rtl/>
          <w14:ligatures w14:val="none"/>
        </w:rPr>
        <w:t xml:space="preserve"> קובעת כי במקרה כזה לא יחול הפטור.</w:t>
      </w:r>
    </w:p>
    <w:p w:rsidR="005E4144" w:rsidRPr="00231F7D" w:rsidRDefault="005E4144" w:rsidP="005E4144">
      <w:pPr>
        <w:tabs>
          <w:tab w:val="left" w:pos="708"/>
          <w:tab w:val="left" w:pos="850"/>
        </w:tabs>
        <w:spacing w:after="0" w:line="360" w:lineRule="auto"/>
        <w:ind w:left="567" w:right="1560"/>
        <w:contextualSpacing/>
        <w:jc w:val="both"/>
        <w:rPr>
          <w:rFonts w:ascii="David" w:eastAsia="Calibri" w:hAnsi="David" w:cs="David"/>
          <w:i/>
          <w:iCs/>
          <w:color w:val="000000" w:themeColor="text1"/>
          <w:kern w:val="0"/>
          <w:rtl/>
          <w14:ligatures w14:val="none"/>
        </w:rPr>
      </w:pPr>
      <w:r w:rsidRPr="00231F7D">
        <w:rPr>
          <w:rFonts w:ascii="David" w:eastAsia="Calibri" w:hAnsi="David" w:cs="David"/>
          <w:i/>
          <w:iCs/>
          <w:color w:val="000000" w:themeColor="text1"/>
          <w:kern w:val="0"/>
          <w:rtl/>
          <w14:ligatures w14:val="none"/>
        </w:rPr>
        <w:t xml:space="preserve">בעניין </w:t>
      </w:r>
      <w:proofErr w:type="spellStart"/>
      <w:r w:rsidRPr="00231F7D">
        <w:rPr>
          <w:rFonts w:ascii="David" w:eastAsia="Calibri" w:hAnsi="David" w:cs="David"/>
          <w:i/>
          <w:iCs/>
          <w:color w:val="000000" w:themeColor="text1"/>
          <w:kern w:val="0"/>
          <w:rtl/>
          <w14:ligatures w14:val="none"/>
        </w:rPr>
        <w:t>עמאש</w:t>
      </w:r>
      <w:proofErr w:type="spellEnd"/>
      <w:r w:rsidRPr="00231F7D">
        <w:rPr>
          <w:rFonts w:ascii="David" w:eastAsia="Calibri" w:hAnsi="David" w:cs="David"/>
          <w:i/>
          <w:iCs/>
          <w:color w:val="000000" w:themeColor="text1"/>
          <w:kern w:val="0"/>
          <w:rtl/>
          <w14:ligatures w14:val="none"/>
        </w:rPr>
        <w:t xml:space="preserve"> ביקשו מספר בעלי מגרשים היתר לבניית דירות חדשות במגרשיהם. לא דובר באותו עניין בסיטואציה של הריסת בתים ובנייתם מחדש. בית המשפט העליון נדרש לשאלת תחולתו של הפטור על בקשה זו. במסגרת פרשנות הוראת הפטור נקבע כי לשון ההוראה, סובלת הן פרשנות שלפיה הפטור חל גם על בניה חדשה וגם פרשנות שלפיה הוא חל רק מקום שבו מדובר רק במבנים שעמדו על תילם לפני אישורה של התכנית המשביחה (סעיף 11 לפסק דינה של כב' השופטת ארבל). אשר לתכלית הפטור, נקבע כי תכליתו הסובייקטיבית של הפטור באה להגשים את התכליות העומדות בבסיס </w:t>
      </w:r>
      <w:proofErr w:type="spellStart"/>
      <w:r w:rsidRPr="00231F7D">
        <w:rPr>
          <w:rFonts w:ascii="David" w:eastAsia="Calibri" w:hAnsi="David" w:cs="David"/>
          <w:i/>
          <w:iCs/>
          <w:color w:val="000000" w:themeColor="text1"/>
          <w:kern w:val="0"/>
          <w:rtl/>
          <w14:ligatures w14:val="none"/>
        </w:rPr>
        <w:t>פרוייקט</w:t>
      </w:r>
      <w:proofErr w:type="spellEnd"/>
      <w:r w:rsidRPr="00231F7D">
        <w:rPr>
          <w:rFonts w:ascii="David" w:eastAsia="Calibri" w:hAnsi="David" w:cs="David"/>
          <w:i/>
          <w:iCs/>
          <w:color w:val="000000" w:themeColor="text1"/>
          <w:kern w:val="0"/>
          <w:rtl/>
          <w14:ligatures w14:val="none"/>
        </w:rPr>
        <w:t xml:space="preserve"> שיקום השכונות. בהקשר זה נקבע כי " מטרות אלה אינן כוללות עידוד בנייה חדשה בשכונות שהוכרזו כשכונות שיקום, אלא מתמקדות דווקא בשיפור ושיקום הקיים בתוך השכונה" (שם בסעיף 15 לפסק דינה של כב' השופטת ארבל).</w:t>
      </w:r>
    </w:p>
    <w:p w:rsidR="005E4144" w:rsidRPr="00231F7D" w:rsidRDefault="005E4144" w:rsidP="005E4144">
      <w:pPr>
        <w:tabs>
          <w:tab w:val="left" w:pos="708"/>
          <w:tab w:val="left" w:pos="850"/>
        </w:tabs>
        <w:spacing w:after="0" w:line="360" w:lineRule="auto"/>
        <w:ind w:left="567" w:right="1560"/>
        <w:contextualSpacing/>
        <w:jc w:val="both"/>
        <w:rPr>
          <w:rFonts w:ascii="David" w:eastAsia="Calibri" w:hAnsi="David" w:cs="David"/>
          <w:i/>
          <w:iCs/>
          <w:color w:val="000000" w:themeColor="text1"/>
          <w:kern w:val="0"/>
          <w:rtl/>
          <w14:ligatures w14:val="none"/>
        </w:rPr>
      </w:pPr>
    </w:p>
    <w:p w:rsidR="005E4144" w:rsidRPr="00231F7D" w:rsidRDefault="005E4144" w:rsidP="005E4144">
      <w:pPr>
        <w:tabs>
          <w:tab w:val="left" w:pos="708"/>
          <w:tab w:val="left" w:pos="850"/>
        </w:tabs>
        <w:spacing w:after="0" w:line="360" w:lineRule="auto"/>
        <w:ind w:left="567" w:right="1560"/>
        <w:contextualSpacing/>
        <w:jc w:val="both"/>
        <w:rPr>
          <w:rFonts w:ascii="David" w:eastAsia="Calibri" w:hAnsi="David" w:cs="David"/>
          <w:i/>
          <w:iCs/>
          <w:color w:val="000000" w:themeColor="text1"/>
          <w:kern w:val="0"/>
          <w:rtl/>
          <w14:ligatures w14:val="none"/>
        </w:rPr>
      </w:pPr>
      <w:r w:rsidRPr="00231F7D">
        <w:rPr>
          <w:rFonts w:ascii="David" w:eastAsia="Calibri" w:hAnsi="David" w:cs="David"/>
          <w:i/>
          <w:iCs/>
          <w:color w:val="000000" w:themeColor="text1"/>
          <w:kern w:val="0"/>
          <w:rtl/>
          <w14:ligatures w14:val="none"/>
        </w:rPr>
        <w:t xml:space="preserve">כבר כאן נאמר כי בשונה מנסיבות עניין </w:t>
      </w:r>
      <w:proofErr w:type="spellStart"/>
      <w:r w:rsidRPr="00231F7D">
        <w:rPr>
          <w:rFonts w:ascii="David" w:eastAsia="Calibri" w:hAnsi="David" w:cs="David"/>
          <w:i/>
          <w:iCs/>
          <w:color w:val="000000" w:themeColor="text1"/>
          <w:kern w:val="0"/>
          <w:rtl/>
          <w14:ligatures w14:val="none"/>
        </w:rPr>
        <w:t>עמאש</w:t>
      </w:r>
      <w:proofErr w:type="spellEnd"/>
      <w:r w:rsidRPr="00231F7D">
        <w:rPr>
          <w:rFonts w:ascii="David" w:eastAsia="Calibri" w:hAnsi="David" w:cs="David"/>
          <w:i/>
          <w:iCs/>
          <w:color w:val="000000" w:themeColor="text1"/>
          <w:kern w:val="0"/>
          <w:rtl/>
          <w14:ligatures w14:val="none"/>
        </w:rPr>
        <w:t xml:space="preserve">, שבהן התבקשה בניה חדשה במגרש ריק, כאשר קיים מבנה אשר אין חולק כי הוא מחייב שיקום, כבענייננו, תכלית סובייקטיבית זו בוודאי מתמלאת. </w:t>
      </w:r>
    </w:p>
    <w:p w:rsidR="005E4144" w:rsidRPr="00231F7D" w:rsidRDefault="005E4144" w:rsidP="005E4144">
      <w:pPr>
        <w:tabs>
          <w:tab w:val="left" w:pos="708"/>
          <w:tab w:val="left" w:pos="850"/>
        </w:tabs>
        <w:spacing w:after="0" w:line="360" w:lineRule="auto"/>
        <w:ind w:left="567" w:right="1560"/>
        <w:jc w:val="both"/>
        <w:rPr>
          <w:rFonts w:ascii="David" w:eastAsia="Calibri" w:hAnsi="David" w:cs="David"/>
          <w:i/>
          <w:iCs/>
          <w:color w:val="000000" w:themeColor="text1"/>
          <w:kern w:val="0"/>
          <w:rtl/>
          <w14:ligatures w14:val="none"/>
        </w:rPr>
      </w:pPr>
      <w:r w:rsidRPr="00231F7D">
        <w:rPr>
          <w:rFonts w:ascii="David" w:eastAsia="Calibri" w:hAnsi="David" w:cs="David" w:hint="cs"/>
          <w:i/>
          <w:iCs/>
          <w:color w:val="000000" w:themeColor="text1"/>
          <w:kern w:val="0"/>
          <w:rtl/>
          <w14:ligatures w14:val="none"/>
        </w:rPr>
        <w:t>...</w:t>
      </w:r>
    </w:p>
    <w:p w:rsidR="005E4144" w:rsidRPr="00231F7D" w:rsidRDefault="005E4144" w:rsidP="005E4144">
      <w:pPr>
        <w:tabs>
          <w:tab w:val="left" w:pos="708"/>
          <w:tab w:val="left" w:pos="850"/>
        </w:tabs>
        <w:spacing w:after="0" w:line="360" w:lineRule="auto"/>
        <w:ind w:left="567" w:right="1560"/>
        <w:contextualSpacing/>
        <w:jc w:val="both"/>
        <w:rPr>
          <w:rFonts w:ascii="David" w:eastAsia="Calibri" w:hAnsi="David" w:cs="David"/>
          <w:b/>
          <w:bCs/>
          <w:i/>
          <w:iCs/>
          <w:color w:val="000000" w:themeColor="text1"/>
          <w:kern w:val="0"/>
          <w14:ligatures w14:val="none"/>
        </w:rPr>
      </w:pPr>
      <w:r w:rsidRPr="00231F7D">
        <w:rPr>
          <w:rFonts w:ascii="David" w:eastAsia="Calibri" w:hAnsi="David" w:cs="David"/>
          <w:b/>
          <w:bCs/>
          <w:i/>
          <w:iCs/>
          <w:color w:val="000000" w:themeColor="text1"/>
          <w:kern w:val="0"/>
          <w:rtl/>
          <w14:ligatures w14:val="none"/>
        </w:rPr>
        <w:t>נבאר עמדתנו: התכליות של הרחבת הדירות, שיפור תנאי המגורים, הגדלת היצע הדירות המרווחות, העלאת ערך הדירות, שיפור ושיקום הקיים בשכונה "על תושביה ובנייניה", אשר בית המשפט העליון סבר כי הן מתמלאות מקום שבו חל הפטור על הרחבת דירה קיימת, מתקיימות ביתר שאת מקום שבו מצבה של הדירה הקיימת הוא כה רעוע, עד שהדרך היחידה לשקמה הוא באמצעות הריסתה ובנייתה מחדש. הצורך לשקם אך מתחזק מקום שבו מצבה של הדירה כה קשה, כפי שמתארת, הוועדה המקומית, וכאשר אין כל דרך אחרת לעשות בה שימוש מלבד להרסה ולבנותה מחדש. קבלת פרשנותה של הוועדה המקומית תביא למצב בו פטור, שתכליתו שיקום השכונה ושיפור הדיור, יחול אך ורק על דירות שמצבן הוא כזה שניתן להרחיב אותן, ולא על דירות שמצבן גרוע עשרות מונים ואין ברירה אלא להרוס אותן. זוהי פרשנות העומדת בסתירה חזיתית לתכליתו של הפטור, ומונעת אותו דווקא במצבים שבהם הוא נחוץ במיוחד. כאמור, אין בידינו לקבל פרשנות זו.</w:t>
      </w:r>
    </w:p>
    <w:p w:rsidR="005E4144" w:rsidRPr="00231F7D" w:rsidRDefault="005E4144" w:rsidP="005E4144">
      <w:pPr>
        <w:tabs>
          <w:tab w:val="left" w:pos="708"/>
          <w:tab w:val="left" w:pos="850"/>
        </w:tabs>
        <w:spacing w:after="0" w:line="360" w:lineRule="auto"/>
        <w:ind w:left="567" w:right="1560"/>
        <w:contextualSpacing/>
        <w:jc w:val="both"/>
        <w:rPr>
          <w:rFonts w:ascii="David" w:eastAsia="Calibri" w:hAnsi="David" w:cs="David"/>
          <w:b/>
          <w:bCs/>
          <w:i/>
          <w:iCs/>
          <w:color w:val="000000" w:themeColor="text1"/>
          <w:kern w:val="0"/>
          <w:rtl/>
          <w14:ligatures w14:val="none"/>
        </w:rPr>
      </w:pPr>
    </w:p>
    <w:p w:rsidR="005E4144" w:rsidRPr="00231F7D" w:rsidRDefault="005E4144" w:rsidP="005E4144">
      <w:pPr>
        <w:tabs>
          <w:tab w:val="left" w:pos="708"/>
          <w:tab w:val="left" w:pos="850"/>
        </w:tabs>
        <w:spacing w:after="0" w:line="360" w:lineRule="auto"/>
        <w:ind w:left="567" w:right="1560"/>
        <w:contextualSpacing/>
        <w:jc w:val="both"/>
        <w:rPr>
          <w:rFonts w:ascii="David" w:eastAsia="Calibri" w:hAnsi="David" w:cs="David"/>
          <w:b/>
          <w:bCs/>
          <w:i/>
          <w:iCs/>
          <w:color w:val="000000" w:themeColor="text1"/>
          <w:kern w:val="0"/>
          <w14:ligatures w14:val="none"/>
        </w:rPr>
      </w:pPr>
      <w:r w:rsidRPr="00231F7D">
        <w:rPr>
          <w:rFonts w:ascii="David" w:eastAsia="Calibri" w:hAnsi="David" w:cs="David"/>
          <w:b/>
          <w:bCs/>
          <w:i/>
          <w:iCs/>
          <w:color w:val="000000" w:themeColor="text1"/>
          <w:kern w:val="0"/>
          <w:rtl/>
          <w14:ligatures w14:val="none"/>
        </w:rPr>
        <w:t xml:space="preserve">הסיטואציה שלפנינו שונה לחלוטין מאשר זו שנדונה בעניין </w:t>
      </w:r>
      <w:proofErr w:type="spellStart"/>
      <w:r w:rsidRPr="00231F7D">
        <w:rPr>
          <w:rFonts w:ascii="David" w:eastAsia="Calibri" w:hAnsi="David" w:cs="David"/>
          <w:b/>
          <w:bCs/>
          <w:i/>
          <w:iCs/>
          <w:color w:val="000000" w:themeColor="text1"/>
          <w:kern w:val="0"/>
          <w:rtl/>
          <w14:ligatures w14:val="none"/>
        </w:rPr>
        <w:t>עמאש</w:t>
      </w:r>
      <w:proofErr w:type="spellEnd"/>
      <w:r w:rsidRPr="00231F7D">
        <w:rPr>
          <w:rFonts w:ascii="David" w:eastAsia="Calibri" w:hAnsi="David" w:cs="David"/>
          <w:b/>
          <w:bCs/>
          <w:i/>
          <w:iCs/>
          <w:color w:val="000000" w:themeColor="text1"/>
          <w:kern w:val="0"/>
          <w:rtl/>
          <w14:ligatures w14:val="none"/>
        </w:rPr>
        <w:t xml:space="preserve">, שבו התבקשה בניה במקום שלא היו דירות כלל, כי אם מגרשים ריקים, ולא היה כלל מה לשפר ולשקם ברמת המגרש הבודד. אכן, בניה חדשה במגרש ריק בשכונה בהחלט עשויה </w:t>
      </w:r>
      <w:proofErr w:type="spellStart"/>
      <w:r w:rsidRPr="00231F7D">
        <w:rPr>
          <w:rFonts w:ascii="David" w:eastAsia="Calibri" w:hAnsi="David" w:cs="David"/>
          <w:b/>
          <w:bCs/>
          <w:i/>
          <w:iCs/>
          <w:color w:val="000000" w:themeColor="text1"/>
          <w:kern w:val="0"/>
          <w:rtl/>
          <w14:ligatures w14:val="none"/>
        </w:rPr>
        <w:t>היתה</w:t>
      </w:r>
      <w:proofErr w:type="spellEnd"/>
      <w:r w:rsidRPr="00231F7D">
        <w:rPr>
          <w:rFonts w:ascii="David" w:eastAsia="Calibri" w:hAnsi="David" w:cs="David"/>
          <w:b/>
          <w:bCs/>
          <w:i/>
          <w:iCs/>
          <w:color w:val="000000" w:themeColor="text1"/>
          <w:kern w:val="0"/>
          <w:rtl/>
          <w14:ligatures w14:val="none"/>
        </w:rPr>
        <w:t xml:space="preserve"> לתרום לשיקום השכונה בכללותה, כך למשל במובן של הגירה חיובית ומתן פתרון לזוגות צעירים מתוך השכונה, ובכך גם </w:t>
      </w:r>
      <w:proofErr w:type="spellStart"/>
      <w:r w:rsidRPr="00231F7D">
        <w:rPr>
          <w:rFonts w:ascii="David" w:eastAsia="Calibri" w:hAnsi="David" w:cs="David"/>
          <w:b/>
          <w:bCs/>
          <w:i/>
          <w:iCs/>
          <w:color w:val="000000" w:themeColor="text1"/>
          <w:kern w:val="0"/>
          <w:rtl/>
          <w14:ligatures w14:val="none"/>
        </w:rPr>
        <w:t>היתה</w:t>
      </w:r>
      <w:proofErr w:type="spellEnd"/>
      <w:r w:rsidRPr="00231F7D">
        <w:rPr>
          <w:rFonts w:ascii="David" w:eastAsia="Calibri" w:hAnsi="David" w:cs="David"/>
          <w:b/>
          <w:bCs/>
          <w:i/>
          <w:iCs/>
          <w:color w:val="000000" w:themeColor="text1"/>
          <w:kern w:val="0"/>
          <w:rtl/>
          <w14:ligatures w14:val="none"/>
        </w:rPr>
        <w:t xml:space="preserve"> מוגשמת תכלית הפטור - כפי </w:t>
      </w:r>
      <w:proofErr w:type="spellStart"/>
      <w:r w:rsidRPr="00231F7D">
        <w:rPr>
          <w:rFonts w:ascii="David" w:eastAsia="Calibri" w:hAnsi="David" w:cs="David"/>
          <w:b/>
          <w:bCs/>
          <w:i/>
          <w:iCs/>
          <w:color w:val="000000" w:themeColor="text1"/>
          <w:kern w:val="0"/>
          <w:rtl/>
          <w14:ligatures w14:val="none"/>
        </w:rPr>
        <w:t>שמצויין</w:t>
      </w:r>
      <w:proofErr w:type="spellEnd"/>
      <w:r w:rsidRPr="00231F7D">
        <w:rPr>
          <w:rFonts w:ascii="David" w:eastAsia="Calibri" w:hAnsi="David" w:cs="David"/>
          <w:b/>
          <w:bCs/>
          <w:i/>
          <w:iCs/>
          <w:color w:val="000000" w:themeColor="text1"/>
          <w:kern w:val="0"/>
          <w:rtl/>
          <w14:ligatures w14:val="none"/>
        </w:rPr>
        <w:t xml:space="preserve"> בעניין </w:t>
      </w:r>
      <w:proofErr w:type="spellStart"/>
      <w:r w:rsidRPr="00231F7D">
        <w:rPr>
          <w:rFonts w:ascii="David" w:eastAsia="Calibri" w:hAnsi="David" w:cs="David"/>
          <w:b/>
          <w:bCs/>
          <w:i/>
          <w:iCs/>
          <w:color w:val="000000" w:themeColor="text1"/>
          <w:kern w:val="0"/>
          <w:rtl/>
          <w14:ligatures w14:val="none"/>
        </w:rPr>
        <w:t>עמאש</w:t>
      </w:r>
      <w:proofErr w:type="spellEnd"/>
      <w:r w:rsidRPr="00231F7D">
        <w:rPr>
          <w:rFonts w:ascii="David" w:eastAsia="Calibri" w:hAnsi="David" w:cs="David"/>
          <w:b/>
          <w:bCs/>
          <w:i/>
          <w:iCs/>
          <w:color w:val="000000" w:themeColor="text1"/>
          <w:kern w:val="0"/>
          <w:rtl/>
          <w14:ligatures w14:val="none"/>
        </w:rPr>
        <w:t xml:space="preserve"> וכפי שקבע אף שופט המיעוט בבית המשפט המחוזי, כב' השופט </w:t>
      </w:r>
      <w:proofErr w:type="spellStart"/>
      <w:r w:rsidRPr="00231F7D">
        <w:rPr>
          <w:rFonts w:ascii="David" w:eastAsia="Calibri" w:hAnsi="David" w:cs="David"/>
          <w:b/>
          <w:bCs/>
          <w:i/>
          <w:iCs/>
          <w:color w:val="000000" w:themeColor="text1"/>
          <w:kern w:val="0"/>
          <w:rtl/>
          <w14:ligatures w14:val="none"/>
        </w:rPr>
        <w:t>סוקול</w:t>
      </w:r>
      <w:proofErr w:type="spellEnd"/>
      <w:r w:rsidRPr="00231F7D">
        <w:rPr>
          <w:rFonts w:ascii="David" w:eastAsia="Calibri" w:hAnsi="David" w:cs="David"/>
          <w:b/>
          <w:bCs/>
          <w:i/>
          <w:iCs/>
          <w:color w:val="000000" w:themeColor="text1"/>
          <w:kern w:val="0"/>
          <w:rtl/>
          <w14:ligatures w14:val="none"/>
        </w:rPr>
        <w:t>. עם זאת, כאמור, בית המשפט העליון סבר שהכרה בפטור לבניה חדשה במגרש ריק עלולה לפגוע יתר על המידה בקופת הרשויות המקומיות ובמערכת האיזונים הכוללת קבע כי זו לא תוכר. כאמור, אין זה המצב בענייננו.</w:t>
      </w:r>
    </w:p>
    <w:p w:rsidR="005E4144" w:rsidRPr="00231F7D" w:rsidRDefault="005E4144" w:rsidP="005E4144">
      <w:pPr>
        <w:tabs>
          <w:tab w:val="left" w:pos="708"/>
          <w:tab w:val="left" w:pos="850"/>
        </w:tabs>
        <w:spacing w:after="0" w:line="360" w:lineRule="auto"/>
        <w:ind w:left="567" w:right="1560"/>
        <w:jc w:val="both"/>
        <w:rPr>
          <w:rFonts w:ascii="David" w:eastAsia="Calibri" w:hAnsi="David" w:cs="David"/>
          <w:b/>
          <w:bCs/>
          <w:i/>
          <w:iCs/>
          <w:color w:val="000000" w:themeColor="text1"/>
          <w:kern w:val="0"/>
          <w:rtl/>
          <w14:ligatures w14:val="none"/>
        </w:rPr>
      </w:pPr>
      <w:r w:rsidRPr="00231F7D">
        <w:rPr>
          <w:rFonts w:ascii="David" w:eastAsia="Calibri" w:hAnsi="David" w:cs="David" w:hint="cs"/>
          <w:b/>
          <w:bCs/>
          <w:i/>
          <w:iCs/>
          <w:color w:val="000000" w:themeColor="text1"/>
          <w:kern w:val="0"/>
          <w:rtl/>
          <w14:ligatures w14:val="none"/>
        </w:rPr>
        <w:t>...</w:t>
      </w:r>
    </w:p>
    <w:p w:rsidR="005E4144" w:rsidRPr="00231F7D" w:rsidRDefault="005E4144" w:rsidP="005E4144">
      <w:pPr>
        <w:tabs>
          <w:tab w:val="left" w:pos="708"/>
          <w:tab w:val="left" w:pos="850"/>
        </w:tabs>
        <w:spacing w:after="0" w:line="360" w:lineRule="auto"/>
        <w:ind w:left="567" w:right="1560"/>
        <w:contextualSpacing/>
        <w:jc w:val="both"/>
        <w:rPr>
          <w:rFonts w:ascii="David" w:eastAsia="Calibri" w:hAnsi="David" w:cs="David"/>
          <w:b/>
          <w:bCs/>
          <w:i/>
          <w:iCs/>
          <w:color w:val="000000" w:themeColor="text1"/>
          <w:kern w:val="0"/>
          <w:rtl/>
          <w14:ligatures w14:val="none"/>
        </w:rPr>
      </w:pPr>
      <w:r w:rsidRPr="00231F7D">
        <w:rPr>
          <w:rFonts w:ascii="David" w:eastAsia="Calibri" w:hAnsi="David" w:cs="David"/>
          <w:b/>
          <w:bCs/>
          <w:i/>
          <w:iCs/>
          <w:color w:val="000000" w:themeColor="text1"/>
          <w:kern w:val="0"/>
          <w:rtl/>
          <w14:ligatures w14:val="none"/>
        </w:rPr>
        <w:t>לנוכח כל האמור לעיל אנו סבורים כי עמדת הוועדה המקומית שלפיה אין העוררים זכאים לפטור מאחר שלצורך שיקומה מתחייבות הריסת הדירה ובנייתה מחדש – איננה מבוססת, ואנו דוחים אותה.</w:t>
      </w:r>
    </w:p>
    <w:p w:rsidR="005E4144" w:rsidRPr="00231F7D" w:rsidRDefault="005E4144" w:rsidP="005E4144">
      <w:pPr>
        <w:tabs>
          <w:tab w:val="left" w:pos="708"/>
          <w:tab w:val="left" w:pos="850"/>
        </w:tabs>
        <w:spacing w:after="0" w:line="360" w:lineRule="auto"/>
        <w:ind w:left="567" w:right="1560"/>
        <w:contextualSpacing/>
        <w:jc w:val="both"/>
        <w:rPr>
          <w:rFonts w:ascii="David" w:eastAsia="Calibri" w:hAnsi="David" w:cs="David"/>
          <w:i/>
          <w:iCs/>
          <w:color w:val="000000" w:themeColor="text1"/>
          <w:kern w:val="0"/>
          <w:sz w:val="22"/>
          <w:szCs w:val="22"/>
          <w:rtl/>
          <w14:ligatures w14:val="none"/>
        </w:rPr>
      </w:pPr>
      <w:r w:rsidRPr="00231F7D">
        <w:rPr>
          <w:rFonts w:ascii="David" w:eastAsia="Calibri" w:hAnsi="David" w:cs="David"/>
          <w:i/>
          <w:iCs/>
          <w:color w:val="000000" w:themeColor="text1"/>
          <w:kern w:val="0"/>
          <w:rtl/>
          <w14:ligatures w14:val="none"/>
        </w:rPr>
        <w:t xml:space="preserve">סוף דבר, הערר מתקבל ואנו קובעים כי העוררים זכאים לפטור לפי סעיף 19(ב)(1) לגבי השבחה שחלה </w:t>
      </w:r>
      <w:proofErr w:type="spellStart"/>
      <w:r w:rsidRPr="00231F7D">
        <w:rPr>
          <w:rFonts w:ascii="David" w:eastAsia="Calibri" w:hAnsi="David" w:cs="David"/>
          <w:i/>
          <w:iCs/>
          <w:color w:val="000000" w:themeColor="text1"/>
          <w:kern w:val="0"/>
          <w:rtl/>
          <w14:ligatures w14:val="none"/>
        </w:rPr>
        <w:t>מכח</w:t>
      </w:r>
      <w:proofErr w:type="spellEnd"/>
      <w:r w:rsidRPr="00231F7D">
        <w:rPr>
          <w:rFonts w:ascii="David" w:eastAsia="Calibri" w:hAnsi="David" w:cs="David"/>
          <w:i/>
          <w:iCs/>
          <w:color w:val="000000" w:themeColor="text1"/>
          <w:kern w:val="0"/>
          <w:rtl/>
          <w14:ligatures w14:val="none"/>
        </w:rPr>
        <w:t xml:space="preserve"> תכניות שאושרו במהלך תקופת ההכרזה</w:t>
      </w:r>
      <w:r w:rsidRPr="00231F7D">
        <w:rPr>
          <w:rFonts w:ascii="David" w:eastAsia="Calibri" w:hAnsi="David" w:cs="David"/>
          <w:i/>
          <w:iCs/>
          <w:color w:val="000000" w:themeColor="text1"/>
          <w:kern w:val="0"/>
          <w:sz w:val="22"/>
          <w:szCs w:val="22"/>
          <w:rtl/>
          <w14:ligatures w14:val="none"/>
        </w:rPr>
        <w:t xml:space="preserve">. </w:t>
      </w:r>
    </w:p>
    <w:p w:rsidR="005E4144" w:rsidRPr="00231F7D" w:rsidRDefault="005E4144" w:rsidP="005E4144">
      <w:pPr>
        <w:tabs>
          <w:tab w:val="left" w:pos="708"/>
          <w:tab w:val="left" w:pos="850"/>
        </w:tabs>
        <w:spacing w:after="0" w:line="360" w:lineRule="auto"/>
        <w:ind w:left="567" w:right="1560"/>
        <w:contextualSpacing/>
        <w:jc w:val="both"/>
        <w:rPr>
          <w:rFonts w:ascii="David" w:eastAsia="Calibri" w:hAnsi="David" w:cs="David"/>
          <w:i/>
          <w:iCs/>
          <w:color w:val="000000" w:themeColor="text1"/>
          <w:kern w:val="0"/>
          <w:sz w:val="22"/>
          <w:szCs w:val="22"/>
          <w:rtl/>
          <w14:ligatures w14:val="none"/>
        </w:rPr>
      </w:pPr>
    </w:p>
    <w:p w:rsidR="005E4144" w:rsidRPr="00231F7D" w:rsidRDefault="005E4144" w:rsidP="005E4144">
      <w:pPr>
        <w:tabs>
          <w:tab w:val="left" w:pos="708"/>
          <w:tab w:val="left" w:pos="850"/>
        </w:tabs>
        <w:spacing w:after="0" w:line="360" w:lineRule="auto"/>
        <w:ind w:left="567" w:right="1560"/>
        <w:contextualSpacing/>
        <w:jc w:val="both"/>
        <w:rPr>
          <w:rFonts w:ascii="David" w:eastAsia="Calibri" w:hAnsi="David" w:cs="David"/>
          <w:i/>
          <w:iCs/>
          <w:color w:val="000000" w:themeColor="text1"/>
          <w:kern w:val="0"/>
          <w:sz w:val="22"/>
          <w:szCs w:val="22"/>
          <w:rtl/>
          <w14:ligatures w14:val="none"/>
        </w:rPr>
      </w:pPr>
      <w:r w:rsidRPr="00231F7D">
        <w:rPr>
          <w:rFonts w:ascii="David" w:eastAsia="Calibri" w:hAnsi="David" w:cs="David"/>
          <w:i/>
          <w:iCs/>
          <w:color w:val="000000" w:themeColor="text1"/>
          <w:kern w:val="0"/>
          <w:sz w:val="22"/>
          <w:szCs w:val="22"/>
          <w:rtl/>
          <w14:ligatures w14:val="none"/>
        </w:rPr>
        <w:tab/>
      </w:r>
      <w:r w:rsidRPr="00231F7D">
        <w:rPr>
          <w:rFonts w:ascii="David" w:eastAsia="Calibri" w:hAnsi="David" w:cs="David"/>
          <w:i/>
          <w:iCs/>
          <w:color w:val="000000" w:themeColor="text1"/>
          <w:kern w:val="0"/>
          <w:sz w:val="22"/>
          <w:szCs w:val="22"/>
          <w:rtl/>
          <w14:ligatures w14:val="none"/>
        </w:rPr>
        <w:tab/>
      </w:r>
      <w:r w:rsidRPr="00231F7D">
        <w:rPr>
          <w:rFonts w:ascii="David" w:eastAsia="Calibri" w:hAnsi="David" w:cs="David"/>
          <w:i/>
          <w:iCs/>
          <w:color w:val="000000" w:themeColor="text1"/>
          <w:kern w:val="0"/>
          <w:sz w:val="22"/>
          <w:szCs w:val="22"/>
          <w:rtl/>
          <w14:ligatures w14:val="none"/>
        </w:rPr>
        <w:tab/>
      </w:r>
      <w:r w:rsidRPr="00231F7D">
        <w:rPr>
          <w:rFonts w:ascii="David" w:eastAsia="Calibri" w:hAnsi="David" w:cs="David"/>
          <w:i/>
          <w:iCs/>
          <w:color w:val="000000" w:themeColor="text1"/>
          <w:kern w:val="0"/>
          <w:sz w:val="22"/>
          <w:szCs w:val="22"/>
          <w:rtl/>
          <w14:ligatures w14:val="none"/>
        </w:rPr>
        <w:tab/>
      </w:r>
      <w:r w:rsidRPr="00231F7D">
        <w:rPr>
          <w:rFonts w:ascii="David" w:eastAsia="Calibri" w:hAnsi="David" w:cs="David"/>
          <w:i/>
          <w:iCs/>
          <w:color w:val="000000" w:themeColor="text1"/>
          <w:kern w:val="0"/>
          <w:sz w:val="22"/>
          <w:szCs w:val="22"/>
          <w:rtl/>
          <w14:ligatures w14:val="none"/>
        </w:rPr>
        <w:tab/>
      </w:r>
      <w:r w:rsidRPr="00231F7D">
        <w:rPr>
          <w:rFonts w:ascii="David" w:eastAsia="Calibri" w:hAnsi="David" w:cs="David"/>
          <w:i/>
          <w:iCs/>
          <w:color w:val="000000" w:themeColor="text1"/>
          <w:kern w:val="0"/>
          <w:sz w:val="22"/>
          <w:szCs w:val="22"/>
          <w:rtl/>
          <w14:ligatures w14:val="none"/>
        </w:rPr>
        <w:tab/>
      </w:r>
      <w:r w:rsidRPr="00231F7D">
        <w:rPr>
          <w:rFonts w:ascii="David" w:eastAsia="Calibri" w:hAnsi="David" w:cs="David"/>
          <w:i/>
          <w:iCs/>
          <w:color w:val="000000" w:themeColor="text1"/>
          <w:kern w:val="0"/>
          <w:sz w:val="22"/>
          <w:szCs w:val="22"/>
          <w:rtl/>
          <w14:ligatures w14:val="none"/>
        </w:rPr>
        <w:tab/>
      </w:r>
      <w:r w:rsidRPr="00231F7D">
        <w:rPr>
          <w:rFonts w:ascii="David" w:eastAsia="Calibri" w:hAnsi="David" w:cs="David" w:hint="cs"/>
          <w:i/>
          <w:iCs/>
          <w:color w:val="000000" w:themeColor="text1"/>
          <w:kern w:val="0"/>
          <w:sz w:val="22"/>
          <w:szCs w:val="22"/>
          <w:rtl/>
          <w14:ligatures w14:val="none"/>
        </w:rPr>
        <w:t xml:space="preserve">(הדגשות אינן במקור </w:t>
      </w:r>
      <w:r w:rsidRPr="00231F7D">
        <w:rPr>
          <w:rFonts w:ascii="David" w:eastAsia="Calibri" w:hAnsi="David" w:cs="David"/>
          <w:i/>
          <w:iCs/>
          <w:color w:val="000000" w:themeColor="text1"/>
          <w:kern w:val="0"/>
          <w:sz w:val="22"/>
          <w:szCs w:val="22"/>
          <w:rtl/>
          <w14:ligatures w14:val="none"/>
        </w:rPr>
        <w:t>–</w:t>
      </w:r>
      <w:r w:rsidRPr="00231F7D">
        <w:rPr>
          <w:rFonts w:ascii="David" w:eastAsia="Calibri" w:hAnsi="David" w:cs="David" w:hint="cs"/>
          <w:i/>
          <w:iCs/>
          <w:color w:val="000000" w:themeColor="text1"/>
          <w:kern w:val="0"/>
          <w:sz w:val="22"/>
          <w:szCs w:val="22"/>
          <w:rtl/>
          <w14:ligatures w14:val="none"/>
        </w:rPr>
        <w:t xml:space="preserve"> הח"מ) </w:t>
      </w:r>
    </w:p>
    <w:p w:rsidR="005E4144" w:rsidRPr="00231F7D" w:rsidRDefault="005E4144" w:rsidP="005E4144">
      <w:pPr>
        <w:tabs>
          <w:tab w:val="left" w:pos="708"/>
          <w:tab w:val="left" w:pos="850"/>
        </w:tabs>
        <w:spacing w:before="120" w:after="120" w:line="276" w:lineRule="auto"/>
        <w:ind w:left="567" w:right="1560"/>
        <w:contextualSpacing/>
        <w:jc w:val="both"/>
        <w:rPr>
          <w:rFonts w:ascii="David" w:eastAsia="Calibri" w:hAnsi="David" w:cs="David"/>
          <w:i/>
          <w:iCs/>
          <w:color w:val="000000" w:themeColor="text1"/>
          <w:kern w:val="0"/>
          <w:sz w:val="22"/>
          <w:szCs w:val="22"/>
          <w:rtl/>
          <w14:ligatures w14:val="none"/>
        </w:rPr>
      </w:pPr>
    </w:p>
    <w:p w:rsidR="005E4144" w:rsidRPr="00231F7D" w:rsidRDefault="005E4144" w:rsidP="00073883">
      <w:pPr>
        <w:numPr>
          <w:ilvl w:val="0"/>
          <w:numId w:val="8"/>
        </w:numPr>
        <w:tabs>
          <w:tab w:val="left" w:pos="850"/>
          <w:tab w:val="left" w:pos="992"/>
        </w:tabs>
        <w:spacing w:before="120" w:after="120" w:line="360" w:lineRule="auto"/>
        <w:ind w:left="567" w:right="1560" w:firstLine="0"/>
        <w:jc w:val="both"/>
        <w:rPr>
          <w:rFonts w:ascii="David" w:eastAsia="Calibri" w:hAnsi="David" w:cs="David"/>
          <w:i/>
          <w:iCs/>
          <w:color w:val="000000" w:themeColor="text1"/>
          <w:kern w:val="0"/>
          <w:u w:val="single"/>
          <w14:ligatures w14:val="none"/>
        </w:rPr>
      </w:pPr>
      <w:r w:rsidRPr="00231F7D">
        <w:rPr>
          <w:rFonts w:ascii="David" w:eastAsia="Calibri" w:hAnsi="David" w:cs="David" w:hint="cs"/>
          <w:i/>
          <w:iCs/>
          <w:color w:val="000000" w:themeColor="text1"/>
          <w:kern w:val="0"/>
          <w:rtl/>
          <w14:ligatures w14:val="none"/>
        </w:rPr>
        <w:t>הנה כי כן, בעניין "</w:t>
      </w:r>
      <w:r w:rsidRPr="00231F7D">
        <w:rPr>
          <w:rFonts w:ascii="David" w:eastAsia="Calibri" w:hAnsi="David" w:cs="David" w:hint="cs"/>
          <w:b/>
          <w:bCs/>
          <w:i/>
          <w:iCs/>
          <w:color w:val="000000" w:themeColor="text1"/>
          <w:kern w:val="0"/>
          <w:rtl/>
          <w14:ligatures w14:val="none"/>
        </w:rPr>
        <w:t>עזוז</w:t>
      </w:r>
      <w:r w:rsidRPr="00231F7D">
        <w:rPr>
          <w:rFonts w:ascii="David" w:eastAsia="Calibri" w:hAnsi="David" w:cs="David" w:hint="cs"/>
          <w:i/>
          <w:iCs/>
          <w:color w:val="000000" w:themeColor="text1"/>
          <w:kern w:val="0"/>
          <w:rtl/>
          <w14:ligatures w14:val="none"/>
        </w:rPr>
        <w:t>" ועדת הערר מאבחנת את הלכת "</w:t>
      </w:r>
      <w:proofErr w:type="spellStart"/>
      <w:r w:rsidRPr="00231F7D">
        <w:rPr>
          <w:rFonts w:ascii="David" w:eastAsia="Calibri" w:hAnsi="David" w:cs="David" w:hint="cs"/>
          <w:b/>
          <w:bCs/>
          <w:i/>
          <w:iCs/>
          <w:color w:val="000000" w:themeColor="text1"/>
          <w:kern w:val="0"/>
          <w:rtl/>
          <w14:ligatures w14:val="none"/>
        </w:rPr>
        <w:t>עמאש</w:t>
      </w:r>
      <w:proofErr w:type="spellEnd"/>
      <w:r w:rsidRPr="00231F7D">
        <w:rPr>
          <w:rFonts w:ascii="David" w:eastAsia="Calibri" w:hAnsi="David" w:cs="David" w:hint="cs"/>
          <w:i/>
          <w:iCs/>
          <w:color w:val="000000" w:themeColor="text1"/>
          <w:kern w:val="0"/>
          <w:rtl/>
          <w14:ligatures w14:val="none"/>
        </w:rPr>
        <w:t>" מהמקרה שהגיעה בפניה, שם גם דובר על מקרקעין המצויים בשכונת שיקום שלצורך שיקום המבנה התחייבה הריסת הדירה ובנייתה מחדש ונקבע בניגוד לעמדת הועדה המקומית, כי ה</w:t>
      </w:r>
      <w:r w:rsidRPr="00231F7D">
        <w:rPr>
          <w:rFonts w:ascii="David" w:eastAsia="Calibri" w:hAnsi="David" w:cs="David"/>
          <w:i/>
          <w:iCs/>
          <w:color w:val="000000" w:themeColor="text1"/>
          <w:kern w:val="0"/>
          <w:rtl/>
          <w14:ligatures w14:val="none"/>
        </w:rPr>
        <w:t xml:space="preserve">עוררים זכאים לפטור לפי </w:t>
      </w:r>
      <w:hyperlink r:id="rId13" w:history="1">
        <w:r w:rsidRPr="00231F7D">
          <w:rPr>
            <w:rFonts w:ascii="David" w:eastAsia="Calibri" w:hAnsi="David" w:cs="David"/>
            <w:i/>
            <w:iCs/>
            <w:color w:val="000000" w:themeColor="text1"/>
            <w:kern w:val="0"/>
            <w:u w:val="single"/>
            <w:rtl/>
            <w14:ligatures w14:val="none"/>
          </w:rPr>
          <w:t>סעיף 19(ב)(1)</w:t>
        </w:r>
      </w:hyperlink>
      <w:r w:rsidRPr="00231F7D">
        <w:rPr>
          <w:rFonts w:ascii="David" w:eastAsia="Calibri" w:hAnsi="David" w:cs="David"/>
          <w:i/>
          <w:iCs/>
          <w:color w:val="000000" w:themeColor="text1"/>
          <w:kern w:val="0"/>
          <w:rtl/>
          <w14:ligatures w14:val="none"/>
        </w:rPr>
        <w:t xml:space="preserve"> לתוספת השלישית לחוק</w:t>
      </w:r>
      <w:r w:rsidRPr="00231F7D">
        <w:rPr>
          <w:rFonts w:ascii="David" w:eastAsia="Calibri" w:hAnsi="David" w:cs="David" w:hint="cs"/>
          <w:i/>
          <w:iCs/>
          <w:color w:val="000000" w:themeColor="text1"/>
          <w:kern w:val="0"/>
          <w:rtl/>
          <w14:ligatures w14:val="none"/>
        </w:rPr>
        <w:t xml:space="preserve">. </w:t>
      </w:r>
      <w:r w:rsidRPr="00231F7D">
        <w:rPr>
          <w:rFonts w:ascii="David" w:eastAsia="Calibri" w:hAnsi="David" w:cs="David"/>
          <w:i/>
          <w:iCs/>
          <w:color w:val="000000" w:themeColor="text1"/>
          <w:kern w:val="0"/>
          <w:rtl/>
          <w14:ligatures w14:val="none"/>
        </w:rPr>
        <w:t xml:space="preserve"> </w:t>
      </w:r>
      <w:r w:rsidRPr="00231F7D">
        <w:rPr>
          <w:rFonts w:ascii="David" w:eastAsia="Calibri" w:hAnsi="David" w:cs="David" w:hint="cs"/>
          <w:i/>
          <w:iCs/>
          <w:color w:val="000000" w:themeColor="text1"/>
          <w:kern w:val="0"/>
          <w:u w:val="single"/>
          <w:rtl/>
          <w14:ligatures w14:val="none"/>
        </w:rPr>
        <w:t xml:space="preserve">מקרה זה תואם לעניינינו אחד לאחד. </w:t>
      </w:r>
    </w:p>
    <w:p w:rsidR="005E4144" w:rsidRPr="00231F7D" w:rsidRDefault="005E4144" w:rsidP="00073883">
      <w:pPr>
        <w:numPr>
          <w:ilvl w:val="0"/>
          <w:numId w:val="8"/>
        </w:numPr>
        <w:tabs>
          <w:tab w:val="left" w:pos="850"/>
          <w:tab w:val="left" w:pos="992"/>
        </w:tabs>
        <w:spacing w:before="120" w:after="120" w:line="360" w:lineRule="auto"/>
        <w:ind w:left="567" w:right="1560" w:firstLine="0"/>
        <w:jc w:val="both"/>
        <w:rPr>
          <w:rFonts w:ascii="David" w:eastAsia="Calibri" w:hAnsi="David" w:cs="David"/>
          <w:i/>
          <w:iCs/>
          <w:color w:val="000000" w:themeColor="text1"/>
          <w:kern w:val="0"/>
          <w14:ligatures w14:val="none"/>
        </w:rPr>
      </w:pPr>
      <w:r w:rsidRPr="00231F7D">
        <w:rPr>
          <w:rFonts w:ascii="David" w:eastAsia="Calibri" w:hAnsi="David" w:cs="David" w:hint="cs"/>
          <w:i/>
          <w:iCs/>
          <w:color w:val="000000" w:themeColor="text1"/>
          <w:kern w:val="0"/>
          <w:rtl/>
          <w14:ligatures w14:val="none"/>
        </w:rPr>
        <w:t xml:space="preserve">תוצאה אחרת, לטעמנו, תוביל למצב בלתי סביר בעליל, לפיו העידוד לבעלי דירות במבנים ישנים יהא להעדיף הרחבה על פני הריסה, וזאת </w:t>
      </w:r>
      <w:r w:rsidRPr="00231F7D">
        <w:rPr>
          <w:rFonts w:ascii="David" w:eastAsia="Calibri" w:hAnsi="David" w:cs="David"/>
          <w:i/>
          <w:iCs/>
          <w:color w:val="000000" w:themeColor="text1"/>
          <w:kern w:val="0"/>
          <w:rtl/>
          <w14:ligatures w14:val="none"/>
        </w:rPr>
        <w:t>אף על פי שקיימים יתרונות משמעותיים בהריסה ובנייה מחדש.</w:t>
      </w:r>
      <w:r w:rsidRPr="00231F7D">
        <w:rPr>
          <w:rFonts w:ascii="David" w:eastAsia="Calibri" w:hAnsi="David" w:cs="David" w:hint="cs"/>
          <w:i/>
          <w:iCs/>
          <w:color w:val="000000" w:themeColor="text1"/>
          <w:kern w:val="0"/>
          <w:rtl/>
          <w14:ligatures w14:val="none"/>
        </w:rPr>
        <w:t xml:space="preserve"> לכן, לעמדתנו, קבלת עמדת הוועדה המקומית במקרה זה היא </w:t>
      </w:r>
      <w:proofErr w:type="spellStart"/>
      <w:r w:rsidRPr="00231F7D">
        <w:rPr>
          <w:rFonts w:ascii="David" w:eastAsia="Calibri" w:hAnsi="David" w:cs="David" w:hint="cs"/>
          <w:i/>
          <w:iCs/>
          <w:color w:val="000000" w:themeColor="text1"/>
          <w:kern w:val="0"/>
          <w:rtl/>
          <w14:ligatures w14:val="none"/>
        </w:rPr>
        <w:t>היא</w:t>
      </w:r>
      <w:proofErr w:type="spellEnd"/>
      <w:r w:rsidRPr="00231F7D">
        <w:rPr>
          <w:rFonts w:ascii="David" w:eastAsia="Calibri" w:hAnsi="David" w:cs="David" w:hint="cs"/>
          <w:i/>
          <w:iCs/>
          <w:color w:val="000000" w:themeColor="text1"/>
          <w:kern w:val="0"/>
          <w:rtl/>
          <w14:ligatures w14:val="none"/>
        </w:rPr>
        <w:t xml:space="preserve"> שתעמוד בניגוד לתכליות הפטור. </w:t>
      </w:r>
    </w:p>
    <w:p w:rsidR="005E4144" w:rsidRPr="00231F7D" w:rsidRDefault="005E4144" w:rsidP="00073883">
      <w:pPr>
        <w:numPr>
          <w:ilvl w:val="0"/>
          <w:numId w:val="8"/>
        </w:numPr>
        <w:tabs>
          <w:tab w:val="left" w:pos="850"/>
          <w:tab w:val="left" w:pos="992"/>
        </w:tabs>
        <w:spacing w:before="120" w:after="120" w:line="360" w:lineRule="auto"/>
        <w:ind w:left="567" w:right="1560" w:firstLine="0"/>
        <w:jc w:val="both"/>
        <w:rPr>
          <w:rFonts w:ascii="David" w:eastAsia="Calibri" w:hAnsi="David" w:cs="David"/>
          <w:i/>
          <w:iCs/>
          <w:color w:val="000000" w:themeColor="text1"/>
          <w:kern w:val="0"/>
          <w14:ligatures w14:val="none"/>
        </w:rPr>
      </w:pPr>
      <w:r w:rsidRPr="00231F7D">
        <w:rPr>
          <w:rFonts w:ascii="David" w:eastAsia="Calibri" w:hAnsi="David" w:cs="David" w:hint="cs"/>
          <w:i/>
          <w:iCs/>
          <w:color w:val="000000" w:themeColor="text1"/>
          <w:kern w:val="0"/>
          <w:rtl/>
          <w14:ligatures w14:val="none"/>
        </w:rPr>
        <w:t xml:space="preserve">בעניין </w:t>
      </w:r>
      <w:hyperlink r:id="rId14" w:history="1">
        <w:r w:rsidRPr="00231F7D">
          <w:rPr>
            <w:rFonts w:ascii="David" w:eastAsia="Calibri" w:hAnsi="David" w:cs="David"/>
            <w:i/>
            <w:iCs/>
            <w:color w:val="000000" w:themeColor="text1"/>
            <w:kern w:val="0"/>
            <w:u w:val="single"/>
            <w:rtl/>
            <w14:ligatures w14:val="none"/>
          </w:rPr>
          <w:t>בר"מ 2041/21</w:t>
        </w:r>
      </w:hyperlink>
      <w:r w:rsidRPr="00231F7D">
        <w:rPr>
          <w:rFonts w:ascii="David" w:eastAsia="Calibri" w:hAnsi="David" w:cs="David" w:hint="cs"/>
          <w:i/>
          <w:iCs/>
          <w:color w:val="000000" w:themeColor="text1"/>
          <w:kern w:val="0"/>
          <w:rtl/>
          <w14:ligatures w14:val="none"/>
        </w:rPr>
        <w:t xml:space="preserve"> </w:t>
      </w:r>
      <w:r w:rsidRPr="00231F7D">
        <w:rPr>
          <w:rFonts w:ascii="David" w:eastAsia="Calibri" w:hAnsi="David" w:cs="David" w:hint="cs"/>
          <w:b/>
          <w:bCs/>
          <w:i/>
          <w:iCs/>
          <w:color w:val="000000" w:themeColor="text1"/>
          <w:kern w:val="0"/>
          <w:u w:val="single"/>
          <w:rtl/>
          <w14:ligatures w14:val="none"/>
        </w:rPr>
        <w:t>הועדה המקומית לתכנון ובניה נ' מדמוני שושנה</w:t>
      </w:r>
      <w:r w:rsidRPr="00231F7D">
        <w:rPr>
          <w:rFonts w:ascii="David" w:eastAsia="Calibri" w:hAnsi="David" w:cs="David" w:hint="cs"/>
          <w:i/>
          <w:iCs/>
          <w:color w:val="000000" w:themeColor="text1"/>
          <w:kern w:val="0"/>
          <w:rtl/>
          <w14:ligatures w14:val="none"/>
        </w:rPr>
        <w:t xml:space="preserve"> </w:t>
      </w:r>
      <w:r w:rsidRPr="00231F7D">
        <w:rPr>
          <w:rFonts w:ascii="David" w:eastAsia="Calibri" w:hAnsi="David" w:cs="David"/>
          <w:i/>
          <w:iCs/>
          <w:color w:val="000000" w:themeColor="text1"/>
          <w:kern w:val="0"/>
          <w:rtl/>
          <w14:ligatures w14:val="none"/>
        </w:rPr>
        <w:t>[נבו]</w:t>
      </w:r>
      <w:r w:rsidRPr="00231F7D">
        <w:rPr>
          <w:rFonts w:ascii="David" w:eastAsia="Calibri" w:hAnsi="David" w:cs="David" w:hint="cs"/>
          <w:i/>
          <w:iCs/>
          <w:color w:val="000000" w:themeColor="text1"/>
          <w:kern w:val="0"/>
          <w:rtl/>
          <w14:ligatures w14:val="none"/>
        </w:rPr>
        <w:t xml:space="preserve"> (להלן </w:t>
      </w:r>
      <w:r w:rsidRPr="00231F7D">
        <w:rPr>
          <w:rFonts w:ascii="David" w:eastAsia="Calibri" w:hAnsi="David" w:cs="David"/>
          <w:i/>
          <w:iCs/>
          <w:color w:val="000000" w:themeColor="text1"/>
          <w:kern w:val="0"/>
          <w:rtl/>
          <w14:ligatures w14:val="none"/>
        </w:rPr>
        <w:t>–</w:t>
      </w:r>
      <w:r w:rsidRPr="00231F7D">
        <w:rPr>
          <w:rFonts w:ascii="David" w:eastAsia="Calibri" w:hAnsi="David" w:cs="David" w:hint="cs"/>
          <w:i/>
          <w:iCs/>
          <w:color w:val="000000" w:themeColor="text1"/>
          <w:kern w:val="0"/>
          <w:rtl/>
          <w14:ligatures w14:val="none"/>
        </w:rPr>
        <w:t xml:space="preserve"> "</w:t>
      </w:r>
      <w:r w:rsidRPr="00231F7D">
        <w:rPr>
          <w:rFonts w:ascii="David" w:eastAsia="Calibri" w:hAnsi="David" w:cs="David" w:hint="cs"/>
          <w:b/>
          <w:bCs/>
          <w:i/>
          <w:iCs/>
          <w:color w:val="000000" w:themeColor="text1"/>
          <w:kern w:val="0"/>
          <w:rtl/>
          <w14:ligatures w14:val="none"/>
        </w:rPr>
        <w:t>מדמוני</w:t>
      </w:r>
      <w:r w:rsidRPr="00231F7D">
        <w:rPr>
          <w:rFonts w:ascii="David" w:eastAsia="Calibri" w:hAnsi="David" w:cs="David" w:hint="cs"/>
          <w:i/>
          <w:iCs/>
          <w:color w:val="000000" w:themeColor="text1"/>
          <w:kern w:val="0"/>
          <w:rtl/>
          <w14:ligatures w14:val="none"/>
        </w:rPr>
        <w:t xml:space="preserve">") שתלוי ועומד בבית המשפט העליון, השאלה שעמדה במוקד בקשת רשות הערעור היא האם הפטור מהיטל השבחה הקבוע </w:t>
      </w:r>
      <w:hyperlink r:id="rId15" w:history="1">
        <w:r w:rsidRPr="00231F7D">
          <w:rPr>
            <w:rFonts w:ascii="David" w:eastAsia="Calibri" w:hAnsi="David" w:cs="David" w:hint="eastAsia"/>
            <w:i/>
            <w:iCs/>
            <w:color w:val="000000" w:themeColor="text1"/>
            <w:kern w:val="0"/>
            <w:u w:val="single"/>
            <w:rtl/>
            <w14:ligatures w14:val="none"/>
          </w:rPr>
          <w:t>בסעיף</w:t>
        </w:r>
        <w:r w:rsidRPr="00231F7D">
          <w:rPr>
            <w:rFonts w:ascii="David" w:eastAsia="Calibri" w:hAnsi="David" w:cs="David"/>
            <w:i/>
            <w:iCs/>
            <w:color w:val="000000" w:themeColor="text1"/>
            <w:kern w:val="0"/>
            <w:u w:val="single"/>
            <w:rtl/>
            <w14:ligatures w14:val="none"/>
          </w:rPr>
          <w:t xml:space="preserve"> 19 (ב)(1)</w:t>
        </w:r>
      </w:hyperlink>
      <w:r w:rsidRPr="00231F7D">
        <w:rPr>
          <w:rFonts w:ascii="David" w:eastAsia="Calibri" w:hAnsi="David" w:cs="David" w:hint="cs"/>
          <w:i/>
          <w:iCs/>
          <w:color w:val="000000" w:themeColor="text1"/>
          <w:kern w:val="0"/>
          <w:rtl/>
          <w14:ligatures w14:val="none"/>
        </w:rPr>
        <w:t xml:space="preserve"> לתוספת השלישית לחוק, חל רק בעת מימוש הזכויות באמצעות היתר בניה שניתן לשם הרחבתה של דירת מגורים קיימת או שמא חל גם בעת מימוש זכויות הבניה באמצעות </w:t>
      </w:r>
      <w:r w:rsidRPr="00231F7D">
        <w:rPr>
          <w:rFonts w:ascii="David" w:eastAsia="Calibri" w:hAnsi="David" w:cs="David" w:hint="cs"/>
          <w:b/>
          <w:bCs/>
          <w:i/>
          <w:iCs/>
          <w:color w:val="000000" w:themeColor="text1"/>
          <w:kern w:val="0"/>
          <w:rtl/>
          <w14:ligatures w14:val="none"/>
        </w:rPr>
        <w:t>מכר</w:t>
      </w:r>
      <w:r w:rsidRPr="00231F7D">
        <w:rPr>
          <w:rFonts w:ascii="David" w:eastAsia="Calibri" w:hAnsi="David" w:cs="David" w:hint="cs"/>
          <w:i/>
          <w:iCs/>
          <w:color w:val="000000" w:themeColor="text1"/>
          <w:kern w:val="0"/>
          <w:rtl/>
          <w14:ligatures w14:val="none"/>
        </w:rPr>
        <w:t xml:space="preserve"> של דירות המגורים. </w:t>
      </w:r>
    </w:p>
    <w:p w:rsidR="005E4144" w:rsidRPr="00231F7D" w:rsidRDefault="005E4144" w:rsidP="00073883">
      <w:pPr>
        <w:numPr>
          <w:ilvl w:val="0"/>
          <w:numId w:val="8"/>
        </w:numPr>
        <w:tabs>
          <w:tab w:val="left" w:pos="850"/>
          <w:tab w:val="left" w:pos="992"/>
        </w:tabs>
        <w:spacing w:before="120" w:after="120" w:line="360" w:lineRule="auto"/>
        <w:ind w:left="567" w:right="1560" w:firstLine="0"/>
        <w:jc w:val="both"/>
        <w:rPr>
          <w:rFonts w:ascii="David" w:eastAsia="Calibri" w:hAnsi="David" w:cs="David"/>
          <w:i/>
          <w:iCs/>
          <w:color w:val="000000" w:themeColor="text1"/>
          <w:kern w:val="0"/>
          <w14:ligatures w14:val="none"/>
        </w:rPr>
      </w:pPr>
      <w:r w:rsidRPr="00231F7D">
        <w:rPr>
          <w:rFonts w:ascii="David" w:eastAsia="Calibri" w:hAnsi="David" w:cs="David" w:hint="cs"/>
          <w:i/>
          <w:iCs/>
          <w:color w:val="000000" w:themeColor="text1"/>
          <w:kern w:val="0"/>
          <w:rtl/>
          <w14:ligatures w14:val="none"/>
        </w:rPr>
        <w:t xml:space="preserve">במקרה דנא, עסקינן בהיתר בניה וממילא השאלה שעלתה בהליך בבית המשפט העליון בעניין </w:t>
      </w:r>
      <w:r w:rsidRPr="00231F7D">
        <w:rPr>
          <w:rFonts w:ascii="David" w:eastAsia="Calibri" w:hAnsi="David" w:cs="David" w:hint="cs"/>
          <w:b/>
          <w:bCs/>
          <w:i/>
          <w:iCs/>
          <w:color w:val="000000" w:themeColor="text1"/>
          <w:kern w:val="0"/>
          <w:rtl/>
          <w14:ligatures w14:val="none"/>
        </w:rPr>
        <w:t>"מדמוני"</w:t>
      </w:r>
      <w:r w:rsidRPr="00231F7D">
        <w:rPr>
          <w:rFonts w:ascii="David" w:eastAsia="Calibri" w:hAnsi="David" w:cs="David" w:hint="cs"/>
          <w:i/>
          <w:iCs/>
          <w:color w:val="000000" w:themeColor="text1"/>
          <w:kern w:val="0"/>
          <w:rtl/>
          <w14:ligatures w14:val="none"/>
        </w:rPr>
        <w:t xml:space="preserve">, אינה רלוונטית לשאלה העולה בעניינינו.  </w:t>
      </w:r>
    </w:p>
    <w:p w:rsidR="005E4144" w:rsidRPr="00231F7D" w:rsidRDefault="005E4144" w:rsidP="00073883">
      <w:pPr>
        <w:numPr>
          <w:ilvl w:val="0"/>
          <w:numId w:val="8"/>
        </w:numPr>
        <w:tabs>
          <w:tab w:val="left" w:pos="850"/>
          <w:tab w:val="left" w:pos="992"/>
        </w:tabs>
        <w:spacing w:before="120" w:after="120" w:line="360" w:lineRule="auto"/>
        <w:ind w:left="567" w:right="1560" w:firstLine="0"/>
        <w:jc w:val="both"/>
        <w:rPr>
          <w:rFonts w:ascii="David" w:eastAsia="Calibri" w:hAnsi="David" w:cs="David"/>
          <w:i/>
          <w:iCs/>
          <w:color w:val="000000" w:themeColor="text1"/>
          <w:kern w:val="0"/>
          <w14:ligatures w14:val="none"/>
        </w:rPr>
      </w:pPr>
      <w:r w:rsidRPr="00231F7D">
        <w:rPr>
          <w:rFonts w:ascii="David" w:eastAsia="Calibri" w:hAnsi="David" w:cs="David" w:hint="cs"/>
          <w:i/>
          <w:iCs/>
          <w:color w:val="000000" w:themeColor="text1"/>
          <w:kern w:val="0"/>
          <w:rtl/>
          <w14:ligatures w14:val="none"/>
        </w:rPr>
        <w:t>זאת ועוד, העמקנו בעמדת היועמ"ש מיום 6.7.2023 שהוגשה בעניין "</w:t>
      </w:r>
      <w:r w:rsidRPr="00231F7D">
        <w:rPr>
          <w:rFonts w:ascii="David" w:eastAsia="Calibri" w:hAnsi="David" w:cs="David" w:hint="cs"/>
          <w:b/>
          <w:bCs/>
          <w:i/>
          <w:iCs/>
          <w:color w:val="000000" w:themeColor="text1"/>
          <w:kern w:val="0"/>
          <w:rtl/>
          <w14:ligatures w14:val="none"/>
        </w:rPr>
        <w:t>מדמוני</w:t>
      </w:r>
      <w:r w:rsidRPr="00231F7D">
        <w:rPr>
          <w:rFonts w:ascii="David" w:eastAsia="Calibri" w:hAnsi="David" w:cs="David" w:hint="cs"/>
          <w:i/>
          <w:iCs/>
          <w:color w:val="000000" w:themeColor="text1"/>
          <w:kern w:val="0"/>
          <w:rtl/>
          <w14:ligatures w14:val="none"/>
        </w:rPr>
        <w:t xml:space="preserve">" ולא מצאנו התייחסות למקרה בעניינינו, על אף שלל הפניותיה של הועדה המקומית לציטוטים שהובאו שם. </w:t>
      </w:r>
    </w:p>
    <w:p w:rsidR="005E4144" w:rsidRPr="00231F7D" w:rsidRDefault="005E4144" w:rsidP="005E4144">
      <w:pPr>
        <w:tabs>
          <w:tab w:val="left" w:pos="850"/>
        </w:tabs>
        <w:spacing w:before="120" w:after="120" w:line="360" w:lineRule="auto"/>
        <w:ind w:left="567" w:right="1560"/>
        <w:jc w:val="both"/>
        <w:rPr>
          <w:rFonts w:ascii="David" w:eastAsia="Calibri" w:hAnsi="David" w:cs="David"/>
          <w:i/>
          <w:iCs/>
          <w:color w:val="000000" w:themeColor="text1"/>
          <w:kern w:val="0"/>
          <w:rtl/>
          <w14:ligatures w14:val="none"/>
        </w:rPr>
      </w:pPr>
      <w:r w:rsidRPr="00231F7D">
        <w:rPr>
          <w:rFonts w:ascii="David" w:eastAsia="Calibri" w:hAnsi="David" w:cs="David" w:hint="cs"/>
          <w:i/>
          <w:iCs/>
          <w:color w:val="000000" w:themeColor="text1"/>
          <w:kern w:val="0"/>
          <w:rtl/>
          <w14:ligatures w14:val="none"/>
        </w:rPr>
        <w:t>מעניין לציין כי מה שעשוי להיות רלוונטי מהנכתב במסגרת עמדת היועמ"ש הינו הפרשנות שניתנה שם להגדרת המונח "</w:t>
      </w:r>
      <w:r w:rsidRPr="00231F7D">
        <w:rPr>
          <w:rFonts w:ascii="David" w:eastAsia="Calibri" w:hAnsi="David" w:cs="David" w:hint="cs"/>
          <w:b/>
          <w:bCs/>
          <w:i/>
          <w:iCs/>
          <w:color w:val="000000" w:themeColor="text1"/>
          <w:kern w:val="0"/>
          <w:rtl/>
          <w14:ligatures w14:val="none"/>
        </w:rPr>
        <w:t>בניה חדשה</w:t>
      </w:r>
      <w:r w:rsidRPr="00231F7D">
        <w:rPr>
          <w:rFonts w:ascii="David" w:eastAsia="Calibri" w:hAnsi="David" w:cs="David" w:hint="cs"/>
          <w:i/>
          <w:iCs/>
          <w:color w:val="000000" w:themeColor="text1"/>
          <w:kern w:val="0"/>
          <w:rtl/>
          <w14:ligatures w14:val="none"/>
        </w:rPr>
        <w:t xml:space="preserve">" וכך נכתב: </w:t>
      </w:r>
    </w:p>
    <w:p w:rsidR="005E4144" w:rsidRPr="00231F7D" w:rsidRDefault="005E4144" w:rsidP="005E4144">
      <w:pPr>
        <w:tabs>
          <w:tab w:val="left" w:pos="708"/>
          <w:tab w:val="left" w:pos="850"/>
          <w:tab w:val="left" w:pos="7229"/>
        </w:tabs>
        <w:spacing w:before="120" w:after="120" w:line="360" w:lineRule="auto"/>
        <w:ind w:left="567" w:right="1560"/>
        <w:jc w:val="both"/>
        <w:rPr>
          <w:rFonts w:ascii="David" w:eastAsia="Calibri" w:hAnsi="David" w:cs="David"/>
          <w:b/>
          <w:bCs/>
          <w:i/>
          <w:iCs/>
          <w:color w:val="000000" w:themeColor="text1"/>
          <w:kern w:val="0"/>
          <w14:ligatures w14:val="none"/>
        </w:rPr>
      </w:pPr>
      <w:r w:rsidRPr="00231F7D">
        <w:rPr>
          <w:rFonts w:ascii="David" w:eastAsia="Calibri" w:hAnsi="David" w:cs="David" w:hint="cs"/>
          <w:i/>
          <w:iCs/>
          <w:color w:val="000000" w:themeColor="text1"/>
          <w:kern w:val="0"/>
          <w:rtl/>
          <w14:ligatures w14:val="none"/>
        </w:rPr>
        <w:t xml:space="preserve">"כאמור ההלכות בעניין </w:t>
      </w:r>
      <w:proofErr w:type="spellStart"/>
      <w:r w:rsidRPr="00231F7D">
        <w:rPr>
          <w:rFonts w:ascii="David" w:eastAsia="Calibri" w:hAnsi="David" w:cs="David" w:hint="cs"/>
          <w:i/>
          <w:iCs/>
          <w:color w:val="000000" w:themeColor="text1"/>
          <w:kern w:val="0"/>
          <w:rtl/>
          <w14:ligatures w14:val="none"/>
        </w:rPr>
        <w:t>עמאש</w:t>
      </w:r>
      <w:proofErr w:type="spellEnd"/>
      <w:r w:rsidRPr="00231F7D">
        <w:rPr>
          <w:rFonts w:ascii="David" w:eastAsia="Calibri" w:hAnsi="David" w:cs="David" w:hint="cs"/>
          <w:i/>
          <w:iCs/>
          <w:color w:val="000000" w:themeColor="text1"/>
          <w:kern w:val="0"/>
          <w:rtl/>
          <w14:ligatures w14:val="none"/>
        </w:rPr>
        <w:t xml:space="preserve"> ודיסקין הבחינו בין מצבים של דרכי מימוש היתרי הבניה, תוך קביעה כי במקרה של "בניה חדשה" </w:t>
      </w:r>
      <w:r w:rsidRPr="00231F7D">
        <w:rPr>
          <w:rFonts w:ascii="David" w:eastAsia="Calibri" w:hAnsi="David" w:cs="David"/>
          <w:i/>
          <w:iCs/>
          <w:color w:val="000000" w:themeColor="text1"/>
          <w:kern w:val="0"/>
          <w:rtl/>
          <w14:ligatures w14:val="none"/>
        </w:rPr>
        <w:t>–</w:t>
      </w:r>
      <w:r w:rsidRPr="00231F7D">
        <w:rPr>
          <w:rFonts w:ascii="David" w:eastAsia="Calibri" w:hAnsi="David" w:cs="David" w:hint="cs"/>
          <w:i/>
          <w:iCs/>
          <w:color w:val="000000" w:themeColor="text1"/>
          <w:kern w:val="0"/>
          <w:rtl/>
          <w14:ligatures w14:val="none"/>
        </w:rPr>
        <w:t xml:space="preserve"> בניה חדשה בקרקע ריקה או תוספת דירות חדשות על בניין קיים- לא תחסה תחת הפטור</w:t>
      </w:r>
      <w:r w:rsidRPr="00231F7D">
        <w:rPr>
          <w:rFonts w:ascii="David" w:eastAsia="Calibri" w:hAnsi="David" w:cs="David" w:hint="cs"/>
          <w:b/>
          <w:bCs/>
          <w:i/>
          <w:iCs/>
          <w:color w:val="000000" w:themeColor="text1"/>
          <w:kern w:val="0"/>
          <w:rtl/>
          <w14:ligatures w14:val="none"/>
        </w:rPr>
        <w:t>".</w:t>
      </w:r>
    </w:p>
    <w:p w:rsidR="005E4144" w:rsidRPr="00231F7D" w:rsidRDefault="005E4144" w:rsidP="005E4144">
      <w:pPr>
        <w:tabs>
          <w:tab w:val="left" w:pos="850"/>
        </w:tabs>
        <w:spacing w:before="120" w:after="120" w:line="360" w:lineRule="auto"/>
        <w:ind w:left="567" w:right="1560"/>
        <w:jc w:val="both"/>
        <w:rPr>
          <w:rFonts w:ascii="David" w:eastAsia="Calibri" w:hAnsi="David" w:cs="David"/>
          <w:i/>
          <w:iCs/>
          <w:color w:val="000000" w:themeColor="text1"/>
          <w:kern w:val="0"/>
          <w14:ligatures w14:val="none"/>
        </w:rPr>
      </w:pPr>
      <w:r w:rsidRPr="00231F7D">
        <w:rPr>
          <w:rFonts w:ascii="David" w:eastAsia="Calibri" w:hAnsi="David" w:cs="David" w:hint="cs"/>
          <w:i/>
          <w:iCs/>
          <w:color w:val="000000" w:themeColor="text1"/>
          <w:kern w:val="0"/>
          <w:rtl/>
          <w14:ligatures w14:val="none"/>
        </w:rPr>
        <w:t>היינו, בעמדת היועמ"ש, "</w:t>
      </w:r>
      <w:r w:rsidRPr="00231F7D">
        <w:rPr>
          <w:rFonts w:ascii="David" w:eastAsia="Calibri" w:hAnsi="David" w:cs="David" w:hint="cs"/>
          <w:b/>
          <w:bCs/>
          <w:i/>
          <w:iCs/>
          <w:color w:val="000000" w:themeColor="text1"/>
          <w:kern w:val="0"/>
          <w:rtl/>
          <w14:ligatures w14:val="none"/>
        </w:rPr>
        <w:t>בניה חדשה</w:t>
      </w:r>
      <w:r w:rsidRPr="00231F7D">
        <w:rPr>
          <w:rFonts w:ascii="David" w:eastAsia="Calibri" w:hAnsi="David" w:cs="David" w:hint="cs"/>
          <w:i/>
          <w:iCs/>
          <w:color w:val="000000" w:themeColor="text1"/>
          <w:kern w:val="0"/>
          <w:rtl/>
          <w14:ligatures w14:val="none"/>
        </w:rPr>
        <w:t xml:space="preserve">" </w:t>
      </w:r>
      <w:r w:rsidRPr="00231F7D">
        <w:rPr>
          <w:rFonts w:ascii="David" w:eastAsia="Calibri" w:hAnsi="David" w:cs="David" w:hint="cs"/>
          <w:b/>
          <w:bCs/>
          <w:i/>
          <w:iCs/>
          <w:color w:val="000000" w:themeColor="text1"/>
          <w:kern w:val="0"/>
          <w:rtl/>
          <w14:ligatures w14:val="none"/>
        </w:rPr>
        <w:t xml:space="preserve">מתפרשת כבניה בקרקע ריקה </w:t>
      </w:r>
      <w:r w:rsidRPr="00231F7D">
        <w:rPr>
          <w:rFonts w:ascii="David" w:eastAsia="Calibri" w:hAnsi="David" w:cs="David" w:hint="cs"/>
          <w:b/>
          <w:bCs/>
          <w:i/>
          <w:iCs/>
          <w:color w:val="000000" w:themeColor="text1"/>
          <w:kern w:val="0"/>
          <w:u w:val="single"/>
          <w:rtl/>
          <w14:ligatures w14:val="none"/>
        </w:rPr>
        <w:t>או</w:t>
      </w:r>
      <w:r w:rsidRPr="00231F7D">
        <w:rPr>
          <w:rFonts w:ascii="David" w:eastAsia="Calibri" w:hAnsi="David" w:cs="David" w:hint="cs"/>
          <w:b/>
          <w:bCs/>
          <w:i/>
          <w:iCs/>
          <w:color w:val="000000" w:themeColor="text1"/>
          <w:kern w:val="0"/>
          <w:rtl/>
          <w14:ligatures w14:val="none"/>
        </w:rPr>
        <w:t xml:space="preserve"> תוספת דירות חדשות על בניין קיים שלא תחסה תחת הפטור.</w:t>
      </w:r>
      <w:r w:rsidRPr="00231F7D">
        <w:rPr>
          <w:rFonts w:ascii="David" w:eastAsia="Calibri" w:hAnsi="David" w:cs="David" w:hint="cs"/>
          <w:i/>
          <w:iCs/>
          <w:color w:val="000000" w:themeColor="text1"/>
          <w:kern w:val="0"/>
          <w:rtl/>
          <w14:ligatures w14:val="none"/>
        </w:rPr>
        <w:t xml:space="preserve"> "מכלל לאו אתה שומע הן", הדירות הקיימות של הדיירים שנהרסות ונבנות שוב, לא נכללות להבנתנו בגדר "בניה חדשה" מה שמחזק את מסקנתנו במקרה זה. </w:t>
      </w:r>
    </w:p>
    <w:p w:rsidR="005E4144" w:rsidRPr="00231F7D" w:rsidRDefault="005E4144" w:rsidP="00073883">
      <w:pPr>
        <w:numPr>
          <w:ilvl w:val="0"/>
          <w:numId w:val="8"/>
        </w:numPr>
        <w:tabs>
          <w:tab w:val="left" w:pos="850"/>
          <w:tab w:val="left" w:pos="992"/>
        </w:tabs>
        <w:spacing w:before="120" w:after="120" w:line="360" w:lineRule="auto"/>
        <w:ind w:left="567" w:right="1560" w:firstLine="0"/>
        <w:jc w:val="both"/>
        <w:rPr>
          <w:rFonts w:ascii="David" w:eastAsia="Calibri" w:hAnsi="David" w:cs="David"/>
          <w:b/>
          <w:bCs/>
          <w:i/>
          <w:iCs/>
          <w:color w:val="000000" w:themeColor="text1"/>
          <w:kern w:val="0"/>
          <w14:ligatures w14:val="none"/>
        </w:rPr>
      </w:pPr>
      <w:r w:rsidRPr="00231F7D">
        <w:rPr>
          <w:rFonts w:ascii="David" w:eastAsia="Calibri" w:hAnsi="David" w:cs="David" w:hint="cs"/>
          <w:b/>
          <w:bCs/>
          <w:i/>
          <w:iCs/>
          <w:color w:val="000000" w:themeColor="text1"/>
          <w:kern w:val="0"/>
          <w:rtl/>
          <w14:ligatures w14:val="none"/>
        </w:rPr>
        <w:t xml:space="preserve">נראה לנו כי תוצאה אחרת, לפיה לא יוכר פטור לפי </w:t>
      </w:r>
      <w:hyperlink r:id="rId16" w:history="1">
        <w:r w:rsidRPr="00231F7D">
          <w:rPr>
            <w:rFonts w:ascii="David" w:eastAsia="Calibri" w:hAnsi="David" w:cs="David" w:hint="eastAsia"/>
            <w:b/>
            <w:bCs/>
            <w:i/>
            <w:iCs/>
            <w:color w:val="000000" w:themeColor="text1"/>
            <w:kern w:val="0"/>
            <w:u w:val="single"/>
            <w:rtl/>
            <w14:ligatures w14:val="none"/>
          </w:rPr>
          <w:t>סעיף</w:t>
        </w:r>
        <w:r w:rsidRPr="00231F7D">
          <w:rPr>
            <w:rFonts w:ascii="David" w:eastAsia="Calibri" w:hAnsi="David" w:cs="David"/>
            <w:b/>
            <w:bCs/>
            <w:i/>
            <w:iCs/>
            <w:color w:val="000000" w:themeColor="text1"/>
            <w:kern w:val="0"/>
            <w:u w:val="single"/>
            <w:rtl/>
            <w14:ligatures w14:val="none"/>
          </w:rPr>
          <w:t xml:space="preserve"> 19 (ב)(1)</w:t>
        </w:r>
      </w:hyperlink>
      <w:r w:rsidRPr="00231F7D">
        <w:rPr>
          <w:rFonts w:ascii="David" w:eastAsia="Calibri" w:hAnsi="David" w:cs="David" w:hint="cs"/>
          <w:b/>
          <w:bCs/>
          <w:i/>
          <w:iCs/>
          <w:color w:val="000000" w:themeColor="text1"/>
          <w:kern w:val="0"/>
          <w:rtl/>
          <w14:ligatures w14:val="none"/>
        </w:rPr>
        <w:t xml:space="preserve"> לתוספת השלישית בגין דירות אותן הורסים ובונים מחדש (להבדיל מדירות חדשות שמתווספות לפרויקט) תביא למצב אבסורדי, שכן </w:t>
      </w:r>
      <w:r w:rsidRPr="00231F7D">
        <w:rPr>
          <w:rFonts w:ascii="David" w:eastAsia="Calibri" w:hAnsi="David" w:cs="David"/>
          <w:b/>
          <w:bCs/>
          <w:i/>
          <w:iCs/>
          <w:color w:val="000000" w:themeColor="text1"/>
          <w:kern w:val="0"/>
          <w:rtl/>
          <w14:ligatures w14:val="none"/>
        </w:rPr>
        <w:t>המשמעות של שלילת הפטור עבור הדירות הקיימות</w:t>
      </w:r>
      <w:r w:rsidRPr="00231F7D">
        <w:rPr>
          <w:rFonts w:ascii="David" w:eastAsia="Calibri" w:hAnsi="David" w:cs="David" w:hint="cs"/>
          <w:b/>
          <w:bCs/>
          <w:i/>
          <w:iCs/>
          <w:color w:val="000000" w:themeColor="text1"/>
          <w:kern w:val="0"/>
          <w:rtl/>
          <w14:ligatures w14:val="none"/>
        </w:rPr>
        <w:t xml:space="preserve">, </w:t>
      </w:r>
      <w:r w:rsidRPr="00231F7D">
        <w:rPr>
          <w:rFonts w:ascii="David" w:eastAsia="Calibri" w:hAnsi="David" w:cs="David"/>
          <w:b/>
          <w:bCs/>
          <w:i/>
          <w:iCs/>
          <w:color w:val="000000" w:themeColor="text1"/>
          <w:kern w:val="0"/>
          <w:rtl/>
          <w14:ligatures w14:val="none"/>
        </w:rPr>
        <w:t xml:space="preserve">עשויה להוביל </w:t>
      </w:r>
      <w:r w:rsidRPr="00231F7D">
        <w:rPr>
          <w:rFonts w:ascii="David" w:eastAsia="Calibri" w:hAnsi="David" w:cs="David" w:hint="cs"/>
          <w:b/>
          <w:bCs/>
          <w:i/>
          <w:iCs/>
          <w:color w:val="000000" w:themeColor="text1"/>
          <w:kern w:val="0"/>
          <w:rtl/>
          <w14:ligatures w14:val="none"/>
        </w:rPr>
        <w:t xml:space="preserve">דווקא </w:t>
      </w:r>
      <w:r w:rsidRPr="00231F7D">
        <w:rPr>
          <w:rFonts w:ascii="David" w:eastAsia="Calibri" w:hAnsi="David" w:cs="David"/>
          <w:b/>
          <w:bCs/>
          <w:i/>
          <w:iCs/>
          <w:color w:val="000000" w:themeColor="text1"/>
          <w:kern w:val="0"/>
          <w:rtl/>
          <w14:ligatures w14:val="none"/>
        </w:rPr>
        <w:t xml:space="preserve">לעידוד שיפוץ וחיזוק המבנים על פני הריסתם ובנייתם מחדש, </w:t>
      </w:r>
      <w:r w:rsidRPr="00231F7D">
        <w:rPr>
          <w:rFonts w:ascii="David" w:eastAsia="Calibri" w:hAnsi="David" w:cs="David" w:hint="cs"/>
          <w:b/>
          <w:bCs/>
          <w:i/>
          <w:iCs/>
          <w:color w:val="000000" w:themeColor="text1"/>
          <w:kern w:val="0"/>
          <w:rtl/>
          <w14:ligatures w14:val="none"/>
        </w:rPr>
        <w:t xml:space="preserve">על אף היתרונות הגלומים </w:t>
      </w:r>
      <w:r w:rsidRPr="00231F7D">
        <w:rPr>
          <w:rFonts w:ascii="David" w:eastAsia="Calibri" w:hAnsi="David" w:cs="David"/>
          <w:b/>
          <w:bCs/>
          <w:i/>
          <w:iCs/>
          <w:color w:val="000000" w:themeColor="text1"/>
          <w:kern w:val="0"/>
          <w:rtl/>
          <w14:ligatures w14:val="none"/>
        </w:rPr>
        <w:t xml:space="preserve"> בהריסה ובנייה מחדש. אם המטרה היא לעודד את </w:t>
      </w:r>
      <w:r w:rsidRPr="00231F7D">
        <w:rPr>
          <w:rFonts w:ascii="David" w:eastAsia="Calibri" w:hAnsi="David" w:cs="David" w:hint="cs"/>
          <w:b/>
          <w:bCs/>
          <w:i/>
          <w:iCs/>
          <w:color w:val="000000" w:themeColor="text1"/>
          <w:kern w:val="0"/>
          <w:rtl/>
          <w14:ligatures w14:val="none"/>
        </w:rPr>
        <w:t xml:space="preserve">בעלי הדירות בבניין הישן והרעוע לצאת להליך "התחדשות עירונית" אינינו רואים הצדקה להגביל </w:t>
      </w:r>
      <w:r w:rsidRPr="00231F7D">
        <w:rPr>
          <w:rFonts w:ascii="David" w:eastAsia="Calibri" w:hAnsi="David" w:cs="David"/>
          <w:b/>
          <w:bCs/>
          <w:i/>
          <w:iCs/>
          <w:color w:val="000000" w:themeColor="text1"/>
          <w:kern w:val="0"/>
          <w:rtl/>
          <w14:ligatures w14:val="none"/>
        </w:rPr>
        <w:t>את ה</w:t>
      </w:r>
      <w:r w:rsidRPr="00231F7D">
        <w:rPr>
          <w:rFonts w:ascii="David" w:eastAsia="Calibri" w:hAnsi="David" w:cs="David" w:hint="cs"/>
          <w:b/>
          <w:bCs/>
          <w:i/>
          <w:iCs/>
          <w:color w:val="000000" w:themeColor="text1"/>
          <w:kern w:val="0"/>
          <w:rtl/>
          <w14:ligatures w14:val="none"/>
        </w:rPr>
        <w:t xml:space="preserve">פטור </w:t>
      </w:r>
      <w:r w:rsidRPr="00231F7D">
        <w:rPr>
          <w:rFonts w:ascii="David" w:eastAsia="Calibri" w:hAnsi="David" w:cs="David"/>
          <w:b/>
          <w:bCs/>
          <w:i/>
          <w:iCs/>
          <w:color w:val="000000" w:themeColor="text1"/>
          <w:kern w:val="0"/>
          <w:rtl/>
          <w14:ligatures w14:val="none"/>
        </w:rPr>
        <w:t>אך ורק לאפשרות של שיפוץ</w:t>
      </w:r>
      <w:r w:rsidRPr="00231F7D">
        <w:rPr>
          <w:rFonts w:ascii="David" w:eastAsia="Calibri" w:hAnsi="David" w:cs="David" w:hint="cs"/>
          <w:b/>
          <w:bCs/>
          <w:i/>
          <w:iCs/>
          <w:color w:val="000000" w:themeColor="text1"/>
          <w:kern w:val="0"/>
          <w:rtl/>
          <w14:ligatures w14:val="none"/>
        </w:rPr>
        <w:t xml:space="preserve">/ חיזוק </w:t>
      </w:r>
      <w:r w:rsidRPr="00231F7D">
        <w:rPr>
          <w:rFonts w:ascii="David" w:eastAsia="Calibri" w:hAnsi="David" w:cs="David"/>
          <w:b/>
          <w:bCs/>
          <w:i/>
          <w:iCs/>
          <w:color w:val="000000" w:themeColor="text1"/>
          <w:kern w:val="0"/>
          <w:rtl/>
          <w14:ligatures w14:val="none"/>
        </w:rPr>
        <w:t xml:space="preserve">והרחבת הדירות, תוך </w:t>
      </w:r>
      <w:r w:rsidRPr="00231F7D">
        <w:rPr>
          <w:rFonts w:ascii="David" w:eastAsia="Calibri" w:hAnsi="David" w:cs="David" w:hint="cs"/>
          <w:b/>
          <w:bCs/>
          <w:i/>
          <w:iCs/>
          <w:color w:val="000000" w:themeColor="text1"/>
          <w:kern w:val="0"/>
          <w:rtl/>
          <w14:ligatures w14:val="none"/>
        </w:rPr>
        <w:t>"</w:t>
      </w:r>
      <w:r w:rsidRPr="00231F7D">
        <w:rPr>
          <w:rFonts w:ascii="David" w:eastAsia="Calibri" w:hAnsi="David" w:cs="David"/>
          <w:b/>
          <w:bCs/>
          <w:i/>
          <w:iCs/>
          <w:color w:val="000000" w:themeColor="text1"/>
          <w:kern w:val="0"/>
          <w:rtl/>
          <w14:ligatures w14:val="none"/>
        </w:rPr>
        <w:t>הזנחת</w:t>
      </w:r>
      <w:r w:rsidRPr="00231F7D">
        <w:rPr>
          <w:rFonts w:ascii="David" w:eastAsia="Calibri" w:hAnsi="David" w:cs="David" w:hint="cs"/>
          <w:b/>
          <w:bCs/>
          <w:i/>
          <w:iCs/>
          <w:color w:val="000000" w:themeColor="text1"/>
          <w:kern w:val="0"/>
          <w:rtl/>
          <w14:ligatures w14:val="none"/>
        </w:rPr>
        <w:t>"</w:t>
      </w:r>
      <w:r w:rsidRPr="00231F7D">
        <w:rPr>
          <w:rFonts w:ascii="David" w:eastAsia="Calibri" w:hAnsi="David" w:cs="David"/>
          <w:b/>
          <w:bCs/>
          <w:i/>
          <w:iCs/>
          <w:color w:val="000000" w:themeColor="text1"/>
          <w:kern w:val="0"/>
          <w:rtl/>
          <w14:ligatures w14:val="none"/>
        </w:rPr>
        <w:t xml:space="preserve"> האפשרות להריסה ובנייה מחדש, אשר עשויה להוות פתרון מקיף ויעיל יו</w:t>
      </w:r>
      <w:r w:rsidRPr="00231F7D">
        <w:rPr>
          <w:rFonts w:ascii="David" w:eastAsia="Calibri" w:hAnsi="David" w:cs="David" w:hint="cs"/>
          <w:b/>
          <w:bCs/>
          <w:i/>
          <w:iCs/>
          <w:color w:val="000000" w:themeColor="text1"/>
          <w:kern w:val="0"/>
          <w:rtl/>
          <w14:ligatures w14:val="none"/>
        </w:rPr>
        <w:t>תר, תוך הותרת התושבים הקיימים בשכונתם פנימה (כדברי היועמ"ש).</w:t>
      </w:r>
    </w:p>
    <w:p w:rsidR="005E4144" w:rsidRPr="00231F7D" w:rsidRDefault="005E4144" w:rsidP="00073883">
      <w:pPr>
        <w:numPr>
          <w:ilvl w:val="0"/>
          <w:numId w:val="8"/>
        </w:numPr>
        <w:tabs>
          <w:tab w:val="left" w:pos="850"/>
          <w:tab w:val="left" w:pos="992"/>
        </w:tabs>
        <w:spacing w:before="120" w:after="120" w:line="360" w:lineRule="auto"/>
        <w:ind w:left="567" w:right="1560" w:firstLine="0"/>
        <w:jc w:val="both"/>
        <w:rPr>
          <w:rFonts w:ascii="David" w:eastAsia="Calibri" w:hAnsi="David" w:cs="David"/>
          <w:i/>
          <w:iCs/>
          <w:color w:val="000000" w:themeColor="text1"/>
          <w:kern w:val="0"/>
          <w14:ligatures w14:val="none"/>
        </w:rPr>
      </w:pPr>
      <w:r w:rsidRPr="00231F7D">
        <w:rPr>
          <w:rFonts w:ascii="David" w:eastAsia="Calibri" w:hAnsi="David" w:cs="David" w:hint="cs"/>
          <w:i/>
          <w:iCs/>
          <w:color w:val="000000" w:themeColor="text1"/>
          <w:kern w:val="0"/>
          <w:rtl/>
          <w14:ligatures w14:val="none"/>
        </w:rPr>
        <w:t>נציין עוד כי הסתמכות הועדה המקומית על ההחלטות שנתנו בעניין "</w:t>
      </w:r>
      <w:r w:rsidRPr="00231F7D">
        <w:rPr>
          <w:rFonts w:ascii="David" w:eastAsia="Calibri" w:hAnsi="David" w:cs="David" w:hint="cs"/>
          <w:b/>
          <w:bCs/>
          <w:i/>
          <w:iCs/>
          <w:color w:val="000000" w:themeColor="text1"/>
          <w:kern w:val="0"/>
          <w:rtl/>
          <w14:ligatures w14:val="none"/>
        </w:rPr>
        <w:t>מושקוביץ</w:t>
      </w:r>
      <w:r w:rsidRPr="00231F7D">
        <w:rPr>
          <w:rFonts w:ascii="David" w:eastAsia="Calibri" w:hAnsi="David" w:cs="David" w:hint="cs"/>
          <w:i/>
          <w:iCs/>
          <w:color w:val="000000" w:themeColor="text1"/>
          <w:kern w:val="0"/>
          <w:rtl/>
          <w14:ligatures w14:val="none"/>
        </w:rPr>
        <w:t>" "</w:t>
      </w:r>
      <w:r w:rsidRPr="00231F7D">
        <w:rPr>
          <w:rFonts w:ascii="David" w:eastAsia="Calibri" w:hAnsi="David" w:cs="David" w:hint="cs"/>
          <w:b/>
          <w:bCs/>
          <w:i/>
          <w:iCs/>
          <w:color w:val="000000" w:themeColor="text1"/>
          <w:kern w:val="0"/>
          <w:rtl/>
          <w14:ligatures w14:val="none"/>
        </w:rPr>
        <w:t>שמן</w:t>
      </w:r>
      <w:r w:rsidRPr="00231F7D">
        <w:rPr>
          <w:rFonts w:ascii="David" w:eastAsia="Calibri" w:hAnsi="David" w:cs="David" w:hint="cs"/>
          <w:i/>
          <w:iCs/>
          <w:color w:val="000000" w:themeColor="text1"/>
          <w:kern w:val="0"/>
          <w:rtl/>
          <w14:ligatures w14:val="none"/>
        </w:rPr>
        <w:t xml:space="preserve">" אינה מסייעת לה בעניינינו. שכן, עלתה בהן השאלה </w:t>
      </w:r>
      <w:r w:rsidRPr="00231F7D">
        <w:rPr>
          <w:rFonts w:ascii="David" w:eastAsia="Calibri" w:hAnsi="David" w:cs="David"/>
          <w:i/>
          <w:iCs/>
          <w:color w:val="000000" w:themeColor="text1"/>
          <w:kern w:val="0"/>
          <w:rtl/>
          <w14:ligatures w14:val="none"/>
        </w:rPr>
        <w:t xml:space="preserve">האם יש לתת פטור להרחבה של דירות מגורים אשר נבנו </w:t>
      </w:r>
      <w:r w:rsidRPr="00231F7D">
        <w:rPr>
          <w:rFonts w:ascii="David" w:eastAsia="Calibri" w:hAnsi="David" w:cs="David"/>
          <w:i/>
          <w:iCs/>
          <w:color w:val="000000" w:themeColor="text1"/>
          <w:kern w:val="0"/>
          <w:u w:val="single"/>
          <w:rtl/>
          <w14:ligatures w14:val="none"/>
        </w:rPr>
        <w:t>לאחר</w:t>
      </w:r>
      <w:r w:rsidRPr="00231F7D">
        <w:rPr>
          <w:rFonts w:ascii="David" w:eastAsia="Calibri" w:hAnsi="David" w:cs="David"/>
          <w:i/>
          <w:iCs/>
          <w:color w:val="000000" w:themeColor="text1"/>
          <w:kern w:val="0"/>
          <w:rtl/>
          <w14:ligatures w14:val="none"/>
        </w:rPr>
        <w:t xml:space="preserve"> ההכרזה על שכונת שיקום</w:t>
      </w:r>
      <w:r w:rsidRPr="00231F7D">
        <w:rPr>
          <w:rFonts w:ascii="David" w:eastAsia="Calibri" w:hAnsi="David" w:cs="David" w:hint="cs"/>
          <w:i/>
          <w:iCs/>
          <w:color w:val="000000" w:themeColor="text1"/>
          <w:kern w:val="0"/>
          <w:rtl/>
          <w14:ligatures w14:val="none"/>
        </w:rPr>
        <w:t xml:space="preserve"> אם לאו. בעניין "מושקוביץ" דובר על העיר אופקים שכולה הוכרזה כשכונת שיקום, אבל לא </w:t>
      </w:r>
      <w:proofErr w:type="spellStart"/>
      <w:r w:rsidRPr="00231F7D">
        <w:rPr>
          <w:rFonts w:ascii="David" w:eastAsia="Calibri" w:hAnsi="David" w:cs="David" w:hint="cs"/>
          <w:i/>
          <w:iCs/>
          <w:color w:val="000000" w:themeColor="text1"/>
          <w:kern w:val="0"/>
          <w:rtl/>
          <w14:ligatures w14:val="none"/>
        </w:rPr>
        <w:t>היתה</w:t>
      </w:r>
      <w:proofErr w:type="spellEnd"/>
      <w:r w:rsidRPr="00231F7D">
        <w:rPr>
          <w:rFonts w:ascii="David" w:eastAsia="Calibri" w:hAnsi="David" w:cs="David" w:hint="cs"/>
          <w:i/>
          <w:iCs/>
          <w:color w:val="000000" w:themeColor="text1"/>
          <w:kern w:val="0"/>
          <w:rtl/>
          <w14:ligatures w14:val="none"/>
        </w:rPr>
        <w:t xml:space="preserve"> מחלוקת שדובר על בניה במגרש ריק שתוכנן ונבנה לאחר ההכרזה ונקבע כי </w:t>
      </w:r>
      <w:r w:rsidRPr="00231F7D">
        <w:rPr>
          <w:rFonts w:ascii="David" w:eastAsia="Calibri" w:hAnsi="David" w:cs="David"/>
          <w:i/>
          <w:iCs/>
          <w:color w:val="000000" w:themeColor="text1"/>
          <w:kern w:val="0"/>
          <w:rtl/>
          <w14:ligatures w14:val="none"/>
        </w:rPr>
        <w:t xml:space="preserve">נכון יהיה לקבוע שהפטור </w:t>
      </w:r>
      <w:r w:rsidRPr="00231F7D">
        <w:rPr>
          <w:rFonts w:ascii="David" w:eastAsia="Calibri" w:hAnsi="David" w:cs="David"/>
          <w:i/>
          <w:iCs/>
          <w:color w:val="000000" w:themeColor="text1"/>
          <w:kern w:val="0"/>
          <w:u w:val="single"/>
          <w:rtl/>
          <w14:ligatures w14:val="none"/>
        </w:rPr>
        <w:t xml:space="preserve">לא </w:t>
      </w:r>
      <w:r w:rsidRPr="00231F7D">
        <w:rPr>
          <w:rFonts w:ascii="David" w:eastAsia="Calibri" w:hAnsi="David" w:cs="David"/>
          <w:i/>
          <w:iCs/>
          <w:color w:val="000000" w:themeColor="text1"/>
          <w:kern w:val="0"/>
          <w:rtl/>
          <w14:ligatures w14:val="none"/>
        </w:rPr>
        <w:t xml:space="preserve">חל על יחידות דיור חדשות שנבנו </w:t>
      </w:r>
      <w:r w:rsidRPr="00231F7D">
        <w:rPr>
          <w:rFonts w:ascii="David" w:eastAsia="Calibri" w:hAnsi="David" w:cs="David"/>
          <w:i/>
          <w:iCs/>
          <w:color w:val="000000" w:themeColor="text1"/>
          <w:kern w:val="0"/>
          <w:u w:val="single"/>
          <w:rtl/>
          <w14:ligatures w14:val="none"/>
        </w:rPr>
        <w:t xml:space="preserve">לאחר </w:t>
      </w:r>
      <w:r w:rsidRPr="00231F7D">
        <w:rPr>
          <w:rFonts w:ascii="David" w:eastAsia="Calibri" w:hAnsi="David" w:cs="David"/>
          <w:i/>
          <w:iCs/>
          <w:color w:val="000000" w:themeColor="text1"/>
          <w:kern w:val="0"/>
          <w:rtl/>
          <w14:ligatures w14:val="none"/>
        </w:rPr>
        <w:t>ההכרזה</w:t>
      </w:r>
      <w:r w:rsidRPr="00231F7D">
        <w:rPr>
          <w:rFonts w:ascii="David" w:eastAsia="Calibri" w:hAnsi="David" w:cs="David" w:hint="cs"/>
          <w:i/>
          <w:iCs/>
          <w:color w:val="000000" w:themeColor="text1"/>
          <w:kern w:val="0"/>
          <w:rtl/>
          <w14:ligatures w14:val="none"/>
        </w:rPr>
        <w:t xml:space="preserve">. </w:t>
      </w:r>
      <w:r w:rsidRPr="00231F7D">
        <w:rPr>
          <w:rFonts w:ascii="David" w:eastAsia="Calibri" w:hAnsi="David" w:cs="David" w:hint="cs"/>
          <w:i/>
          <w:iCs/>
          <w:color w:val="000000" w:themeColor="text1"/>
          <w:kern w:val="0"/>
          <w:rtl/>
          <w:lang w:eastAsia="he-IL"/>
          <w14:ligatures w14:val="none"/>
        </w:rPr>
        <w:t>כנ"ל בערר "שמן" שם</w:t>
      </w:r>
      <w:r w:rsidRPr="00231F7D">
        <w:rPr>
          <w:rFonts w:ascii="David" w:eastAsia="Calibri" w:hAnsi="David" w:cs="David"/>
          <w:i/>
          <w:iCs/>
          <w:color w:val="000000" w:themeColor="text1"/>
          <w:kern w:val="0"/>
          <w:rtl/>
          <w:lang w:eastAsia="he-IL"/>
          <w14:ligatures w14:val="none"/>
        </w:rPr>
        <w:t xml:space="preserve"> ההכרזה חלה רק על שכונה מסוימת</w:t>
      </w:r>
      <w:r w:rsidRPr="00231F7D">
        <w:rPr>
          <w:rFonts w:ascii="David" w:eastAsia="Calibri" w:hAnsi="David" w:cs="David" w:hint="cs"/>
          <w:i/>
          <w:iCs/>
          <w:color w:val="000000" w:themeColor="text1"/>
          <w:kern w:val="0"/>
          <w:rtl/>
          <w:lang w:eastAsia="he-IL"/>
          <w14:ligatures w14:val="none"/>
        </w:rPr>
        <w:t xml:space="preserve"> אבל הבניה גם נעשתה לאחר ההכרזה, אך היא לא שנתה את התוצאה הסופית מכפי שנקבע בעניין מושקוביץ</w:t>
      </w:r>
      <w:r w:rsidRPr="00231F7D">
        <w:rPr>
          <w:rFonts w:ascii="David" w:eastAsia="Calibri" w:hAnsi="David" w:cs="David"/>
          <w:i/>
          <w:iCs/>
          <w:color w:val="000000" w:themeColor="text1"/>
          <w:kern w:val="0"/>
          <w:rtl/>
          <w:lang w:eastAsia="he-IL"/>
          <w14:ligatures w14:val="none"/>
        </w:rPr>
        <w:t>.</w:t>
      </w:r>
    </w:p>
    <w:p w:rsidR="005E4144" w:rsidRPr="00231F7D" w:rsidRDefault="005E4144" w:rsidP="00073883">
      <w:pPr>
        <w:numPr>
          <w:ilvl w:val="0"/>
          <w:numId w:val="8"/>
        </w:numPr>
        <w:tabs>
          <w:tab w:val="left" w:pos="850"/>
        </w:tabs>
        <w:spacing w:before="120" w:after="120" w:line="360" w:lineRule="auto"/>
        <w:ind w:left="567" w:right="142" w:firstLine="0"/>
        <w:jc w:val="both"/>
        <w:rPr>
          <w:rFonts w:ascii="David" w:eastAsia="Calibri" w:hAnsi="David" w:cs="David"/>
          <w:i/>
          <w:iCs/>
          <w:color w:val="000000" w:themeColor="text1"/>
          <w:kern w:val="0"/>
          <w:rtl/>
          <w14:ligatures w14:val="none"/>
        </w:rPr>
      </w:pPr>
      <w:r w:rsidRPr="00231F7D">
        <w:rPr>
          <w:rFonts w:ascii="David" w:eastAsia="Calibri" w:hAnsi="David" w:cs="David" w:hint="cs"/>
          <w:i/>
          <w:iCs/>
          <w:color w:val="000000" w:themeColor="text1"/>
          <w:kern w:val="0"/>
          <w:rtl/>
          <w14:ligatures w14:val="none"/>
        </w:rPr>
        <w:t>לסיכום, אנו סבורים כי דווקא בתכליות העומדות בבסיס הפטור, יש כדי להוביל למסקנה כי צדק השמאי המכריע עת החיל את הפטור על 24 הדירות הקיימות, ואין בהכרעתו זו לסתור את ההלכות שנתנו בבית המשפט העליון ושעניינן שונה מעניינינו".</w:t>
      </w:r>
    </w:p>
    <w:p w:rsidR="005E4144" w:rsidRPr="00231F7D" w:rsidRDefault="005E4144" w:rsidP="005E4144">
      <w:pPr>
        <w:pStyle w:val="a9"/>
        <w:numPr>
          <w:ilvl w:val="0"/>
          <w:numId w:val="1"/>
        </w:numPr>
        <w:tabs>
          <w:tab w:val="left" w:pos="283"/>
          <w:tab w:val="left" w:pos="425"/>
          <w:tab w:val="left" w:pos="1244"/>
        </w:tabs>
        <w:spacing w:line="360" w:lineRule="auto"/>
        <w:ind w:right="142"/>
        <w:contextualSpacing w:val="0"/>
        <w:jc w:val="both"/>
        <w:rPr>
          <w:rFonts w:ascii="David" w:hAnsi="David" w:cs="David"/>
          <w:color w:val="000000" w:themeColor="text1"/>
        </w:rPr>
      </w:pPr>
      <w:r w:rsidRPr="00231F7D">
        <w:rPr>
          <w:rFonts w:ascii="David" w:hAnsi="David" w:cs="David" w:hint="cs"/>
          <w:color w:val="000000" w:themeColor="text1"/>
          <w:rtl/>
        </w:rPr>
        <w:t xml:space="preserve">הנה כי כן </w:t>
      </w:r>
      <w:r w:rsidRPr="00231F7D">
        <w:rPr>
          <w:rFonts w:ascii="David" w:eastAsia="Calibri" w:hAnsi="David" w:cs="David" w:hint="cs"/>
          <w:color w:val="000000" w:themeColor="text1"/>
          <w:kern w:val="0"/>
          <w:rtl/>
          <w14:ligatures w14:val="none"/>
        </w:rPr>
        <w:t>כאמור ההלכות בעניין "</w:t>
      </w:r>
      <w:proofErr w:type="spellStart"/>
      <w:r w:rsidRPr="00231F7D">
        <w:rPr>
          <w:rFonts w:ascii="David" w:eastAsia="Calibri" w:hAnsi="David" w:cs="David" w:hint="cs"/>
          <w:color w:val="000000" w:themeColor="text1"/>
          <w:kern w:val="0"/>
          <w:rtl/>
          <w14:ligatures w14:val="none"/>
        </w:rPr>
        <w:t>עמאש</w:t>
      </w:r>
      <w:proofErr w:type="spellEnd"/>
      <w:r w:rsidRPr="00231F7D">
        <w:rPr>
          <w:rFonts w:ascii="David" w:eastAsia="Calibri" w:hAnsi="David" w:cs="David" w:hint="cs"/>
          <w:color w:val="000000" w:themeColor="text1"/>
          <w:kern w:val="0"/>
          <w:rtl/>
          <w14:ligatures w14:val="none"/>
        </w:rPr>
        <w:t xml:space="preserve">" ו"דיסקין" הבחינו בין מצבים של דרכי מימוש היתרי הבניה, תוך קביעה כי במקרה של "בניה חדשה" </w:t>
      </w:r>
      <w:r w:rsidRPr="00231F7D">
        <w:rPr>
          <w:rFonts w:ascii="David" w:eastAsia="Calibri" w:hAnsi="David" w:cs="David"/>
          <w:color w:val="000000" w:themeColor="text1"/>
          <w:kern w:val="0"/>
          <w:rtl/>
          <w14:ligatures w14:val="none"/>
        </w:rPr>
        <w:t>–</w:t>
      </w:r>
      <w:r w:rsidRPr="00231F7D">
        <w:rPr>
          <w:rFonts w:ascii="David" w:eastAsia="Calibri" w:hAnsi="David" w:cs="David" w:hint="cs"/>
          <w:color w:val="000000" w:themeColor="text1"/>
          <w:kern w:val="0"/>
          <w:rtl/>
          <w14:ligatures w14:val="none"/>
        </w:rPr>
        <w:t xml:space="preserve"> בניה חדשה בקרקע ריקה או תוספת דירות חדשות על בניין קיים- לא תחסה תחת הפטור</w:t>
      </w:r>
      <w:r w:rsidRPr="00231F7D">
        <w:rPr>
          <w:rFonts w:ascii="David" w:eastAsia="Calibri" w:hAnsi="David" w:cs="David" w:hint="cs"/>
          <w:b/>
          <w:bCs/>
          <w:color w:val="000000" w:themeColor="text1"/>
          <w:kern w:val="0"/>
          <w:rtl/>
          <w14:ligatures w14:val="none"/>
        </w:rPr>
        <w:t>.</w:t>
      </w:r>
    </w:p>
    <w:p w:rsidR="005E4144" w:rsidRPr="00231F7D" w:rsidRDefault="005E4144" w:rsidP="005E4144">
      <w:pPr>
        <w:pStyle w:val="a9"/>
        <w:numPr>
          <w:ilvl w:val="0"/>
          <w:numId w:val="1"/>
        </w:numPr>
        <w:tabs>
          <w:tab w:val="left" w:pos="283"/>
          <w:tab w:val="left" w:pos="425"/>
          <w:tab w:val="left" w:pos="1244"/>
        </w:tabs>
        <w:spacing w:line="360" w:lineRule="auto"/>
        <w:ind w:right="142"/>
        <w:contextualSpacing w:val="0"/>
        <w:jc w:val="both"/>
        <w:rPr>
          <w:rFonts w:ascii="David" w:hAnsi="David" w:cs="David"/>
          <w:color w:val="000000" w:themeColor="text1"/>
        </w:rPr>
      </w:pPr>
      <w:r w:rsidRPr="00231F7D">
        <w:rPr>
          <w:rFonts w:ascii="David" w:eastAsia="Calibri" w:hAnsi="David" w:cs="David" w:hint="cs"/>
          <w:color w:val="000000" w:themeColor="text1"/>
          <w:kern w:val="0"/>
          <w:rtl/>
          <w14:ligatures w14:val="none"/>
        </w:rPr>
        <w:t xml:space="preserve">אלא ש"בניה חדשה" כעולה מעמדת היועמ"ש שהוגשה בעניין "מדמוני" מתפרשת כבניה בקרקע ריקה </w:t>
      </w:r>
      <w:r w:rsidRPr="00231F7D">
        <w:rPr>
          <w:rFonts w:ascii="David" w:eastAsia="Calibri" w:hAnsi="David" w:cs="David" w:hint="cs"/>
          <w:color w:val="000000" w:themeColor="text1"/>
          <w:kern w:val="0"/>
          <w:u w:val="single"/>
          <w:rtl/>
          <w14:ligatures w14:val="none"/>
        </w:rPr>
        <w:t>או</w:t>
      </w:r>
      <w:r w:rsidRPr="00231F7D">
        <w:rPr>
          <w:rFonts w:ascii="David" w:eastAsia="Calibri" w:hAnsi="David" w:cs="David" w:hint="cs"/>
          <w:color w:val="000000" w:themeColor="text1"/>
          <w:kern w:val="0"/>
          <w:rtl/>
          <w14:ligatures w14:val="none"/>
        </w:rPr>
        <w:t xml:space="preserve"> תוספת דירות חדשות על בניין קיים שלא תחסה תחת הפטור. "מכלל לאו אתה שומע הן", הדירות הקיימות של הדיירים שנהרסות ונבנות שוב, לא נכללות להבנתנו בגדר "בניה חדשה" מה שמחזק את מסקנתנו במקרה זה. </w:t>
      </w:r>
    </w:p>
    <w:p w:rsidR="005E4144" w:rsidRPr="00231F7D" w:rsidRDefault="005E4144" w:rsidP="005E4144">
      <w:pPr>
        <w:pStyle w:val="a9"/>
        <w:numPr>
          <w:ilvl w:val="0"/>
          <w:numId w:val="1"/>
        </w:numPr>
        <w:tabs>
          <w:tab w:val="left" w:pos="283"/>
          <w:tab w:val="left" w:pos="425"/>
          <w:tab w:val="left" w:pos="1244"/>
        </w:tabs>
        <w:spacing w:line="360" w:lineRule="auto"/>
        <w:ind w:right="142"/>
        <w:contextualSpacing w:val="0"/>
        <w:jc w:val="both"/>
        <w:rPr>
          <w:rFonts w:ascii="David" w:hAnsi="David" w:cs="David"/>
          <w:color w:val="000000" w:themeColor="text1"/>
        </w:rPr>
      </w:pPr>
      <w:r w:rsidRPr="00231F7D">
        <w:rPr>
          <w:rFonts w:ascii="David" w:eastAsia="Calibri" w:hAnsi="David" w:cs="David" w:hint="cs"/>
          <w:color w:val="000000" w:themeColor="text1"/>
          <w:kern w:val="0"/>
          <w:rtl/>
          <w14:ligatures w14:val="none"/>
        </w:rPr>
        <w:t xml:space="preserve">כפי שציינו בעניין "לוי סופי", </w:t>
      </w:r>
      <w:r w:rsidRPr="00231F7D">
        <w:rPr>
          <w:rFonts w:ascii="David" w:eastAsia="Calibri" w:hAnsi="David" w:cs="David" w:hint="cs"/>
          <w:b/>
          <w:bCs/>
          <w:color w:val="000000" w:themeColor="text1"/>
          <w:kern w:val="0"/>
          <w:rtl/>
          <w14:ligatures w14:val="none"/>
        </w:rPr>
        <w:t xml:space="preserve">תוצאה אחרת לפיה לא יוכר פטור לפי </w:t>
      </w:r>
      <w:hyperlink r:id="rId17" w:history="1">
        <w:r w:rsidRPr="00231F7D">
          <w:rPr>
            <w:rFonts w:ascii="David" w:eastAsia="Calibri" w:hAnsi="David" w:cs="David" w:hint="eastAsia"/>
            <w:b/>
            <w:bCs/>
            <w:color w:val="000000" w:themeColor="text1"/>
            <w:kern w:val="0"/>
            <w:u w:val="single"/>
            <w:rtl/>
            <w14:ligatures w14:val="none"/>
          </w:rPr>
          <w:t>סעיף</w:t>
        </w:r>
        <w:r w:rsidRPr="00231F7D">
          <w:rPr>
            <w:rFonts w:ascii="David" w:eastAsia="Calibri" w:hAnsi="David" w:cs="David"/>
            <w:b/>
            <w:bCs/>
            <w:color w:val="000000" w:themeColor="text1"/>
            <w:kern w:val="0"/>
            <w:u w:val="single"/>
            <w:rtl/>
            <w14:ligatures w14:val="none"/>
          </w:rPr>
          <w:t xml:space="preserve"> 19 (ב)(1)</w:t>
        </w:r>
      </w:hyperlink>
      <w:r w:rsidRPr="00231F7D">
        <w:rPr>
          <w:rFonts w:ascii="David" w:eastAsia="Calibri" w:hAnsi="David" w:cs="David" w:hint="cs"/>
          <w:b/>
          <w:bCs/>
          <w:color w:val="000000" w:themeColor="text1"/>
          <w:kern w:val="0"/>
          <w:rtl/>
          <w14:ligatures w14:val="none"/>
        </w:rPr>
        <w:t xml:space="preserve"> לתוספת השלישית בגין דירות אותן הורסים ובונים מחדש (להבדיל מדירות חדשות שמתווספות לפרויקט) תביא למצב אבסורדי, שכן </w:t>
      </w:r>
      <w:r w:rsidRPr="00231F7D">
        <w:rPr>
          <w:rFonts w:ascii="David" w:eastAsia="Calibri" w:hAnsi="David" w:cs="David"/>
          <w:b/>
          <w:bCs/>
          <w:color w:val="000000" w:themeColor="text1"/>
          <w:kern w:val="0"/>
          <w:rtl/>
          <w14:ligatures w14:val="none"/>
        </w:rPr>
        <w:t>המשמעות של שלילת הפטור עבור הדירות הקיימות</w:t>
      </w:r>
      <w:r w:rsidRPr="00231F7D">
        <w:rPr>
          <w:rFonts w:ascii="David" w:eastAsia="Calibri" w:hAnsi="David" w:cs="David" w:hint="cs"/>
          <w:b/>
          <w:bCs/>
          <w:color w:val="000000" w:themeColor="text1"/>
          <w:kern w:val="0"/>
          <w:rtl/>
          <w14:ligatures w14:val="none"/>
        </w:rPr>
        <w:t xml:space="preserve">, </w:t>
      </w:r>
      <w:r w:rsidRPr="00231F7D">
        <w:rPr>
          <w:rFonts w:ascii="David" w:eastAsia="Calibri" w:hAnsi="David" w:cs="David"/>
          <w:b/>
          <w:bCs/>
          <w:color w:val="000000" w:themeColor="text1"/>
          <w:kern w:val="0"/>
          <w:rtl/>
          <w14:ligatures w14:val="none"/>
        </w:rPr>
        <w:t xml:space="preserve">עשויה להוביל </w:t>
      </w:r>
      <w:r w:rsidRPr="00231F7D">
        <w:rPr>
          <w:rFonts w:ascii="David" w:eastAsia="Calibri" w:hAnsi="David" w:cs="David" w:hint="cs"/>
          <w:b/>
          <w:bCs/>
          <w:color w:val="000000" w:themeColor="text1"/>
          <w:kern w:val="0"/>
          <w:rtl/>
          <w14:ligatures w14:val="none"/>
        </w:rPr>
        <w:t xml:space="preserve">דווקא </w:t>
      </w:r>
      <w:r w:rsidRPr="00231F7D">
        <w:rPr>
          <w:rFonts w:ascii="David" w:eastAsia="Calibri" w:hAnsi="David" w:cs="David"/>
          <w:b/>
          <w:bCs/>
          <w:color w:val="000000" w:themeColor="text1"/>
          <w:kern w:val="0"/>
          <w:rtl/>
          <w14:ligatures w14:val="none"/>
        </w:rPr>
        <w:t xml:space="preserve">לעידוד שיפוץ וחיזוק המבנים על פני הריסתם ובנייתם מחדש, </w:t>
      </w:r>
      <w:r w:rsidRPr="00231F7D">
        <w:rPr>
          <w:rFonts w:ascii="David" w:eastAsia="Calibri" w:hAnsi="David" w:cs="David" w:hint="cs"/>
          <w:b/>
          <w:bCs/>
          <w:color w:val="000000" w:themeColor="text1"/>
          <w:kern w:val="0"/>
          <w:rtl/>
          <w14:ligatures w14:val="none"/>
        </w:rPr>
        <w:t xml:space="preserve">על אף היתרונות </w:t>
      </w:r>
      <w:r w:rsidR="00977A47" w:rsidRPr="00231F7D">
        <w:rPr>
          <w:rFonts w:ascii="David" w:eastAsia="Calibri" w:hAnsi="David" w:cs="David" w:hint="eastAsia"/>
          <w:b/>
          <w:bCs/>
          <w:color w:val="000000" w:themeColor="text1"/>
          <w:kern w:val="0"/>
          <w:rtl/>
          <w14:ligatures w14:val="none"/>
        </w:rPr>
        <w:t>הגלומים</w:t>
      </w:r>
      <w:r w:rsidR="00977A47" w:rsidRPr="00231F7D">
        <w:rPr>
          <w:rFonts w:ascii="David" w:eastAsia="Calibri" w:hAnsi="David" w:cs="David"/>
          <w:b/>
          <w:bCs/>
          <w:color w:val="000000" w:themeColor="text1"/>
          <w:kern w:val="0"/>
          <w:rtl/>
          <w14:ligatures w14:val="none"/>
        </w:rPr>
        <w:t xml:space="preserve"> </w:t>
      </w:r>
      <w:r w:rsidR="00977A47" w:rsidRPr="00231F7D">
        <w:rPr>
          <w:rFonts w:ascii="David" w:eastAsia="Calibri" w:hAnsi="David" w:cs="David" w:hint="eastAsia"/>
          <w:b/>
          <w:bCs/>
          <w:color w:val="000000" w:themeColor="text1"/>
          <w:kern w:val="0"/>
          <w:rtl/>
          <w14:ligatures w14:val="none"/>
        </w:rPr>
        <w:t>בהריסה</w:t>
      </w:r>
      <w:r w:rsidRPr="00231F7D">
        <w:rPr>
          <w:rFonts w:ascii="David" w:eastAsia="Calibri" w:hAnsi="David" w:cs="David"/>
          <w:b/>
          <w:bCs/>
          <w:color w:val="000000" w:themeColor="text1"/>
          <w:kern w:val="0"/>
          <w:rtl/>
          <w14:ligatures w14:val="none"/>
        </w:rPr>
        <w:t xml:space="preserve"> ובנייה מחדש. אם המטרה היא לעודד את </w:t>
      </w:r>
      <w:r w:rsidRPr="00231F7D">
        <w:rPr>
          <w:rFonts w:ascii="David" w:eastAsia="Calibri" w:hAnsi="David" w:cs="David" w:hint="cs"/>
          <w:b/>
          <w:bCs/>
          <w:color w:val="000000" w:themeColor="text1"/>
          <w:kern w:val="0"/>
          <w:rtl/>
          <w14:ligatures w14:val="none"/>
        </w:rPr>
        <w:t xml:space="preserve">בעלי הדירות בבניין הישן והרעוע לצאת להליך "התחדשות עירונית" אינינו רואים הצדקה להגביל </w:t>
      </w:r>
      <w:r w:rsidRPr="00231F7D">
        <w:rPr>
          <w:rFonts w:ascii="David" w:eastAsia="Calibri" w:hAnsi="David" w:cs="David"/>
          <w:b/>
          <w:bCs/>
          <w:color w:val="000000" w:themeColor="text1"/>
          <w:kern w:val="0"/>
          <w:rtl/>
          <w14:ligatures w14:val="none"/>
        </w:rPr>
        <w:t>את ה</w:t>
      </w:r>
      <w:r w:rsidRPr="00231F7D">
        <w:rPr>
          <w:rFonts w:ascii="David" w:eastAsia="Calibri" w:hAnsi="David" w:cs="David" w:hint="cs"/>
          <w:b/>
          <w:bCs/>
          <w:color w:val="000000" w:themeColor="text1"/>
          <w:kern w:val="0"/>
          <w:rtl/>
          <w14:ligatures w14:val="none"/>
        </w:rPr>
        <w:t xml:space="preserve">פטור </w:t>
      </w:r>
      <w:r w:rsidRPr="00231F7D">
        <w:rPr>
          <w:rFonts w:ascii="David" w:eastAsia="Calibri" w:hAnsi="David" w:cs="David"/>
          <w:b/>
          <w:bCs/>
          <w:color w:val="000000" w:themeColor="text1"/>
          <w:kern w:val="0"/>
          <w:rtl/>
          <w14:ligatures w14:val="none"/>
        </w:rPr>
        <w:t>אך ורק לאפשרות של שיפוץ</w:t>
      </w:r>
      <w:r w:rsidRPr="00231F7D">
        <w:rPr>
          <w:rFonts w:ascii="David" w:eastAsia="Calibri" w:hAnsi="David" w:cs="David" w:hint="cs"/>
          <w:b/>
          <w:bCs/>
          <w:color w:val="000000" w:themeColor="text1"/>
          <w:kern w:val="0"/>
          <w:rtl/>
          <w14:ligatures w14:val="none"/>
        </w:rPr>
        <w:t xml:space="preserve">/ חיזוק </w:t>
      </w:r>
      <w:r w:rsidRPr="00231F7D">
        <w:rPr>
          <w:rFonts w:ascii="David" w:eastAsia="Calibri" w:hAnsi="David" w:cs="David"/>
          <w:b/>
          <w:bCs/>
          <w:color w:val="000000" w:themeColor="text1"/>
          <w:kern w:val="0"/>
          <w:rtl/>
          <w14:ligatures w14:val="none"/>
        </w:rPr>
        <w:t xml:space="preserve">והרחבת הדירות, תוך </w:t>
      </w:r>
      <w:r w:rsidRPr="00231F7D">
        <w:rPr>
          <w:rFonts w:ascii="David" w:eastAsia="Calibri" w:hAnsi="David" w:cs="David" w:hint="cs"/>
          <w:b/>
          <w:bCs/>
          <w:color w:val="000000" w:themeColor="text1"/>
          <w:kern w:val="0"/>
          <w:rtl/>
          <w14:ligatures w14:val="none"/>
        </w:rPr>
        <w:t>"</w:t>
      </w:r>
      <w:r w:rsidRPr="00231F7D">
        <w:rPr>
          <w:rFonts w:ascii="David" w:eastAsia="Calibri" w:hAnsi="David" w:cs="David"/>
          <w:b/>
          <w:bCs/>
          <w:color w:val="000000" w:themeColor="text1"/>
          <w:kern w:val="0"/>
          <w:rtl/>
          <w14:ligatures w14:val="none"/>
        </w:rPr>
        <w:t>הזנחת</w:t>
      </w:r>
      <w:r w:rsidRPr="00231F7D">
        <w:rPr>
          <w:rFonts w:ascii="David" w:eastAsia="Calibri" w:hAnsi="David" w:cs="David" w:hint="cs"/>
          <w:b/>
          <w:bCs/>
          <w:color w:val="000000" w:themeColor="text1"/>
          <w:kern w:val="0"/>
          <w:rtl/>
          <w14:ligatures w14:val="none"/>
        </w:rPr>
        <w:t>"</w:t>
      </w:r>
      <w:r w:rsidRPr="00231F7D">
        <w:rPr>
          <w:rFonts w:ascii="David" w:eastAsia="Calibri" w:hAnsi="David" w:cs="David"/>
          <w:b/>
          <w:bCs/>
          <w:color w:val="000000" w:themeColor="text1"/>
          <w:kern w:val="0"/>
          <w:rtl/>
          <w14:ligatures w14:val="none"/>
        </w:rPr>
        <w:t xml:space="preserve"> האפשרות להריסה ובנייה מחדש, אשר עשויה להוות פתרון מקיף ויעיל יו</w:t>
      </w:r>
      <w:r w:rsidRPr="00231F7D">
        <w:rPr>
          <w:rFonts w:ascii="David" w:eastAsia="Calibri" w:hAnsi="David" w:cs="David" w:hint="cs"/>
          <w:b/>
          <w:bCs/>
          <w:color w:val="000000" w:themeColor="text1"/>
          <w:kern w:val="0"/>
          <w:rtl/>
          <w14:ligatures w14:val="none"/>
        </w:rPr>
        <w:t>תר, תוך הותרת התושבים הקיימים בשכונתם פנימה (כדברי היועמ"ש).</w:t>
      </w:r>
    </w:p>
    <w:p w:rsidR="005E4144" w:rsidRPr="00231F7D" w:rsidRDefault="005E4144" w:rsidP="005E4144">
      <w:pPr>
        <w:pStyle w:val="a9"/>
        <w:numPr>
          <w:ilvl w:val="0"/>
          <w:numId w:val="1"/>
        </w:numPr>
        <w:tabs>
          <w:tab w:val="left" w:pos="283"/>
          <w:tab w:val="left" w:pos="425"/>
          <w:tab w:val="left" w:pos="1244"/>
        </w:tabs>
        <w:spacing w:line="360" w:lineRule="auto"/>
        <w:ind w:right="142"/>
        <w:contextualSpacing w:val="0"/>
        <w:jc w:val="both"/>
        <w:rPr>
          <w:rFonts w:ascii="David" w:hAnsi="David" w:cs="David"/>
          <w:color w:val="000000" w:themeColor="text1"/>
        </w:rPr>
      </w:pPr>
      <w:r w:rsidRPr="00231F7D">
        <w:rPr>
          <w:rFonts w:ascii="David" w:hAnsi="David" w:cs="David" w:hint="cs"/>
          <w:color w:val="000000" w:themeColor="text1"/>
          <w:rtl/>
        </w:rPr>
        <w:t>באותה נשימה נציין כי טיעון החברה לפיו יש להכיר בפטור גם עבור דירות היזם לא רק שלא נמצא לה עיגון חוקי, אלא, שהיא היא שעומדת בניגוד מפורש להלכת בית המשפט העליון בעניין "דיסקין" שם כאמור נשלל פטור שיקום שכונות בגין דירות חדשות שהתווספו על בניין קיים, כך ש"מקל וחומר" אין מקום להכיר בפטור על דירות חדשות שנבנות על מגרש מחדש, ובשילוב עם הלכת "</w:t>
      </w:r>
      <w:proofErr w:type="spellStart"/>
      <w:r w:rsidRPr="00231F7D">
        <w:rPr>
          <w:rFonts w:ascii="David" w:hAnsi="David" w:cs="David" w:hint="cs"/>
          <w:color w:val="000000" w:themeColor="text1"/>
          <w:rtl/>
        </w:rPr>
        <w:t>עמאש</w:t>
      </w:r>
      <w:proofErr w:type="spellEnd"/>
      <w:r w:rsidRPr="00231F7D">
        <w:rPr>
          <w:rFonts w:ascii="David" w:hAnsi="David" w:cs="David" w:hint="cs"/>
          <w:color w:val="000000" w:themeColor="text1"/>
          <w:rtl/>
        </w:rPr>
        <w:t xml:space="preserve">" שלא הכירה בפטור בדירות חדשות שנבנו בקרקע ריקה, אין להכיר בפטור בגין דירות היזם.   </w:t>
      </w:r>
    </w:p>
    <w:p w:rsidR="005E4144" w:rsidRPr="00231F7D" w:rsidRDefault="005E4144" w:rsidP="005E4144">
      <w:pPr>
        <w:pStyle w:val="a9"/>
        <w:numPr>
          <w:ilvl w:val="0"/>
          <w:numId w:val="1"/>
        </w:numPr>
        <w:tabs>
          <w:tab w:val="left" w:pos="283"/>
          <w:tab w:val="left" w:pos="425"/>
          <w:tab w:val="left" w:pos="1244"/>
        </w:tabs>
        <w:spacing w:line="360" w:lineRule="auto"/>
        <w:ind w:right="709"/>
        <w:contextualSpacing w:val="0"/>
        <w:jc w:val="both"/>
        <w:rPr>
          <w:rFonts w:ascii="David" w:hAnsi="David" w:cs="David"/>
          <w:color w:val="000000" w:themeColor="text1"/>
        </w:rPr>
      </w:pPr>
      <w:r w:rsidRPr="00231F7D">
        <w:rPr>
          <w:rFonts w:ascii="David" w:hAnsi="David" w:cs="David" w:hint="cs"/>
          <w:color w:val="000000" w:themeColor="text1"/>
          <w:rtl/>
        </w:rPr>
        <w:t xml:space="preserve">כאמור בעניינינו חלק מהמימושים נעשו במכר וחלק בהיתר בניה. </w:t>
      </w:r>
    </w:p>
    <w:p w:rsidR="005E4144" w:rsidRPr="00231F7D" w:rsidRDefault="005E4144" w:rsidP="005E4144">
      <w:pPr>
        <w:pStyle w:val="a9"/>
        <w:numPr>
          <w:ilvl w:val="0"/>
          <w:numId w:val="1"/>
        </w:numPr>
        <w:tabs>
          <w:tab w:val="left" w:pos="283"/>
          <w:tab w:val="left" w:pos="425"/>
          <w:tab w:val="left" w:pos="1244"/>
        </w:tabs>
        <w:spacing w:line="360" w:lineRule="auto"/>
        <w:contextualSpacing w:val="0"/>
        <w:jc w:val="both"/>
        <w:rPr>
          <w:rFonts w:ascii="David" w:hAnsi="David" w:cs="David"/>
          <w:color w:val="000000" w:themeColor="text1"/>
        </w:rPr>
      </w:pPr>
      <w:r w:rsidRPr="00231F7D">
        <w:rPr>
          <w:rFonts w:ascii="David" w:hAnsi="David" w:cs="David" w:hint="cs"/>
          <w:color w:val="000000" w:themeColor="text1"/>
          <w:rtl/>
        </w:rPr>
        <w:t xml:space="preserve">ברם, אינינו סבורים כי יש רלוונטיות להליך </w:t>
      </w:r>
      <w:r w:rsidR="00977A47" w:rsidRPr="00231F7D">
        <w:rPr>
          <w:rFonts w:ascii="David" w:hAnsi="David" w:cs="David" w:hint="eastAsia"/>
          <w:color w:val="000000" w:themeColor="text1"/>
          <w:rtl/>
        </w:rPr>
        <w:t>מדמוני</w:t>
      </w:r>
      <w:r w:rsidR="00977A47" w:rsidRPr="00231F7D">
        <w:rPr>
          <w:rFonts w:ascii="David" w:hAnsi="David" w:cs="David"/>
          <w:color w:val="000000" w:themeColor="text1"/>
          <w:rtl/>
        </w:rPr>
        <w:t xml:space="preserve"> (</w:t>
      </w:r>
      <w:proofErr w:type="spellStart"/>
      <w:r w:rsidRPr="00231F7D">
        <w:rPr>
          <w:rFonts w:ascii="David" w:hAnsi="David" w:cs="David" w:hint="cs"/>
          <w:color w:val="000000" w:themeColor="text1"/>
          <w:rtl/>
        </w:rPr>
        <w:t>בר"ם</w:t>
      </w:r>
      <w:proofErr w:type="spellEnd"/>
      <w:r w:rsidRPr="00231F7D">
        <w:rPr>
          <w:rFonts w:ascii="David" w:hAnsi="David" w:cs="David" w:hint="cs"/>
          <w:color w:val="000000" w:themeColor="text1"/>
          <w:rtl/>
        </w:rPr>
        <w:t xml:space="preserve"> 2041/21) התלוי ועומד בפני בית המשפט העליון שם עולה שאלת הזכאות לפטור בעת מימוש של מכר</w:t>
      </w:r>
      <w:r w:rsidR="009D2FAC">
        <w:rPr>
          <w:rFonts w:ascii="David" w:hAnsi="David" w:cs="David" w:hint="cs"/>
          <w:color w:val="000000" w:themeColor="text1"/>
          <w:rtl/>
        </w:rPr>
        <w:t>,</w:t>
      </w:r>
      <w:r w:rsidRPr="00231F7D">
        <w:rPr>
          <w:rFonts w:ascii="David" w:hAnsi="David" w:cs="David" w:hint="cs"/>
          <w:color w:val="000000" w:themeColor="text1"/>
          <w:rtl/>
        </w:rPr>
        <w:t xml:space="preserve"> זאת ממספר טעמים. </w:t>
      </w:r>
    </w:p>
    <w:p w:rsidR="005E4144" w:rsidRPr="00231F7D" w:rsidRDefault="005E4144" w:rsidP="005E4144">
      <w:pPr>
        <w:pStyle w:val="a9"/>
        <w:numPr>
          <w:ilvl w:val="0"/>
          <w:numId w:val="1"/>
        </w:numPr>
        <w:tabs>
          <w:tab w:val="left" w:pos="283"/>
          <w:tab w:val="left" w:pos="425"/>
          <w:tab w:val="left" w:pos="1244"/>
        </w:tabs>
        <w:spacing w:line="360" w:lineRule="auto"/>
        <w:contextualSpacing w:val="0"/>
        <w:jc w:val="both"/>
        <w:rPr>
          <w:rFonts w:cs="David"/>
          <w:color w:val="000000" w:themeColor="text1"/>
        </w:rPr>
      </w:pPr>
      <w:r w:rsidRPr="00231F7D">
        <w:rPr>
          <w:rFonts w:ascii="David" w:hAnsi="David" w:cs="David" w:hint="cs"/>
          <w:color w:val="000000" w:themeColor="text1"/>
          <w:rtl/>
        </w:rPr>
        <w:t>ראשית</w:t>
      </w:r>
      <w:r w:rsidR="009D2FAC">
        <w:rPr>
          <w:rFonts w:ascii="David" w:hAnsi="David" w:cs="David" w:hint="cs"/>
          <w:color w:val="000000" w:themeColor="text1"/>
          <w:rtl/>
        </w:rPr>
        <w:t>,</w:t>
      </w:r>
      <w:r w:rsidRPr="00231F7D">
        <w:rPr>
          <w:rFonts w:ascii="David" w:hAnsi="David" w:cs="David" w:hint="cs"/>
          <w:color w:val="000000" w:themeColor="text1"/>
          <w:rtl/>
        </w:rPr>
        <w:t xml:space="preserve"> הועדה המקומית בעצמה סבורה כי להליך בעניין מדמוני אין רלוונטיות למקרה שבענייננו וכך ציינה במסגרת תשובתה לערר. </w:t>
      </w:r>
      <w:r w:rsidRPr="00231F7D">
        <w:rPr>
          <w:rFonts w:cs="David"/>
          <w:color w:val="000000" w:themeColor="text1"/>
          <w:rtl/>
        </w:rPr>
        <w:t xml:space="preserve">עמדת הוועדה המקומית בענייננו </w:t>
      </w:r>
      <w:r w:rsidRPr="00231F7D">
        <w:rPr>
          <w:rFonts w:cs="David" w:hint="cs"/>
          <w:color w:val="000000" w:themeColor="text1"/>
          <w:rtl/>
        </w:rPr>
        <w:t xml:space="preserve">היא כי </w:t>
      </w:r>
      <w:r w:rsidRPr="00231F7D">
        <w:rPr>
          <w:rFonts w:cs="David"/>
          <w:color w:val="000000" w:themeColor="text1"/>
          <w:rtl/>
        </w:rPr>
        <w:t>אין עסקינן במכירת בניינים קיימים כפי שהיה בענ</w:t>
      </w:r>
      <w:r w:rsidRPr="00231F7D">
        <w:rPr>
          <w:rFonts w:cs="David" w:hint="cs"/>
          <w:color w:val="000000" w:themeColor="text1"/>
          <w:rtl/>
        </w:rPr>
        <w:t>י</w:t>
      </w:r>
      <w:r w:rsidRPr="00231F7D">
        <w:rPr>
          <w:rFonts w:cs="David"/>
          <w:color w:val="000000" w:themeColor="text1"/>
          <w:rtl/>
        </w:rPr>
        <w:t xml:space="preserve">ין </w:t>
      </w:r>
      <w:r w:rsidRPr="00231F7D">
        <w:rPr>
          <w:rFonts w:cs="David" w:hint="cs"/>
          <w:color w:val="000000" w:themeColor="text1"/>
          <w:rtl/>
        </w:rPr>
        <w:t>"</w:t>
      </w:r>
      <w:r w:rsidRPr="00231F7D">
        <w:rPr>
          <w:rFonts w:cs="David"/>
          <w:color w:val="000000" w:themeColor="text1"/>
          <w:rtl/>
        </w:rPr>
        <w:t>מדמוני</w:t>
      </w:r>
      <w:r w:rsidRPr="00231F7D">
        <w:rPr>
          <w:rFonts w:cs="David" w:hint="cs"/>
          <w:color w:val="000000" w:themeColor="text1"/>
          <w:rtl/>
        </w:rPr>
        <w:t>"</w:t>
      </w:r>
      <w:r w:rsidRPr="00231F7D">
        <w:rPr>
          <w:rFonts w:cs="David"/>
          <w:color w:val="000000" w:themeColor="text1"/>
          <w:rtl/>
        </w:rPr>
        <w:t>, אלא</w:t>
      </w:r>
      <w:r w:rsidRPr="00231F7D">
        <w:rPr>
          <w:rFonts w:cs="David" w:hint="cs"/>
          <w:color w:val="000000" w:themeColor="text1"/>
          <w:rtl/>
        </w:rPr>
        <w:t>,</w:t>
      </w:r>
      <w:r w:rsidRPr="00231F7D">
        <w:rPr>
          <w:rFonts w:cs="David"/>
          <w:color w:val="000000" w:themeColor="text1"/>
          <w:rtl/>
        </w:rPr>
        <w:t xml:space="preserve"> במכירת זכויות להקים מב</w:t>
      </w:r>
      <w:r w:rsidRPr="00231F7D">
        <w:rPr>
          <w:rFonts w:cs="David" w:hint="cs"/>
          <w:color w:val="000000" w:themeColor="text1"/>
          <w:rtl/>
        </w:rPr>
        <w:t>נ</w:t>
      </w:r>
      <w:r w:rsidRPr="00231F7D">
        <w:rPr>
          <w:rFonts w:cs="David"/>
          <w:color w:val="000000" w:themeColor="text1"/>
          <w:rtl/>
        </w:rPr>
        <w:t xml:space="preserve">ים חדשים ויחידות דיור חדשות בהתאם לתכנית פינוי בינוי מאושרת, ועל כן </w:t>
      </w:r>
      <w:r w:rsidRPr="00231F7D">
        <w:rPr>
          <w:rFonts w:cs="David" w:hint="cs"/>
          <w:color w:val="000000" w:themeColor="text1"/>
          <w:rtl/>
        </w:rPr>
        <w:t>ההלכה הרלוונטית בעניינינו היא "</w:t>
      </w:r>
      <w:proofErr w:type="spellStart"/>
      <w:r w:rsidRPr="00231F7D">
        <w:rPr>
          <w:rFonts w:cs="David" w:hint="cs"/>
          <w:color w:val="000000" w:themeColor="text1"/>
          <w:rtl/>
        </w:rPr>
        <w:t>עמאש</w:t>
      </w:r>
      <w:proofErr w:type="spellEnd"/>
      <w:r w:rsidRPr="00231F7D">
        <w:rPr>
          <w:rFonts w:cs="David" w:hint="cs"/>
          <w:color w:val="000000" w:themeColor="text1"/>
          <w:rtl/>
        </w:rPr>
        <w:t xml:space="preserve">". </w:t>
      </w:r>
    </w:p>
    <w:p w:rsidR="005E4144" w:rsidRPr="00231F7D" w:rsidRDefault="005E4144" w:rsidP="005E4144">
      <w:pPr>
        <w:pStyle w:val="a9"/>
        <w:numPr>
          <w:ilvl w:val="0"/>
          <w:numId w:val="1"/>
        </w:numPr>
        <w:tabs>
          <w:tab w:val="left" w:pos="283"/>
          <w:tab w:val="left" w:pos="425"/>
          <w:tab w:val="left" w:pos="1244"/>
        </w:tabs>
        <w:spacing w:line="360" w:lineRule="auto"/>
        <w:contextualSpacing w:val="0"/>
        <w:jc w:val="both"/>
        <w:rPr>
          <w:rFonts w:ascii="David" w:hAnsi="David" w:cs="David"/>
          <w:color w:val="000000" w:themeColor="text1"/>
        </w:rPr>
      </w:pPr>
      <w:r w:rsidRPr="00231F7D">
        <w:rPr>
          <w:rFonts w:ascii="David" w:hAnsi="David" w:cs="David" w:hint="cs"/>
          <w:color w:val="000000" w:themeColor="text1"/>
          <w:rtl/>
        </w:rPr>
        <w:t>לגופו של עניין, המכר המדובר בעניין "מדמוני" ואליו התייחסה גם עמדת היועמ"ש שהוגשה ביום 6.7.2023 הינה ביחס למכירת דירה של בעל זכויות/תושב הבוחר לעזוב את השכונה (ר' זאת להבדיל ממכר שנעשה במסגרת הסכם פינוי בינוי בו אמנם בעל הדירה חותם על עסקת מכר, אולם, הוא צפוי לקבל דירה בפרויקט ומטבע הדברים אמור להישאר להתגורר באותה שכונה.</w:t>
      </w:r>
      <w:r w:rsidR="009E0DD4">
        <w:rPr>
          <w:rFonts w:ascii="David" w:hAnsi="David" w:cs="David" w:hint="cs"/>
          <w:color w:val="000000" w:themeColor="text1"/>
          <w:rtl/>
        </w:rPr>
        <w:t>)</w:t>
      </w:r>
      <w:r w:rsidRPr="00231F7D">
        <w:rPr>
          <w:rFonts w:ascii="David" w:hAnsi="David" w:cs="David" w:hint="cs"/>
          <w:color w:val="000000" w:themeColor="text1"/>
          <w:rtl/>
        </w:rPr>
        <w:t xml:space="preserve"> </w:t>
      </w:r>
    </w:p>
    <w:p w:rsidR="005E4144" w:rsidRPr="00231F7D" w:rsidRDefault="005E4144" w:rsidP="005E4144">
      <w:pPr>
        <w:pStyle w:val="a9"/>
        <w:tabs>
          <w:tab w:val="left" w:pos="283"/>
          <w:tab w:val="left" w:pos="425"/>
          <w:tab w:val="left" w:pos="1244"/>
        </w:tabs>
        <w:spacing w:line="360" w:lineRule="auto"/>
        <w:ind w:left="360" w:right="709"/>
        <w:contextualSpacing w:val="0"/>
        <w:jc w:val="both"/>
        <w:rPr>
          <w:rFonts w:ascii="David" w:hAnsi="David" w:cs="David"/>
          <w:color w:val="000000" w:themeColor="text1"/>
        </w:rPr>
      </w:pPr>
      <w:r w:rsidRPr="00231F7D">
        <w:rPr>
          <w:rFonts w:ascii="David" w:hAnsi="David" w:cs="David" w:hint="cs"/>
          <w:color w:val="000000" w:themeColor="text1"/>
          <w:rtl/>
        </w:rPr>
        <w:t>וכך נכתב בין היתר בעמדת היועמ"</w:t>
      </w:r>
      <w:r w:rsidR="00977A47" w:rsidRPr="00231F7D">
        <w:rPr>
          <w:rFonts w:ascii="David" w:hAnsi="David" w:cs="David" w:hint="eastAsia"/>
          <w:color w:val="000000" w:themeColor="text1"/>
          <w:rtl/>
        </w:rPr>
        <w:t>ש</w:t>
      </w:r>
      <w:r w:rsidR="00977A47" w:rsidRPr="00231F7D">
        <w:rPr>
          <w:rFonts w:ascii="David" w:hAnsi="David" w:cs="David"/>
          <w:color w:val="000000" w:themeColor="text1"/>
          <w:rtl/>
        </w:rPr>
        <w:t xml:space="preserve"> בעמודים</w:t>
      </w:r>
      <w:r w:rsidRPr="00231F7D">
        <w:rPr>
          <w:rFonts w:ascii="David" w:hAnsi="David" w:cs="David" w:hint="cs"/>
          <w:color w:val="000000" w:themeColor="text1"/>
          <w:rtl/>
        </w:rPr>
        <w:t xml:space="preserve"> 12-13 בסעיפים 45-46 כדלקמן:</w:t>
      </w:r>
    </w:p>
    <w:p w:rsidR="005E4144" w:rsidRPr="00231F7D" w:rsidRDefault="005E4144" w:rsidP="005E4144">
      <w:pPr>
        <w:pStyle w:val="a9"/>
        <w:tabs>
          <w:tab w:val="left" w:pos="283"/>
          <w:tab w:val="left" w:pos="425"/>
          <w:tab w:val="left" w:pos="1244"/>
        </w:tabs>
        <w:spacing w:line="360" w:lineRule="auto"/>
        <w:ind w:left="360" w:right="709"/>
        <w:contextualSpacing w:val="0"/>
        <w:jc w:val="both"/>
        <w:rPr>
          <w:rFonts w:ascii="David" w:hAnsi="David" w:cs="David"/>
          <w:color w:val="000000" w:themeColor="text1"/>
        </w:rPr>
      </w:pPr>
      <w:r w:rsidRPr="00231F7D">
        <w:rPr>
          <w:rFonts w:ascii="David" w:hAnsi="David" w:cs="David"/>
          <w:noProof/>
          <w:color w:val="000000" w:themeColor="text1"/>
          <w:rtl/>
        </w:rPr>
        <w:drawing>
          <wp:inline distT="0" distB="0" distL="0" distR="0" wp14:anchorId="3E6FE8BA" wp14:editId="66400754">
            <wp:extent cx="4552950" cy="3032567"/>
            <wp:effectExtent l="0" t="0" r="0" b="0"/>
            <wp:docPr id="177425699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56990" name=""/>
                    <pic:cNvPicPr/>
                  </pic:nvPicPr>
                  <pic:blipFill rotWithShape="1">
                    <a:blip r:embed="rId18"/>
                    <a:srcRect l="3511" t="-1" r="1176" b="7670"/>
                    <a:stretch>
                      <a:fillRect/>
                    </a:stretch>
                  </pic:blipFill>
                  <pic:spPr bwMode="auto">
                    <a:xfrm>
                      <a:off x="0" y="0"/>
                      <a:ext cx="4568396" cy="3042855"/>
                    </a:xfrm>
                    <a:prstGeom prst="rect">
                      <a:avLst/>
                    </a:prstGeom>
                    <a:ln>
                      <a:noFill/>
                    </a:ln>
                    <a:extLst>
                      <a:ext uri="{53640926-AAD7-44D8-BBD7-CCE9431645EC}">
                        <a14:shadowObscured xmlns:a14="http://schemas.microsoft.com/office/drawing/2010/main"/>
                      </a:ext>
                    </a:extLst>
                  </pic:spPr>
                </pic:pic>
              </a:graphicData>
            </a:graphic>
          </wp:inline>
        </w:drawing>
      </w:r>
    </w:p>
    <w:p w:rsidR="005E4144" w:rsidRPr="00231F7D" w:rsidRDefault="005E4144" w:rsidP="005E4144">
      <w:pPr>
        <w:tabs>
          <w:tab w:val="left" w:pos="283"/>
          <w:tab w:val="left" w:pos="425"/>
          <w:tab w:val="left" w:pos="1244"/>
        </w:tabs>
        <w:spacing w:line="360" w:lineRule="auto"/>
        <w:ind w:right="709"/>
        <w:jc w:val="center"/>
        <w:rPr>
          <w:rFonts w:ascii="David" w:hAnsi="David" w:cs="David"/>
          <w:color w:val="000000" w:themeColor="text1"/>
        </w:rPr>
      </w:pPr>
      <w:r w:rsidRPr="00231F7D">
        <w:rPr>
          <w:rFonts w:ascii="David" w:hAnsi="David" w:cs="David" w:hint="cs"/>
          <w:color w:val="000000" w:themeColor="text1"/>
          <w:rtl/>
        </w:rPr>
        <w:t xml:space="preserve">              </w:t>
      </w:r>
      <w:r w:rsidRPr="00231F7D">
        <w:rPr>
          <w:rFonts w:ascii="David" w:hAnsi="David" w:cs="David"/>
          <w:noProof/>
          <w:color w:val="000000" w:themeColor="text1"/>
          <w:rtl/>
        </w:rPr>
        <w:drawing>
          <wp:inline distT="0" distB="0" distL="0" distR="0" wp14:anchorId="4166009A" wp14:editId="0131DAAF">
            <wp:extent cx="4641449" cy="894624"/>
            <wp:effectExtent l="0" t="0" r="0" b="1270"/>
            <wp:docPr id="14165841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84197" name=""/>
                    <pic:cNvPicPr/>
                  </pic:nvPicPr>
                  <pic:blipFill rotWithShape="1">
                    <a:blip r:embed="rId19"/>
                    <a:srcRect l="-6998" t="5887" r="1962" b="13399"/>
                    <a:stretch>
                      <a:fillRect/>
                    </a:stretch>
                  </pic:blipFill>
                  <pic:spPr bwMode="auto">
                    <a:xfrm>
                      <a:off x="0" y="0"/>
                      <a:ext cx="4712798" cy="908376"/>
                    </a:xfrm>
                    <a:prstGeom prst="rect">
                      <a:avLst/>
                    </a:prstGeom>
                    <a:ln>
                      <a:noFill/>
                    </a:ln>
                    <a:extLst>
                      <a:ext uri="{53640926-AAD7-44D8-BBD7-CCE9431645EC}">
                        <a14:shadowObscured xmlns:a14="http://schemas.microsoft.com/office/drawing/2010/main"/>
                      </a:ext>
                    </a:extLst>
                  </pic:spPr>
                </pic:pic>
              </a:graphicData>
            </a:graphic>
          </wp:inline>
        </w:drawing>
      </w:r>
    </w:p>
    <w:p w:rsidR="005E4144" w:rsidRPr="00231F7D" w:rsidRDefault="005E4144" w:rsidP="005E4144">
      <w:pPr>
        <w:pStyle w:val="a9"/>
        <w:tabs>
          <w:tab w:val="left" w:pos="283"/>
          <w:tab w:val="left" w:pos="425"/>
          <w:tab w:val="left" w:pos="1244"/>
        </w:tabs>
        <w:spacing w:line="360" w:lineRule="auto"/>
        <w:ind w:left="360" w:right="709"/>
        <w:contextualSpacing w:val="0"/>
        <w:jc w:val="both"/>
        <w:rPr>
          <w:rFonts w:ascii="David" w:hAnsi="David" w:cs="David"/>
          <w:color w:val="000000" w:themeColor="text1"/>
          <w:rtl/>
        </w:rPr>
      </w:pPr>
      <w:r w:rsidRPr="00231F7D">
        <w:rPr>
          <w:rFonts w:ascii="David" w:hAnsi="David" w:cs="David" w:hint="cs"/>
          <w:color w:val="000000" w:themeColor="text1"/>
          <w:rtl/>
        </w:rPr>
        <w:t xml:space="preserve">ובעמוד 17 </w:t>
      </w:r>
      <w:proofErr w:type="spellStart"/>
      <w:r w:rsidRPr="00231F7D">
        <w:rPr>
          <w:rFonts w:ascii="David" w:hAnsi="David" w:cs="David" w:hint="cs"/>
          <w:color w:val="000000" w:themeColor="text1"/>
          <w:rtl/>
        </w:rPr>
        <w:t>סיפת</w:t>
      </w:r>
      <w:proofErr w:type="spellEnd"/>
      <w:r w:rsidRPr="00231F7D">
        <w:rPr>
          <w:rFonts w:ascii="David" w:hAnsi="David" w:cs="David" w:hint="cs"/>
          <w:color w:val="000000" w:themeColor="text1"/>
          <w:rtl/>
        </w:rPr>
        <w:t xml:space="preserve"> סעיף 55:</w:t>
      </w:r>
    </w:p>
    <w:p w:rsidR="005E4144" w:rsidRPr="00231F7D" w:rsidRDefault="005E4144" w:rsidP="005E4144">
      <w:pPr>
        <w:pStyle w:val="a9"/>
        <w:tabs>
          <w:tab w:val="left" w:pos="283"/>
          <w:tab w:val="left" w:pos="425"/>
          <w:tab w:val="left" w:pos="1244"/>
        </w:tabs>
        <w:spacing w:line="360" w:lineRule="auto"/>
        <w:ind w:left="360" w:right="709"/>
        <w:contextualSpacing w:val="0"/>
        <w:jc w:val="center"/>
        <w:rPr>
          <w:rFonts w:ascii="David" w:hAnsi="David" w:cs="David"/>
          <w:color w:val="000000" w:themeColor="text1"/>
        </w:rPr>
      </w:pPr>
      <w:r w:rsidRPr="00231F7D">
        <w:rPr>
          <w:rFonts w:ascii="David" w:hAnsi="David" w:cs="David"/>
          <w:noProof/>
          <w:color w:val="000000" w:themeColor="text1"/>
          <w:rtl/>
        </w:rPr>
        <w:drawing>
          <wp:inline distT="0" distB="0" distL="0" distR="0" wp14:anchorId="709F0AAB" wp14:editId="20692A93">
            <wp:extent cx="4178300" cy="816015"/>
            <wp:effectExtent l="0" t="0" r="0" b="3175"/>
            <wp:docPr id="16306783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7830" name=""/>
                    <pic:cNvPicPr/>
                  </pic:nvPicPr>
                  <pic:blipFill>
                    <a:blip r:embed="rId20"/>
                    <a:stretch>
                      <a:fillRect/>
                    </a:stretch>
                  </pic:blipFill>
                  <pic:spPr>
                    <a:xfrm>
                      <a:off x="0" y="0"/>
                      <a:ext cx="4204794" cy="821189"/>
                    </a:xfrm>
                    <a:prstGeom prst="rect">
                      <a:avLst/>
                    </a:prstGeom>
                  </pic:spPr>
                </pic:pic>
              </a:graphicData>
            </a:graphic>
          </wp:inline>
        </w:drawing>
      </w:r>
    </w:p>
    <w:p w:rsidR="005E4144" w:rsidRPr="00231F7D" w:rsidRDefault="005E4144" w:rsidP="005E4144">
      <w:pPr>
        <w:pStyle w:val="a9"/>
        <w:numPr>
          <w:ilvl w:val="0"/>
          <w:numId w:val="1"/>
        </w:numPr>
        <w:tabs>
          <w:tab w:val="left" w:pos="283"/>
          <w:tab w:val="left" w:pos="425"/>
          <w:tab w:val="left" w:pos="1244"/>
        </w:tabs>
        <w:spacing w:line="360" w:lineRule="auto"/>
        <w:contextualSpacing w:val="0"/>
        <w:jc w:val="both"/>
        <w:rPr>
          <w:rFonts w:ascii="David" w:hAnsi="David" w:cs="David"/>
          <w:color w:val="000000" w:themeColor="text1"/>
        </w:rPr>
      </w:pPr>
      <w:r w:rsidRPr="00231F7D">
        <w:rPr>
          <w:rFonts w:ascii="David" w:hAnsi="David" w:cs="David" w:hint="cs"/>
          <w:color w:val="000000" w:themeColor="text1"/>
          <w:rtl/>
        </w:rPr>
        <w:t>על כן המכר אליו התייחסו בעמדת היועמ"ש בעניין "מדמוני" הינה ביחס לבעל דירה שמוכר את דירתו ועוזב את השכונה. ואין לה (כפי שאף הסכימה הועדה המקומית) כל קשר לשאלה העולה בעניינינו.</w:t>
      </w:r>
    </w:p>
    <w:p w:rsidR="005E4144" w:rsidRPr="00231F7D" w:rsidRDefault="005E4144" w:rsidP="005E4144">
      <w:pPr>
        <w:pStyle w:val="a9"/>
        <w:numPr>
          <w:ilvl w:val="0"/>
          <w:numId w:val="1"/>
        </w:numPr>
        <w:tabs>
          <w:tab w:val="left" w:pos="283"/>
          <w:tab w:val="left" w:pos="425"/>
          <w:tab w:val="left" w:pos="1244"/>
        </w:tabs>
        <w:spacing w:line="360" w:lineRule="auto"/>
        <w:contextualSpacing w:val="0"/>
        <w:jc w:val="both"/>
        <w:rPr>
          <w:rFonts w:ascii="David" w:hAnsi="David" w:cs="David"/>
          <w:color w:val="000000" w:themeColor="text1"/>
        </w:rPr>
      </w:pPr>
      <w:r w:rsidRPr="00231F7D">
        <w:rPr>
          <w:rFonts w:ascii="David" w:hAnsi="David" w:cs="David" w:hint="cs"/>
          <w:color w:val="000000" w:themeColor="text1"/>
          <w:rtl/>
        </w:rPr>
        <w:t xml:space="preserve">ודוק. העובדה שבטרם הוצאת ההיתר בעלי הדירות חתמו על הסכם פינוי בינוי כחלק מתהליך פרויקט של ההתחדשות העירונית אינה השאלה למימוש במכר כפי העולה בעניין "מדמוני". </w:t>
      </w:r>
    </w:p>
    <w:p w:rsidR="005E4144" w:rsidRPr="00231F7D" w:rsidRDefault="005E4144" w:rsidP="005E4144">
      <w:pPr>
        <w:pStyle w:val="a9"/>
        <w:numPr>
          <w:ilvl w:val="0"/>
          <w:numId w:val="1"/>
        </w:numPr>
        <w:tabs>
          <w:tab w:val="left" w:pos="283"/>
          <w:tab w:val="left" w:pos="425"/>
          <w:tab w:val="left" w:pos="1244"/>
        </w:tabs>
        <w:spacing w:line="360" w:lineRule="auto"/>
        <w:contextualSpacing w:val="0"/>
        <w:jc w:val="both"/>
        <w:rPr>
          <w:rFonts w:ascii="David" w:hAnsi="David" w:cs="David"/>
          <w:color w:val="000000" w:themeColor="text1"/>
        </w:rPr>
      </w:pPr>
      <w:r w:rsidRPr="00231F7D">
        <w:rPr>
          <w:rFonts w:ascii="David" w:hAnsi="David" w:cs="David" w:hint="cs"/>
          <w:color w:val="000000" w:themeColor="text1"/>
          <w:rtl/>
        </w:rPr>
        <w:t xml:space="preserve">נוכח כל האמור, הננו סבורים כי </w:t>
      </w:r>
      <w:r w:rsidRPr="00231F7D">
        <w:rPr>
          <w:rFonts w:ascii="David" w:hAnsi="David" w:cs="David" w:hint="cs"/>
          <w:color w:val="000000" w:themeColor="text1"/>
          <w:u w:val="single"/>
          <w:rtl/>
        </w:rPr>
        <w:t>אין להחיל את הפטור שיקום שכונות על הבניה החדשה ואולם כן יש להחילו על דירות התמורה המתקבלות במקום הדירות הקיימות</w:t>
      </w:r>
      <w:r w:rsidRPr="00231F7D">
        <w:rPr>
          <w:rFonts w:ascii="David" w:hAnsi="David" w:cs="David" w:hint="cs"/>
          <w:color w:val="000000" w:themeColor="text1"/>
          <w:rtl/>
        </w:rPr>
        <w:t xml:space="preserve">. בהתאם דין טענות הצדדים בעניין פטור שיקום שכונות להידחות, ויש להותיר את הכרעת השמאית המכריעה בהחלתה הפטור </w:t>
      </w:r>
      <w:r w:rsidRPr="00231F7D">
        <w:rPr>
          <w:rFonts w:ascii="David" w:hAnsi="David" w:cs="David" w:hint="cs"/>
          <w:b/>
          <w:bCs/>
          <w:color w:val="000000" w:themeColor="text1"/>
          <w:rtl/>
        </w:rPr>
        <w:t>על דירות הבעלים בלבד</w:t>
      </w:r>
      <w:r w:rsidRPr="00231F7D">
        <w:rPr>
          <w:rFonts w:ascii="David" w:hAnsi="David" w:cs="David" w:hint="cs"/>
          <w:color w:val="000000" w:themeColor="text1"/>
          <w:rtl/>
        </w:rPr>
        <w:t xml:space="preserve">, על כנה. </w:t>
      </w:r>
    </w:p>
    <w:p w:rsidR="005E4144" w:rsidRPr="00231F7D" w:rsidRDefault="005E4144" w:rsidP="005E4144">
      <w:pPr>
        <w:tabs>
          <w:tab w:val="left" w:pos="283"/>
          <w:tab w:val="left" w:pos="425"/>
          <w:tab w:val="left" w:pos="1244"/>
        </w:tabs>
        <w:spacing w:line="360" w:lineRule="auto"/>
        <w:jc w:val="both"/>
        <w:rPr>
          <w:rFonts w:ascii="David" w:hAnsi="David" w:cs="David"/>
          <w:b/>
          <w:bCs/>
          <w:color w:val="000000" w:themeColor="text1"/>
          <w:rtl/>
        </w:rPr>
      </w:pPr>
    </w:p>
    <w:p w:rsidR="005E4144" w:rsidRPr="00231F7D" w:rsidRDefault="005E4144" w:rsidP="005C5148">
      <w:pPr>
        <w:pStyle w:val="3"/>
        <w:spacing w:line="360" w:lineRule="auto"/>
        <w:rPr>
          <w:rtl/>
        </w:rPr>
      </w:pPr>
      <w:bookmarkStart w:id="19" w:name="_Toc203992508"/>
      <w:bookmarkStart w:id="20" w:name="_Toc204504391"/>
      <w:r>
        <w:rPr>
          <w:rFonts w:hint="cs"/>
          <w:rtl/>
        </w:rPr>
        <w:t>א</w:t>
      </w:r>
      <w:r w:rsidRPr="00231F7D">
        <w:rPr>
          <w:rFonts w:hint="cs"/>
          <w:rtl/>
        </w:rPr>
        <w:t>.3 טענת הועדה המקומית ל</w:t>
      </w:r>
      <w:r w:rsidRPr="00231F7D">
        <w:rPr>
          <w:rtl/>
        </w:rPr>
        <w:t xml:space="preserve">טעות במתן פטור מהיטל השבחה בגין שיקום שכונות ביחס </w:t>
      </w:r>
      <w:r w:rsidRPr="00231F7D">
        <w:rPr>
          <w:rFonts w:hint="cs"/>
          <w:rtl/>
        </w:rPr>
        <w:t>ל</w:t>
      </w:r>
      <w:r w:rsidRPr="00231F7D">
        <w:rPr>
          <w:rtl/>
        </w:rPr>
        <w:t>מדרגת ההשבחה בגין ההקלה לתוספת 90 יח"ד.</w:t>
      </w:r>
      <w:bookmarkEnd w:id="19"/>
      <w:bookmarkEnd w:id="20"/>
    </w:p>
    <w:p w:rsidR="005E4144" w:rsidRPr="00231F7D" w:rsidRDefault="005E4144" w:rsidP="005E4144">
      <w:pPr>
        <w:spacing w:line="360" w:lineRule="auto"/>
        <w:ind w:left="-142"/>
        <w:jc w:val="both"/>
        <w:rPr>
          <w:rFonts w:ascii="David" w:hAnsi="David" w:cs="David"/>
          <w:color w:val="000000" w:themeColor="text1"/>
        </w:rPr>
      </w:pPr>
      <w:r w:rsidRPr="00231F7D">
        <w:rPr>
          <w:rFonts w:ascii="David" w:hAnsi="David" w:cs="David" w:hint="cs"/>
          <w:color w:val="000000" w:themeColor="text1"/>
          <w:u w:val="thick"/>
          <w:rtl/>
        </w:rPr>
        <w:t xml:space="preserve">טיעון הועדה המקומית </w:t>
      </w:r>
    </w:p>
    <w:p w:rsidR="005E4144" w:rsidRPr="00231F7D" w:rsidRDefault="005E4144" w:rsidP="005C5148">
      <w:pPr>
        <w:pStyle w:val="a9"/>
        <w:numPr>
          <w:ilvl w:val="0"/>
          <w:numId w:val="1"/>
        </w:numPr>
        <w:tabs>
          <w:tab w:val="left" w:pos="425"/>
        </w:tabs>
        <w:spacing w:line="360" w:lineRule="auto"/>
        <w:contextualSpacing w:val="0"/>
        <w:jc w:val="both"/>
        <w:rPr>
          <w:rFonts w:ascii="David" w:hAnsi="David" w:cs="David"/>
          <w:color w:val="000000" w:themeColor="text1"/>
        </w:rPr>
      </w:pPr>
      <w:r w:rsidRPr="00231F7D">
        <w:rPr>
          <w:rFonts w:ascii="David" w:hAnsi="David" w:cs="David"/>
          <w:color w:val="000000" w:themeColor="text1"/>
          <w:rtl/>
        </w:rPr>
        <w:t>הועדה המקומית טוענת שהשמאית המכריעה שגתה כשהחילה את הפטור לשיקום שכונות לדירות הבעלים גם ביחס לזכויות הבניה שנוספו בהקלה. לשיטת הועדה המקומית תוספת הזכויות שאושרה בהקלה</w:t>
      </w:r>
      <w:r w:rsidRPr="00231F7D">
        <w:rPr>
          <w:rFonts w:ascii="David" w:hAnsi="David" w:cs="David" w:hint="cs"/>
          <w:color w:val="000000" w:themeColor="text1"/>
          <w:rtl/>
        </w:rPr>
        <w:t>,</w:t>
      </w:r>
      <w:r w:rsidRPr="00231F7D">
        <w:rPr>
          <w:rFonts w:ascii="David" w:hAnsi="David" w:cs="David"/>
          <w:color w:val="000000" w:themeColor="text1"/>
          <w:rtl/>
        </w:rPr>
        <w:t xml:space="preserve"> אינה רלוונטית לדירות </w:t>
      </w:r>
      <w:r w:rsidRPr="00231F7D">
        <w:rPr>
          <w:rFonts w:ascii="David" w:hAnsi="David" w:cs="David" w:hint="cs"/>
          <w:color w:val="000000" w:themeColor="text1"/>
          <w:rtl/>
        </w:rPr>
        <w:t>הבעלים</w:t>
      </w:r>
      <w:r w:rsidRPr="00231F7D">
        <w:rPr>
          <w:rFonts w:ascii="David" w:hAnsi="David" w:cs="David"/>
          <w:color w:val="000000" w:themeColor="text1"/>
          <w:rtl/>
        </w:rPr>
        <w:t xml:space="preserve"> מאחר והם מקבלים את כל הדירות שלהם מתוך זכויות הבניה המוקנות למתחם בתכניות המשביחות. </w:t>
      </w:r>
    </w:p>
    <w:p w:rsidR="005E4144" w:rsidRPr="00231F7D" w:rsidRDefault="005E4144" w:rsidP="005C5148">
      <w:pPr>
        <w:pStyle w:val="a9"/>
        <w:numPr>
          <w:ilvl w:val="0"/>
          <w:numId w:val="1"/>
        </w:numPr>
        <w:spacing w:line="360" w:lineRule="auto"/>
        <w:ind w:left="283" w:hanging="425"/>
        <w:contextualSpacing w:val="0"/>
        <w:jc w:val="both"/>
        <w:rPr>
          <w:rFonts w:ascii="David" w:hAnsi="David" w:cs="David"/>
          <w:color w:val="000000" w:themeColor="text1"/>
        </w:rPr>
      </w:pPr>
      <w:r w:rsidRPr="00231F7D">
        <w:rPr>
          <w:rFonts w:ascii="David" w:hAnsi="David" w:cs="David" w:hint="cs"/>
          <w:color w:val="000000" w:themeColor="text1"/>
          <w:rtl/>
        </w:rPr>
        <w:t xml:space="preserve">ההקלה שאושרה הינה תוספת זכויות בניה של 90 יח"ד בשטח של 5,328 מ"ר עיקרי + 1,125 מ"ר ממ"דים + 677 מ"ר מרפסת זיז. </w:t>
      </w:r>
    </w:p>
    <w:p w:rsidR="005E4144" w:rsidRPr="00231F7D" w:rsidRDefault="005E4144" w:rsidP="005C5148">
      <w:pPr>
        <w:pStyle w:val="a9"/>
        <w:numPr>
          <w:ilvl w:val="0"/>
          <w:numId w:val="1"/>
        </w:numPr>
        <w:spacing w:line="360" w:lineRule="auto"/>
        <w:ind w:left="283" w:hanging="425"/>
        <w:contextualSpacing w:val="0"/>
        <w:jc w:val="both"/>
        <w:rPr>
          <w:rFonts w:ascii="David" w:hAnsi="David" w:cs="David"/>
          <w:color w:val="000000" w:themeColor="text1"/>
        </w:rPr>
      </w:pPr>
      <w:r w:rsidRPr="00231F7D">
        <w:rPr>
          <w:rFonts w:ascii="David" w:hAnsi="David" w:cs="David" w:hint="cs"/>
          <w:color w:val="000000" w:themeColor="text1"/>
          <w:rtl/>
        </w:rPr>
        <w:t xml:space="preserve">תוספת זו של זכויות בניה אינה רלוונטית לפטור שיקום שכונות המוקנה לבעלים הקיימים, זאת מאחר וכל התוספת הנ"ל נמכרה ע"י הבעלים הקיימים ליזם, ואילו הבעלים הקיימים מקבלים את כל הדירות החדשות המובטחות להם עפ"י הסכם פינוי בינוי עם היזם </w:t>
      </w:r>
      <w:r w:rsidRPr="00231F7D">
        <w:rPr>
          <w:rFonts w:ascii="David" w:hAnsi="David" w:cs="David"/>
          <w:color w:val="000000" w:themeColor="text1"/>
          <w:rtl/>
        </w:rPr>
        <w:t>–</w:t>
      </w:r>
      <w:r w:rsidRPr="00231F7D">
        <w:rPr>
          <w:rFonts w:ascii="David" w:hAnsi="David" w:cs="David" w:hint="cs"/>
          <w:color w:val="000000" w:themeColor="text1"/>
          <w:rtl/>
        </w:rPr>
        <w:t xml:space="preserve"> מתוך זכויות הבנייה המוקנות למתחם בתכניות המשביחות.</w:t>
      </w:r>
    </w:p>
    <w:p w:rsidR="005E4144" w:rsidRPr="00231F7D" w:rsidRDefault="005E4144" w:rsidP="005C5148">
      <w:pPr>
        <w:pStyle w:val="a9"/>
        <w:numPr>
          <w:ilvl w:val="0"/>
          <w:numId w:val="1"/>
        </w:numPr>
        <w:spacing w:line="360" w:lineRule="auto"/>
        <w:ind w:left="283" w:hanging="425"/>
        <w:contextualSpacing w:val="0"/>
        <w:jc w:val="both"/>
        <w:rPr>
          <w:rFonts w:ascii="David" w:hAnsi="David" w:cs="David"/>
          <w:color w:val="000000" w:themeColor="text1"/>
        </w:rPr>
      </w:pPr>
      <w:r w:rsidRPr="00231F7D">
        <w:rPr>
          <w:rFonts w:ascii="David" w:hAnsi="David" w:cs="David" w:hint="cs"/>
          <w:color w:val="000000" w:themeColor="text1"/>
          <w:rtl/>
        </w:rPr>
        <w:t xml:space="preserve">לפיכך, לשיטת השמאית המכריעה (הנשללת ע"י הוועדה המקומית), לפיה פטור "שיקום שכונות" חל במקרה זה, הרי שהפטור חל ביחס לתכניות המשביחות ואינו חל ביחס לזכויות הבניה הנוספות שהוקנו בהקלה, אשר לבעלים אין כל חלק בהן והן אינן משפיעות על דירות התמורה לבעלים. </w:t>
      </w:r>
    </w:p>
    <w:p w:rsidR="005E4144" w:rsidRPr="001E2F0B" w:rsidRDefault="005E4144" w:rsidP="001E2F0B">
      <w:pPr>
        <w:pStyle w:val="a9"/>
        <w:numPr>
          <w:ilvl w:val="0"/>
          <w:numId w:val="1"/>
        </w:numPr>
        <w:spacing w:line="360" w:lineRule="auto"/>
        <w:ind w:left="283" w:hanging="425"/>
        <w:contextualSpacing w:val="0"/>
        <w:jc w:val="both"/>
        <w:rPr>
          <w:rFonts w:ascii="David" w:hAnsi="David" w:cs="David"/>
          <w:color w:val="000000" w:themeColor="text1"/>
        </w:rPr>
      </w:pPr>
      <w:r w:rsidRPr="00231F7D">
        <w:rPr>
          <w:rFonts w:ascii="David" w:hAnsi="David" w:cs="David" w:hint="cs"/>
          <w:color w:val="000000" w:themeColor="text1"/>
          <w:rtl/>
        </w:rPr>
        <w:t xml:space="preserve">בנסיבות אלה, טענה הועדה המקומית כי תחשיבי השומות המכריעות לאומדן היטלי ההשבחה בגין ההקלה בתרחיש של פטור "שיקום שכונות" אינם רלוונטיים וצריכים להתבטל. </w:t>
      </w:r>
    </w:p>
    <w:p w:rsidR="005E4144" w:rsidRPr="00231F7D" w:rsidRDefault="005E4144" w:rsidP="005E4144">
      <w:pPr>
        <w:spacing w:line="360" w:lineRule="auto"/>
        <w:jc w:val="both"/>
        <w:rPr>
          <w:rFonts w:ascii="David" w:hAnsi="David" w:cs="David"/>
          <w:color w:val="000000" w:themeColor="text1"/>
          <w:u w:val="thick"/>
          <w:rtl/>
        </w:rPr>
      </w:pPr>
      <w:r w:rsidRPr="00231F7D">
        <w:rPr>
          <w:rFonts w:ascii="David" w:hAnsi="David" w:cs="David" w:hint="cs"/>
          <w:color w:val="000000" w:themeColor="text1"/>
          <w:u w:val="thick"/>
          <w:rtl/>
        </w:rPr>
        <w:t xml:space="preserve">תשובת החברה </w:t>
      </w:r>
    </w:p>
    <w:p w:rsidR="005E4144" w:rsidRPr="00231F7D" w:rsidRDefault="005E4144" w:rsidP="001E2F0B">
      <w:pPr>
        <w:pStyle w:val="a9"/>
        <w:numPr>
          <w:ilvl w:val="0"/>
          <w:numId w:val="1"/>
        </w:numPr>
        <w:tabs>
          <w:tab w:val="left" w:pos="425"/>
        </w:tabs>
        <w:spacing w:line="360" w:lineRule="auto"/>
        <w:ind w:left="357" w:hanging="357"/>
        <w:contextualSpacing w:val="0"/>
        <w:jc w:val="both"/>
        <w:rPr>
          <w:rFonts w:ascii="David" w:hAnsi="David" w:cs="David"/>
          <w:color w:val="000000" w:themeColor="text1"/>
        </w:rPr>
      </w:pPr>
      <w:r w:rsidRPr="00231F7D">
        <w:rPr>
          <w:rFonts w:ascii="David" w:hAnsi="David" w:cs="David" w:hint="cs"/>
          <w:color w:val="000000" w:themeColor="text1"/>
          <w:rtl/>
        </w:rPr>
        <w:t xml:space="preserve">החברה טוענת כי אין בסיס לטיעונה זה של הועדה המקומית, שכן, לאורך כל הדרך היה ברור שתנאי הכרחי למימוש הסכם המכר הוא כלכליות הפרויקט. בנסיבות המקרה הנדון לא היה די בתכניות כדי לממש את הפרויקט ולולא החלטת הועדה המקומית לאשר את </w:t>
      </w:r>
      <w:r w:rsidR="0052342E" w:rsidRPr="00231F7D">
        <w:rPr>
          <w:rFonts w:ascii="David" w:hAnsi="David" w:cs="David" w:hint="eastAsia"/>
          <w:color w:val="000000" w:themeColor="text1"/>
          <w:rtl/>
        </w:rPr>
        <w:t>ההקלות</w:t>
      </w:r>
      <w:r w:rsidR="0052342E" w:rsidRPr="00231F7D">
        <w:rPr>
          <w:rFonts w:ascii="David" w:hAnsi="David" w:cs="David"/>
          <w:color w:val="000000" w:themeColor="text1"/>
          <w:rtl/>
        </w:rPr>
        <w:t>,</w:t>
      </w:r>
      <w:r w:rsidRPr="00231F7D">
        <w:rPr>
          <w:rFonts w:ascii="David" w:hAnsi="David" w:cs="David" w:hint="cs"/>
          <w:color w:val="000000" w:themeColor="text1"/>
          <w:rtl/>
        </w:rPr>
        <w:t xml:space="preserve"> כלל לא </w:t>
      </w:r>
      <w:proofErr w:type="spellStart"/>
      <w:r w:rsidRPr="00231F7D">
        <w:rPr>
          <w:rFonts w:ascii="David" w:hAnsi="David" w:cs="David" w:hint="cs"/>
          <w:color w:val="000000" w:themeColor="text1"/>
          <w:rtl/>
        </w:rPr>
        <w:t>היתה</w:t>
      </w:r>
      <w:proofErr w:type="spellEnd"/>
      <w:r w:rsidRPr="00231F7D">
        <w:rPr>
          <w:rFonts w:ascii="David" w:hAnsi="David" w:cs="David" w:hint="cs"/>
          <w:color w:val="000000" w:themeColor="text1"/>
          <w:rtl/>
        </w:rPr>
        <w:t xml:space="preserve"> מתממשת עסקת המכר.</w:t>
      </w:r>
    </w:p>
    <w:p w:rsidR="005E4144" w:rsidRPr="00231F7D" w:rsidRDefault="005E4144" w:rsidP="001E2F0B">
      <w:pPr>
        <w:pStyle w:val="a9"/>
        <w:numPr>
          <w:ilvl w:val="0"/>
          <w:numId w:val="1"/>
        </w:numPr>
        <w:tabs>
          <w:tab w:val="left" w:pos="425"/>
        </w:tabs>
        <w:spacing w:line="360" w:lineRule="auto"/>
        <w:ind w:left="357" w:hanging="357"/>
        <w:contextualSpacing w:val="0"/>
        <w:jc w:val="both"/>
        <w:rPr>
          <w:rFonts w:ascii="David" w:hAnsi="David" w:cs="David"/>
          <w:color w:val="000000" w:themeColor="text1"/>
        </w:rPr>
      </w:pPr>
      <w:r w:rsidRPr="00231F7D">
        <w:rPr>
          <w:rFonts w:ascii="David" w:hAnsi="David" w:cs="David" w:hint="cs"/>
          <w:color w:val="000000" w:themeColor="text1"/>
          <w:rtl/>
        </w:rPr>
        <w:t xml:space="preserve">בחינת מהותה הכלכלית של העסקה מובילה למסקנה כי מועד המימוש בו נמכרו זכויות הבניה לחברה הינו המועד בו אישרה הועדה המקומית את ההקלות, שכן, רק עם החלטה זו נוצרה כלכליות לפרויקט באופן שיאפשר לראשונה לממש את תכניות הפינוי בינוי. </w:t>
      </w:r>
    </w:p>
    <w:p w:rsidR="005E4144" w:rsidRPr="00231F7D" w:rsidRDefault="005E4144" w:rsidP="001E2F0B">
      <w:pPr>
        <w:pStyle w:val="a9"/>
        <w:numPr>
          <w:ilvl w:val="0"/>
          <w:numId w:val="1"/>
        </w:numPr>
        <w:tabs>
          <w:tab w:val="left" w:pos="425"/>
        </w:tabs>
        <w:spacing w:line="360" w:lineRule="auto"/>
        <w:ind w:left="357" w:hanging="357"/>
        <w:contextualSpacing w:val="0"/>
        <w:jc w:val="both"/>
        <w:rPr>
          <w:rFonts w:ascii="David" w:hAnsi="David" w:cs="David"/>
          <w:color w:val="000000" w:themeColor="text1"/>
        </w:rPr>
      </w:pPr>
      <w:r w:rsidRPr="00231F7D">
        <w:rPr>
          <w:rFonts w:ascii="David" w:hAnsi="David" w:cs="David" w:hint="cs"/>
          <w:color w:val="000000" w:themeColor="text1"/>
          <w:rtl/>
        </w:rPr>
        <w:t xml:space="preserve">משמעות הדברים היא שאין להתייחס לעסקאות המכר בין בעלי הדירות לבין החברה טרם מימוש הזכויות בהיתר כאירוע מימוש בפני עצמו, אלא יש להתייחס לשני האירועים הללו כמכלול. </w:t>
      </w:r>
    </w:p>
    <w:p w:rsidR="005E4144" w:rsidRPr="00231F7D" w:rsidRDefault="005E4144" w:rsidP="001E2F0B">
      <w:pPr>
        <w:pStyle w:val="a9"/>
        <w:numPr>
          <w:ilvl w:val="0"/>
          <w:numId w:val="1"/>
        </w:numPr>
        <w:tabs>
          <w:tab w:val="left" w:pos="425"/>
        </w:tabs>
        <w:spacing w:line="360" w:lineRule="auto"/>
        <w:ind w:left="357" w:hanging="357"/>
        <w:contextualSpacing w:val="0"/>
        <w:jc w:val="both"/>
        <w:rPr>
          <w:rFonts w:ascii="David" w:hAnsi="David" w:cs="David"/>
          <w:color w:val="000000" w:themeColor="text1"/>
        </w:rPr>
      </w:pPr>
      <w:r w:rsidRPr="00231F7D">
        <w:rPr>
          <w:rFonts w:ascii="David" w:hAnsi="David" w:cs="David" w:hint="cs"/>
          <w:color w:val="000000" w:themeColor="text1"/>
          <w:rtl/>
        </w:rPr>
        <w:t xml:space="preserve">כלומר רק במועד ההקלה התאפשרה הקמת הפרויקט בכללותו, ואלמלא אישור ההקלה לא היה כלל פרויקט ולא היו נבנות לא דירות הבעלים ולא דירות החברה. לפיכך, ההבחנה שמבקשת הועדה </w:t>
      </w:r>
      <w:r w:rsidR="0052342E" w:rsidRPr="00231F7D">
        <w:rPr>
          <w:rFonts w:ascii="David" w:hAnsi="David" w:cs="David" w:hint="eastAsia"/>
          <w:color w:val="000000" w:themeColor="text1"/>
          <w:rtl/>
        </w:rPr>
        <w:t>המקומית</w:t>
      </w:r>
      <w:r w:rsidR="0052342E" w:rsidRPr="00231F7D">
        <w:rPr>
          <w:rFonts w:ascii="David" w:hAnsi="David" w:cs="David"/>
          <w:color w:val="000000" w:themeColor="text1"/>
          <w:rtl/>
        </w:rPr>
        <w:t xml:space="preserve"> לעשות</w:t>
      </w:r>
      <w:r w:rsidRPr="00231F7D">
        <w:rPr>
          <w:rFonts w:ascii="David" w:hAnsi="David" w:cs="David" w:hint="cs"/>
          <w:color w:val="000000" w:themeColor="text1"/>
          <w:rtl/>
        </w:rPr>
        <w:t xml:space="preserve"> בין דירות הבעלים שלטענתה הובטחו מתוך זכויות הבניה המוקנות בתכניות כביכול, לבין הזכויות מכוח ההקלה שלטענתה משמעות כולן לדירות החברה הינה הבחנה מלאכותית הסותרת את המציאות.</w:t>
      </w:r>
    </w:p>
    <w:p w:rsidR="005E4144" w:rsidRPr="00231F7D" w:rsidRDefault="005E4144" w:rsidP="001E2F0B">
      <w:pPr>
        <w:pStyle w:val="a9"/>
        <w:numPr>
          <w:ilvl w:val="0"/>
          <w:numId w:val="1"/>
        </w:numPr>
        <w:tabs>
          <w:tab w:val="left" w:pos="425"/>
        </w:tabs>
        <w:spacing w:line="360" w:lineRule="auto"/>
        <w:ind w:left="357" w:hanging="357"/>
        <w:contextualSpacing w:val="0"/>
        <w:jc w:val="both"/>
        <w:rPr>
          <w:rFonts w:ascii="David" w:hAnsi="David" w:cs="David"/>
          <w:color w:val="000000" w:themeColor="text1"/>
          <w:rtl/>
        </w:rPr>
      </w:pPr>
      <w:r w:rsidRPr="00231F7D">
        <w:rPr>
          <w:rFonts w:ascii="David" w:hAnsi="David" w:cs="David" w:hint="cs"/>
          <w:color w:val="000000" w:themeColor="text1"/>
          <w:rtl/>
        </w:rPr>
        <w:t xml:space="preserve">לאור האמור יש לדחות את טענת הועדה המקומית על טעות עקרונית במתן פטור בגין שיקום שכונות באומדן ההשבחה בגין ההקלה. </w:t>
      </w:r>
    </w:p>
    <w:p w:rsidR="005E4144" w:rsidRPr="00231F7D" w:rsidRDefault="005E4144" w:rsidP="005E4144">
      <w:pPr>
        <w:tabs>
          <w:tab w:val="left" w:pos="1244"/>
        </w:tabs>
        <w:spacing w:line="360" w:lineRule="auto"/>
        <w:jc w:val="both"/>
        <w:rPr>
          <w:rFonts w:ascii="David" w:hAnsi="David" w:cs="David"/>
          <w:b/>
          <w:bCs/>
          <w:color w:val="000000" w:themeColor="text1"/>
          <w:u w:val="thick"/>
          <w:rtl/>
        </w:rPr>
      </w:pPr>
    </w:p>
    <w:p w:rsidR="005E4144" w:rsidRPr="00231F7D" w:rsidRDefault="005E4144" w:rsidP="005E4144">
      <w:pPr>
        <w:tabs>
          <w:tab w:val="left" w:pos="1244"/>
        </w:tabs>
        <w:spacing w:line="360" w:lineRule="auto"/>
        <w:jc w:val="both"/>
        <w:rPr>
          <w:rFonts w:ascii="David" w:hAnsi="David" w:cs="David"/>
          <w:b/>
          <w:bCs/>
          <w:color w:val="000000" w:themeColor="text1"/>
          <w:u w:val="thick"/>
          <w:rtl/>
        </w:rPr>
      </w:pPr>
      <w:r w:rsidRPr="00231F7D">
        <w:rPr>
          <w:rFonts w:ascii="David" w:hAnsi="David" w:cs="David" w:hint="cs"/>
          <w:b/>
          <w:bCs/>
          <w:color w:val="000000" w:themeColor="text1"/>
          <w:u w:val="thick"/>
          <w:rtl/>
        </w:rPr>
        <w:t xml:space="preserve">דיון והכרעה </w:t>
      </w:r>
    </w:p>
    <w:p w:rsidR="005E4144" w:rsidRPr="00231F7D" w:rsidRDefault="005E4144" w:rsidP="001E2F0B">
      <w:pPr>
        <w:pStyle w:val="a9"/>
        <w:numPr>
          <w:ilvl w:val="0"/>
          <w:numId w:val="1"/>
        </w:numPr>
        <w:tabs>
          <w:tab w:val="left" w:pos="425"/>
        </w:tabs>
        <w:spacing w:line="360" w:lineRule="auto"/>
        <w:ind w:left="357" w:hanging="357"/>
        <w:contextualSpacing w:val="0"/>
        <w:jc w:val="both"/>
        <w:rPr>
          <w:rFonts w:ascii="David" w:hAnsi="David" w:cs="David"/>
          <w:color w:val="000000" w:themeColor="text1"/>
          <w:rtl/>
        </w:rPr>
      </w:pPr>
      <w:r w:rsidRPr="00231F7D">
        <w:rPr>
          <w:rFonts w:ascii="David" w:hAnsi="David" w:cs="David" w:hint="cs"/>
          <w:color w:val="000000" w:themeColor="text1"/>
          <w:rtl/>
        </w:rPr>
        <w:t>כאמור לעיל, בהתאם לפסיקתנו בעניין "לוי סופי" יש להכיר בפטור לשיקום שכונות לדירות הבעלים בלבד.</w:t>
      </w:r>
    </w:p>
    <w:p w:rsidR="005E4144" w:rsidRPr="00231F7D" w:rsidRDefault="005E4144" w:rsidP="001E2F0B">
      <w:pPr>
        <w:pStyle w:val="a9"/>
        <w:numPr>
          <w:ilvl w:val="0"/>
          <w:numId w:val="1"/>
        </w:numPr>
        <w:tabs>
          <w:tab w:val="left" w:pos="425"/>
        </w:tabs>
        <w:spacing w:line="360" w:lineRule="auto"/>
        <w:contextualSpacing w:val="0"/>
        <w:jc w:val="both"/>
        <w:rPr>
          <w:rFonts w:ascii="David" w:hAnsi="David" w:cs="David"/>
          <w:b/>
          <w:bCs/>
          <w:color w:val="000000" w:themeColor="text1"/>
        </w:rPr>
      </w:pPr>
      <w:r w:rsidRPr="00231F7D">
        <w:rPr>
          <w:rFonts w:ascii="David" w:hAnsi="David" w:cs="David" w:hint="cs"/>
          <w:color w:val="000000" w:themeColor="text1"/>
          <w:rtl/>
        </w:rPr>
        <w:t xml:space="preserve">כעולה מהתחשיב בשומות המכריעות, השמאית המכריעה חשבה את כלל השווי, חשבה את חלקן היחסי של דירות התמורה וחשבה את הפטור רק לחלק יחסי זה של דירות התמורה והיא עשתה את החשבון באותו אופן ביחס לתכניות המשביחות וביחס להקלה (עמוד 256 לשומה). </w:t>
      </w:r>
      <w:r w:rsidRPr="00231F7D">
        <w:rPr>
          <w:rFonts w:ascii="David" w:hAnsi="David" w:cs="David" w:hint="cs"/>
          <w:b/>
          <w:bCs/>
          <w:color w:val="000000" w:themeColor="text1"/>
          <w:rtl/>
        </w:rPr>
        <w:t xml:space="preserve">לכן, הפטור לפי התחשיב בשומות המכריעות הוא על חלקן היחסי של </w:t>
      </w:r>
      <w:r w:rsidRPr="00231F7D">
        <w:rPr>
          <w:rFonts w:ascii="David" w:hAnsi="David" w:cs="David" w:hint="cs"/>
          <w:b/>
          <w:bCs/>
          <w:color w:val="000000" w:themeColor="text1"/>
          <w:u w:val="single"/>
          <w:rtl/>
        </w:rPr>
        <w:t>דירות התמורה בלבד</w:t>
      </w:r>
      <w:r w:rsidRPr="00231F7D">
        <w:rPr>
          <w:rFonts w:ascii="David" w:hAnsi="David" w:cs="David" w:hint="cs"/>
          <w:b/>
          <w:bCs/>
          <w:color w:val="000000" w:themeColor="text1"/>
          <w:rtl/>
        </w:rPr>
        <w:t xml:space="preserve"> בכל שלב ושלב באקטים המשביחים קרי התכניות המשביחות וההקלה.</w:t>
      </w:r>
    </w:p>
    <w:p w:rsidR="005E4144" w:rsidRPr="00231F7D" w:rsidRDefault="005E4144" w:rsidP="001E2F0B">
      <w:pPr>
        <w:pStyle w:val="a9"/>
        <w:numPr>
          <w:ilvl w:val="0"/>
          <w:numId w:val="1"/>
        </w:numPr>
        <w:tabs>
          <w:tab w:val="left" w:pos="425"/>
        </w:tabs>
        <w:spacing w:line="360" w:lineRule="auto"/>
        <w:contextualSpacing w:val="0"/>
        <w:jc w:val="both"/>
        <w:rPr>
          <w:rFonts w:ascii="David" w:hAnsi="David" w:cs="David"/>
          <w:color w:val="000000" w:themeColor="text1"/>
        </w:rPr>
      </w:pPr>
      <w:r w:rsidRPr="00231F7D">
        <w:rPr>
          <w:rFonts w:ascii="David" w:hAnsi="David" w:cs="David" w:hint="cs"/>
          <w:color w:val="000000" w:themeColor="text1"/>
          <w:rtl/>
        </w:rPr>
        <w:t>טענת הועדה המקומית לפיה נפלה טעות</w:t>
      </w:r>
      <w:r w:rsidR="009E0DD4">
        <w:rPr>
          <w:rFonts w:ascii="David" w:hAnsi="David" w:cs="David" w:hint="cs"/>
          <w:color w:val="000000" w:themeColor="text1"/>
          <w:rtl/>
        </w:rPr>
        <w:t xml:space="preserve"> בכך</w:t>
      </w:r>
      <w:r w:rsidRPr="00231F7D">
        <w:rPr>
          <w:rFonts w:ascii="David" w:hAnsi="David" w:cs="David" w:hint="cs"/>
          <w:color w:val="000000" w:themeColor="text1"/>
          <w:rtl/>
        </w:rPr>
        <w:t xml:space="preserve"> שהתחשיב נעשה גם ביחס להקלה גם אינה מתיישבת עם ההיגיון, שהרי טול דוגמא לפיה הפרויקט היה מוקם מכוח תכנית מאושרת אחת המעניקה זכויות, כאשר חלקן מהוות את דירות התמורה לדיירים הקיימים, חלקן מיועדות לכיסוי הוצאות היזם וחלקן מיועד לצורך רווח, האם ניתן לעשות חלוקה מלאכותית בין המטרים השונים בתכנית בין אלה שנזקפים לדיירים לעומת אלה שנזקפים ליזם, נראה שלא. </w:t>
      </w:r>
    </w:p>
    <w:p w:rsidR="005E4144" w:rsidRPr="00231F7D" w:rsidRDefault="005E4144" w:rsidP="001E2F0B">
      <w:pPr>
        <w:pStyle w:val="a9"/>
        <w:numPr>
          <w:ilvl w:val="0"/>
          <w:numId w:val="1"/>
        </w:numPr>
        <w:tabs>
          <w:tab w:val="left" w:pos="425"/>
        </w:tabs>
        <w:spacing w:line="360" w:lineRule="auto"/>
        <w:contextualSpacing w:val="0"/>
        <w:jc w:val="both"/>
        <w:rPr>
          <w:rFonts w:ascii="David" w:hAnsi="David" w:cs="David"/>
          <w:color w:val="000000" w:themeColor="text1"/>
        </w:rPr>
      </w:pPr>
      <w:r w:rsidRPr="00231F7D">
        <w:rPr>
          <w:rFonts w:ascii="David" w:hAnsi="David" w:cs="David" w:hint="cs"/>
          <w:color w:val="000000" w:themeColor="text1"/>
          <w:rtl/>
        </w:rPr>
        <w:t xml:space="preserve">חיזוק לאמור </w:t>
      </w:r>
      <w:r w:rsidR="009E0DD4">
        <w:rPr>
          <w:rFonts w:ascii="David" w:hAnsi="David" w:cs="David" w:hint="cs"/>
          <w:color w:val="000000" w:themeColor="text1"/>
          <w:rtl/>
        </w:rPr>
        <w:t xml:space="preserve">הינו </w:t>
      </w:r>
      <w:r w:rsidRPr="00231F7D">
        <w:rPr>
          <w:rFonts w:ascii="David" w:hAnsi="David" w:cs="David" w:hint="cs"/>
          <w:color w:val="000000" w:themeColor="text1"/>
          <w:rtl/>
        </w:rPr>
        <w:t xml:space="preserve">בשים לב לאמירות הועדה המקומית בהחלטה לאשר את ההקלות שהן נדרשות לצורך התכנותו של הפרויקט לדירות הדיירים וחלקן ליזם, האם גם אז </w:t>
      </w:r>
      <w:proofErr w:type="spellStart"/>
      <w:r w:rsidRPr="00231F7D">
        <w:rPr>
          <w:rFonts w:ascii="David" w:hAnsi="David" w:cs="David" w:hint="cs"/>
          <w:color w:val="000000" w:themeColor="text1"/>
          <w:rtl/>
        </w:rPr>
        <w:t>היתה</w:t>
      </w:r>
      <w:proofErr w:type="spellEnd"/>
      <w:r w:rsidRPr="00231F7D">
        <w:rPr>
          <w:rFonts w:ascii="David" w:hAnsi="David" w:cs="David" w:hint="cs"/>
          <w:color w:val="000000" w:themeColor="text1"/>
          <w:rtl/>
        </w:rPr>
        <w:t xml:space="preserve"> יכולה להיטען טענה כי אחוז </w:t>
      </w:r>
      <w:proofErr w:type="spellStart"/>
      <w:r w:rsidRPr="00231F7D">
        <w:rPr>
          <w:rFonts w:ascii="David" w:hAnsi="David" w:cs="David" w:hint="cs"/>
          <w:color w:val="000000" w:themeColor="text1"/>
          <w:rtl/>
        </w:rPr>
        <w:t>מסויים</w:t>
      </w:r>
      <w:proofErr w:type="spellEnd"/>
      <w:r w:rsidRPr="00231F7D">
        <w:rPr>
          <w:rFonts w:ascii="David" w:hAnsi="David" w:cs="David" w:hint="cs"/>
          <w:color w:val="000000" w:themeColor="text1"/>
          <w:rtl/>
        </w:rPr>
        <w:t xml:space="preserve"> של הזכויות בתכנית יש להתחשב בו ואילו אחוז אחר אין להתחשב בו?</w:t>
      </w:r>
    </w:p>
    <w:p w:rsidR="005E4144" w:rsidRPr="009E0DD4" w:rsidRDefault="005E4144" w:rsidP="001E2F0B">
      <w:pPr>
        <w:pStyle w:val="a9"/>
        <w:numPr>
          <w:ilvl w:val="0"/>
          <w:numId w:val="1"/>
        </w:numPr>
        <w:tabs>
          <w:tab w:val="left" w:pos="425"/>
        </w:tabs>
        <w:spacing w:line="360" w:lineRule="auto"/>
        <w:contextualSpacing w:val="0"/>
        <w:jc w:val="both"/>
        <w:rPr>
          <w:rFonts w:ascii="David" w:hAnsi="David" w:cs="David"/>
          <w:color w:val="000000" w:themeColor="text1"/>
        </w:rPr>
      </w:pPr>
      <w:r w:rsidRPr="009E0DD4">
        <w:rPr>
          <w:rFonts w:ascii="David" w:hAnsi="David" w:cs="David" w:hint="cs"/>
          <w:color w:val="000000" w:themeColor="text1"/>
          <w:rtl/>
        </w:rPr>
        <w:t xml:space="preserve">אי לכך ובהתאם לזאת, בשים לב לקביעתנו לפיה דירות הבעלים והם בלבד זכאיות לפטור שיקום שכונות ונוכח העובדה כי השמאית המכריעה פטרה את ההשבחה המיוחסת לדירות הבעלים בלבד בכל מדרגת השבחה כפי שביקש פטור שיקום שכונות ליתן, ומאחר ולא הוצא היתר לאחר אישור התכניות המשביחות, אלא נדרשה גם הקלה שלמעשה </w:t>
      </w:r>
      <w:r w:rsidR="00306209">
        <w:rPr>
          <w:rFonts w:ascii="David" w:hAnsi="David" w:cs="David" w:hint="cs"/>
          <w:color w:val="000000" w:themeColor="text1"/>
          <w:rtl/>
        </w:rPr>
        <w:t>התכניות וההקלות כמקשה אחת</w:t>
      </w:r>
      <w:r w:rsidRPr="009E0DD4">
        <w:rPr>
          <w:rFonts w:ascii="David" w:hAnsi="David" w:cs="David" w:hint="cs"/>
          <w:color w:val="000000" w:themeColor="text1"/>
          <w:rtl/>
        </w:rPr>
        <w:t xml:space="preserve"> </w:t>
      </w:r>
      <w:r w:rsidR="00306209">
        <w:rPr>
          <w:rFonts w:ascii="David" w:hAnsi="David" w:cs="David" w:hint="cs"/>
          <w:color w:val="000000" w:themeColor="text1"/>
          <w:rtl/>
        </w:rPr>
        <w:t xml:space="preserve">יצרו את הכדאיות המאפשרת </w:t>
      </w:r>
      <w:r w:rsidRPr="009E0DD4">
        <w:rPr>
          <w:rFonts w:ascii="David" w:hAnsi="David" w:cs="David" w:hint="cs"/>
          <w:color w:val="000000" w:themeColor="text1"/>
          <w:rtl/>
        </w:rPr>
        <w:t xml:space="preserve">הוצאת הפרויקט </w:t>
      </w:r>
      <w:r w:rsidR="00306209">
        <w:rPr>
          <w:rFonts w:ascii="David" w:hAnsi="David" w:cs="David" w:hint="cs"/>
          <w:color w:val="000000" w:themeColor="text1"/>
          <w:rtl/>
        </w:rPr>
        <w:t>ל</w:t>
      </w:r>
      <w:r w:rsidR="00306209" w:rsidRPr="009E0DD4">
        <w:rPr>
          <w:rFonts w:ascii="David" w:hAnsi="David" w:cs="David" w:hint="cs"/>
          <w:color w:val="000000" w:themeColor="text1"/>
          <w:rtl/>
        </w:rPr>
        <w:t>פועל</w:t>
      </w:r>
      <w:r w:rsidRPr="009E0DD4">
        <w:rPr>
          <w:rFonts w:ascii="David" w:hAnsi="David" w:cs="David" w:hint="cs"/>
          <w:color w:val="000000" w:themeColor="text1"/>
          <w:rtl/>
        </w:rPr>
        <w:t xml:space="preserve">, </w:t>
      </w:r>
      <w:r w:rsidR="00306209">
        <w:rPr>
          <w:rFonts w:ascii="David" w:hAnsi="David" w:cs="David" w:hint="cs"/>
          <w:color w:val="000000" w:themeColor="text1"/>
          <w:rtl/>
        </w:rPr>
        <w:t>הרי ש</w:t>
      </w:r>
      <w:r w:rsidRPr="009E0DD4">
        <w:rPr>
          <w:rFonts w:ascii="David" w:hAnsi="David" w:cs="David" w:hint="cs"/>
          <w:color w:val="000000" w:themeColor="text1"/>
          <w:rtl/>
        </w:rPr>
        <w:t xml:space="preserve">לטעמנו השמאית המכריעה פעלה נכון עת חשבה את הפטור לפי חלקן היחסי של דירות התמורה בכל מדרגת השבחה ולא רק בגין התכנית הראשונה. </w:t>
      </w:r>
    </w:p>
    <w:p w:rsidR="00232DBC" w:rsidRPr="00232DBC" w:rsidRDefault="00232DBC" w:rsidP="001E2F0B">
      <w:pPr>
        <w:pStyle w:val="1"/>
        <w:rPr>
          <w:rtl/>
        </w:rPr>
      </w:pPr>
      <w:bookmarkStart w:id="21" w:name="_Toc204504392"/>
      <w:r w:rsidRPr="00232DBC">
        <w:rPr>
          <w:rFonts w:hint="cs"/>
          <w:rtl/>
        </w:rPr>
        <w:t>פטור ממ"דים</w:t>
      </w:r>
      <w:bookmarkEnd w:id="21"/>
      <w:r w:rsidRPr="00232DBC">
        <w:rPr>
          <w:rFonts w:hint="cs"/>
          <w:rtl/>
        </w:rPr>
        <w:t xml:space="preserve"> </w:t>
      </w:r>
    </w:p>
    <w:p w:rsidR="005F6214" w:rsidRPr="00232DBC" w:rsidRDefault="005A7521" w:rsidP="001E2F0B">
      <w:pPr>
        <w:pStyle w:val="2"/>
      </w:pPr>
      <w:bookmarkStart w:id="22" w:name="_Toc203992510"/>
      <w:bookmarkStart w:id="23" w:name="_Toc204504393"/>
      <w:r>
        <w:rPr>
          <w:rFonts w:hint="cs"/>
          <w:rtl/>
        </w:rPr>
        <w:t>ב</w:t>
      </w:r>
      <w:r w:rsidR="005F6214" w:rsidRPr="00232DBC">
        <w:rPr>
          <w:rFonts w:hint="cs"/>
          <w:rtl/>
        </w:rPr>
        <w:t>. טעות במתן פטור מהיטל השבחה בגין ממ"דים שנמכרו על ידי הבעלים ליזם.</w:t>
      </w:r>
      <w:bookmarkEnd w:id="22"/>
      <w:bookmarkEnd w:id="23"/>
    </w:p>
    <w:p w:rsidR="005F6214" w:rsidRPr="004B30C1" w:rsidRDefault="005F6214" w:rsidP="005F6214">
      <w:pPr>
        <w:spacing w:line="360" w:lineRule="auto"/>
        <w:jc w:val="both"/>
        <w:rPr>
          <w:rFonts w:ascii="David" w:hAnsi="David" w:cs="David"/>
          <w:u w:val="thick"/>
        </w:rPr>
      </w:pPr>
      <w:r w:rsidRPr="004B30C1">
        <w:rPr>
          <w:rFonts w:ascii="David" w:hAnsi="David" w:cs="David" w:hint="cs"/>
          <w:u w:val="thick"/>
          <w:rtl/>
        </w:rPr>
        <w:t xml:space="preserve">טיעון הועדה המקומית </w:t>
      </w:r>
    </w:p>
    <w:p w:rsidR="005F6214" w:rsidRPr="005F6214" w:rsidRDefault="005F6214" w:rsidP="001E2F0B">
      <w:pPr>
        <w:pStyle w:val="a9"/>
        <w:numPr>
          <w:ilvl w:val="0"/>
          <w:numId w:val="1"/>
        </w:numPr>
        <w:tabs>
          <w:tab w:val="left" w:pos="425"/>
        </w:tabs>
        <w:spacing w:line="360" w:lineRule="auto"/>
        <w:contextualSpacing w:val="0"/>
        <w:jc w:val="both"/>
        <w:rPr>
          <w:rFonts w:ascii="David" w:hAnsi="David" w:cs="David"/>
        </w:rPr>
      </w:pPr>
      <w:r w:rsidRPr="005F6214">
        <w:rPr>
          <w:rFonts w:ascii="David" w:hAnsi="David" w:cs="David" w:hint="cs"/>
          <w:rtl/>
        </w:rPr>
        <w:t xml:space="preserve">הועדה המקומית משיגה על קביעות השמאית המכריעה להביא בחשבון פטור מהיטל השבחה ביחס לכלל שטחי הממ"דים לרבות שטחי הממ"דים המיוחסים לדירות היזם בשלוש מדרגות ההשבחה. לשיטת הועדה המקומית יש להביא בחשבון פטור אך ורק לממ"דים המיוחסים לדירות התמורה. </w:t>
      </w:r>
    </w:p>
    <w:p w:rsidR="005F6214" w:rsidRPr="00555F13" w:rsidRDefault="005F6214" w:rsidP="001E2F0B">
      <w:pPr>
        <w:pStyle w:val="a9"/>
        <w:numPr>
          <w:ilvl w:val="0"/>
          <w:numId w:val="1"/>
        </w:numPr>
        <w:tabs>
          <w:tab w:val="left" w:pos="425"/>
        </w:tabs>
        <w:spacing w:line="360" w:lineRule="auto"/>
        <w:contextualSpacing w:val="0"/>
        <w:jc w:val="both"/>
        <w:rPr>
          <w:rFonts w:ascii="David" w:hAnsi="David" w:cs="David"/>
        </w:rPr>
      </w:pPr>
      <w:r w:rsidRPr="00555F13">
        <w:rPr>
          <w:rFonts w:ascii="David" w:hAnsi="David" w:cs="David" w:hint="cs"/>
          <w:rtl/>
        </w:rPr>
        <w:t xml:space="preserve">לטענת הועדה המקומית </w:t>
      </w:r>
      <w:r w:rsidR="007E6E5A" w:rsidRPr="00555F13">
        <w:rPr>
          <w:rFonts w:ascii="David" w:hAnsi="David" w:cs="David" w:hint="cs"/>
          <w:rtl/>
        </w:rPr>
        <w:t>הענקת הפטור לכלל הדירות כפי שנעשה בשומות המכריעות</w:t>
      </w:r>
      <w:r w:rsidRPr="00555F13">
        <w:rPr>
          <w:rFonts w:ascii="David" w:hAnsi="David" w:cs="David" w:hint="cs"/>
          <w:rtl/>
        </w:rPr>
        <w:t xml:space="preserve"> מנוגדת להחלטת </w:t>
      </w:r>
      <w:r w:rsidR="0052342E" w:rsidRPr="00555F13">
        <w:rPr>
          <w:rFonts w:ascii="David" w:hAnsi="David" w:cs="David" w:hint="eastAsia"/>
          <w:rtl/>
        </w:rPr>
        <w:t>ועדת</w:t>
      </w:r>
      <w:r w:rsidR="0052342E" w:rsidRPr="00555F13">
        <w:rPr>
          <w:rFonts w:ascii="David" w:hAnsi="David" w:cs="David"/>
          <w:rtl/>
        </w:rPr>
        <w:t xml:space="preserve"> ה</w:t>
      </w:r>
      <w:r w:rsidR="0052342E" w:rsidRPr="00555F13">
        <w:rPr>
          <w:rFonts w:ascii="David" w:hAnsi="David" w:cs="David" w:hint="eastAsia"/>
          <w:rtl/>
        </w:rPr>
        <w:t>ערר</w:t>
      </w:r>
      <w:r w:rsidR="00BE0DD4">
        <w:rPr>
          <w:rFonts w:ascii="David" w:hAnsi="David" w:cs="David" w:hint="cs"/>
          <w:rtl/>
        </w:rPr>
        <w:t xml:space="preserve"> </w:t>
      </w:r>
      <w:r w:rsidRPr="00555F13">
        <w:rPr>
          <w:rFonts w:ascii="David" w:hAnsi="David" w:cs="David" w:hint="cs"/>
          <w:rtl/>
        </w:rPr>
        <w:t>בעניין "</w:t>
      </w:r>
      <w:proofErr w:type="spellStart"/>
      <w:r w:rsidRPr="00555F13">
        <w:rPr>
          <w:rFonts w:ascii="David" w:hAnsi="David" w:cs="David" w:hint="cs"/>
          <w:rtl/>
        </w:rPr>
        <w:t>סלונימסקי</w:t>
      </w:r>
      <w:proofErr w:type="spellEnd"/>
      <w:r w:rsidRPr="00555F13">
        <w:rPr>
          <w:rFonts w:ascii="David" w:hAnsi="David" w:cs="David" w:hint="cs"/>
          <w:rtl/>
        </w:rPr>
        <w:t>" (ערר 7053/16)</w:t>
      </w:r>
      <w:r w:rsidR="0093008D" w:rsidRPr="00555F13">
        <w:rPr>
          <w:rFonts w:ascii="David" w:hAnsi="David" w:cs="David" w:hint="cs"/>
          <w:rtl/>
        </w:rPr>
        <w:t>.</w:t>
      </w:r>
      <w:r w:rsidR="00555F13">
        <w:rPr>
          <w:rFonts w:ascii="David" w:hAnsi="David" w:cs="David" w:hint="cs"/>
          <w:rtl/>
        </w:rPr>
        <w:t xml:space="preserve"> </w:t>
      </w:r>
      <w:r w:rsidRPr="00555F13">
        <w:rPr>
          <w:rFonts w:ascii="David" w:hAnsi="David" w:cs="David" w:hint="cs"/>
          <w:rtl/>
        </w:rPr>
        <w:t xml:space="preserve">השמאית המכריעה בעצמה קובעת כי נושא הממ"דים, דומה במהותו לתיק ההשבחה שנדון בעניין </w:t>
      </w:r>
      <w:proofErr w:type="spellStart"/>
      <w:r w:rsidRPr="00555F13">
        <w:rPr>
          <w:rFonts w:ascii="David" w:hAnsi="David" w:cs="David" w:hint="cs"/>
          <w:rtl/>
        </w:rPr>
        <w:t>סלונימסקי</w:t>
      </w:r>
      <w:proofErr w:type="spellEnd"/>
      <w:r w:rsidRPr="00555F13">
        <w:rPr>
          <w:rFonts w:ascii="David" w:hAnsi="David" w:cs="David" w:hint="cs"/>
          <w:rtl/>
        </w:rPr>
        <w:t xml:space="preserve">, שכן בעמ' 102 בשומה המכריעה קובעת השמאית המכריעה כדלקמן: </w:t>
      </w:r>
    </w:p>
    <w:p w:rsidR="005F6214" w:rsidRPr="005F6214" w:rsidRDefault="005F6214" w:rsidP="00073883">
      <w:pPr>
        <w:pStyle w:val="a9"/>
        <w:numPr>
          <w:ilvl w:val="0"/>
          <w:numId w:val="6"/>
        </w:numPr>
        <w:spacing w:line="360" w:lineRule="auto"/>
        <w:jc w:val="both"/>
        <w:rPr>
          <w:rFonts w:ascii="David" w:hAnsi="David" w:cs="David"/>
        </w:rPr>
      </w:pPr>
      <w:r w:rsidRPr="005F6214">
        <w:rPr>
          <w:rFonts w:ascii="David" w:hAnsi="David" w:cs="David" w:hint="cs"/>
          <w:rtl/>
        </w:rPr>
        <w:t>"הסכם לפינוי בינוי שנחתם במתחם הנדון דומה במהותו להסכם קומבינציה"</w:t>
      </w:r>
    </w:p>
    <w:p w:rsidR="005F6214" w:rsidRPr="005F6214" w:rsidRDefault="005F6214" w:rsidP="00073883">
      <w:pPr>
        <w:pStyle w:val="a9"/>
        <w:numPr>
          <w:ilvl w:val="0"/>
          <w:numId w:val="6"/>
        </w:numPr>
        <w:spacing w:line="360" w:lineRule="auto"/>
        <w:jc w:val="both"/>
        <w:rPr>
          <w:rFonts w:ascii="David" w:hAnsi="David" w:cs="David"/>
        </w:rPr>
      </w:pPr>
      <w:r w:rsidRPr="005F6214">
        <w:rPr>
          <w:rFonts w:ascii="David" w:hAnsi="David" w:cs="David" w:hint="cs"/>
          <w:rtl/>
        </w:rPr>
        <w:t xml:space="preserve">"יוצא אפוא כי נסיבות ערר </w:t>
      </w:r>
      <w:proofErr w:type="spellStart"/>
      <w:r w:rsidRPr="005F6214">
        <w:rPr>
          <w:rFonts w:ascii="David" w:hAnsi="David" w:cs="David" w:hint="cs"/>
          <w:rtl/>
        </w:rPr>
        <w:t>סלונימסקי</w:t>
      </w:r>
      <w:proofErr w:type="spellEnd"/>
      <w:r w:rsidRPr="005F6214">
        <w:rPr>
          <w:rFonts w:ascii="David" w:hAnsi="David" w:cs="David" w:hint="cs"/>
          <w:rtl/>
        </w:rPr>
        <w:t xml:space="preserve"> יפות לענייננו, במידה והסכם הפינוי בינוי שנחתם בחלקות מושא ההכרעה בין בעלי הקרקע לבין היזם התגבשו </w:t>
      </w:r>
      <w:r w:rsidRPr="005F6214">
        <w:rPr>
          <w:rFonts w:ascii="David" w:hAnsi="David" w:cs="David" w:hint="cs"/>
          <w:u w:val="single"/>
          <w:rtl/>
        </w:rPr>
        <w:t>לאחר</w:t>
      </w:r>
      <w:r w:rsidRPr="005F6214">
        <w:rPr>
          <w:rFonts w:ascii="David" w:hAnsi="David" w:cs="David" w:hint="cs"/>
          <w:rtl/>
        </w:rPr>
        <w:t xml:space="preserve"> אישורה של התכנית ועובר למתן ההחלטה בדבר אישור הבקשה להיתר בניה". </w:t>
      </w:r>
    </w:p>
    <w:p w:rsidR="005F6214" w:rsidRPr="007E6E5A" w:rsidRDefault="005F6214" w:rsidP="001E2F0B">
      <w:pPr>
        <w:pStyle w:val="a9"/>
        <w:numPr>
          <w:ilvl w:val="0"/>
          <w:numId w:val="1"/>
        </w:numPr>
        <w:tabs>
          <w:tab w:val="left" w:pos="425"/>
        </w:tabs>
        <w:spacing w:line="360" w:lineRule="auto"/>
        <w:contextualSpacing w:val="0"/>
        <w:jc w:val="both"/>
        <w:rPr>
          <w:rFonts w:ascii="David" w:hAnsi="David" w:cs="David"/>
        </w:rPr>
      </w:pPr>
      <w:r w:rsidRPr="001E2F0B">
        <w:rPr>
          <w:rFonts w:ascii="David" w:hAnsi="David" w:cs="David" w:hint="eastAsia"/>
          <w:color w:val="000000" w:themeColor="text1"/>
          <w:rtl/>
        </w:rPr>
        <w:t>בעניין</w:t>
      </w:r>
      <w:r w:rsidRPr="007E6E5A">
        <w:rPr>
          <w:rFonts w:ascii="David" w:hAnsi="David" w:cs="David" w:hint="cs"/>
          <w:rtl/>
        </w:rPr>
        <w:t xml:space="preserve"> אשדר (52383-10-20) נקבע כי לעניין אופן חישוב היטל השבחה, תכנית פינוי בינוי היא ככל תכנית</w:t>
      </w:r>
      <w:r w:rsidR="007E6E5A" w:rsidRPr="007E6E5A">
        <w:rPr>
          <w:rFonts w:ascii="David" w:hAnsi="David" w:cs="David" w:hint="cs"/>
          <w:rtl/>
        </w:rPr>
        <w:t>,</w:t>
      </w:r>
      <w:r w:rsidRPr="007E6E5A">
        <w:rPr>
          <w:rFonts w:ascii="David" w:hAnsi="David" w:cs="David" w:hint="cs"/>
          <w:rtl/>
        </w:rPr>
        <w:t xml:space="preserve"> בהתאם לכך, הרי שגם בעניין הממ"דים יש לקבוע את ההשבחה כמו בכל תכנית. לכן, הפטור שנקבע בשומות המכריעות ביחס למרכיב הממ"דים ע"י השוואתו לפרויקט תמ"א 38, מנוגד גם לפס"ד חלוט בעניין אשדר.</w:t>
      </w:r>
    </w:p>
    <w:p w:rsidR="005F6214" w:rsidRPr="005F6214" w:rsidRDefault="005F6214" w:rsidP="001E2F0B">
      <w:pPr>
        <w:pStyle w:val="a9"/>
        <w:numPr>
          <w:ilvl w:val="0"/>
          <w:numId w:val="1"/>
        </w:numPr>
        <w:tabs>
          <w:tab w:val="left" w:pos="425"/>
        </w:tabs>
        <w:spacing w:line="360" w:lineRule="auto"/>
        <w:contextualSpacing w:val="0"/>
        <w:jc w:val="both"/>
        <w:rPr>
          <w:rFonts w:ascii="David" w:hAnsi="David" w:cs="David"/>
        </w:rPr>
      </w:pPr>
      <w:r w:rsidRPr="001E2F0B">
        <w:rPr>
          <w:rFonts w:ascii="David" w:hAnsi="David" w:cs="David" w:hint="eastAsia"/>
          <w:color w:val="000000" w:themeColor="text1"/>
          <w:rtl/>
        </w:rPr>
        <w:t>האנלוגיה</w:t>
      </w:r>
      <w:r w:rsidRPr="005F6214">
        <w:rPr>
          <w:rFonts w:ascii="David" w:hAnsi="David" w:cs="David" w:hint="cs"/>
          <w:rtl/>
        </w:rPr>
        <w:t xml:space="preserve"> שערכה השמאית המכריעה בין התכניות המשביחות מושא </w:t>
      </w:r>
      <w:proofErr w:type="spellStart"/>
      <w:r w:rsidRPr="005F6214">
        <w:rPr>
          <w:rFonts w:ascii="David" w:hAnsi="David" w:cs="David" w:hint="cs"/>
          <w:rtl/>
        </w:rPr>
        <w:t>העררים</w:t>
      </w:r>
      <w:proofErr w:type="spellEnd"/>
      <w:r w:rsidRPr="005F6214">
        <w:rPr>
          <w:rFonts w:ascii="David" w:hAnsi="David" w:cs="David" w:hint="cs"/>
          <w:rtl/>
        </w:rPr>
        <w:t xml:space="preserve">, לבין פרויקט תמ"א 38, שגויה מיסודה. זאת, משום שהתכניות המשביחות הן תכניות רגילות שנכנסות לתוקף במועד </w:t>
      </w:r>
      <w:r w:rsidRPr="005F6214">
        <w:rPr>
          <w:rFonts w:ascii="David" w:hAnsi="David" w:cs="David" w:hint="cs"/>
          <w:u w:val="single"/>
          <w:rtl/>
        </w:rPr>
        <w:t>אישורן</w:t>
      </w:r>
      <w:r w:rsidRPr="005F6214">
        <w:rPr>
          <w:rFonts w:ascii="David" w:hAnsi="David" w:cs="David" w:hint="cs"/>
          <w:b/>
          <w:bCs/>
          <w:u w:val="single"/>
          <w:rtl/>
        </w:rPr>
        <w:t xml:space="preserve"> </w:t>
      </w:r>
      <w:r w:rsidRPr="005F6214">
        <w:rPr>
          <w:rFonts w:ascii="David" w:hAnsi="David" w:cs="David" w:hint="cs"/>
          <w:rtl/>
        </w:rPr>
        <w:t xml:space="preserve">(פרסום למתן תוקף + 15 יום), לעומת תמ"א 38, המתגבשת כאירוע תכנוני רק במועד החלטת הוועדה המקומית </w:t>
      </w:r>
      <w:r w:rsidRPr="005F6214">
        <w:rPr>
          <w:rFonts w:ascii="David" w:hAnsi="David" w:cs="David" w:hint="cs"/>
          <w:u w:val="single"/>
          <w:rtl/>
        </w:rPr>
        <w:t>לאשר היתר בנייה מכוחה</w:t>
      </w:r>
      <w:r w:rsidRPr="005F6214">
        <w:rPr>
          <w:rFonts w:ascii="David" w:hAnsi="David" w:cs="David" w:hint="cs"/>
          <w:rtl/>
        </w:rPr>
        <w:t xml:space="preserve"> לפיכך, התבססות </w:t>
      </w:r>
      <w:r w:rsidR="0093008D">
        <w:rPr>
          <w:rFonts w:ascii="David" w:hAnsi="David" w:cs="David" w:hint="cs"/>
          <w:rtl/>
        </w:rPr>
        <w:t>השמאית המכריעה</w:t>
      </w:r>
      <w:r w:rsidRPr="005F6214">
        <w:rPr>
          <w:rFonts w:ascii="David" w:hAnsi="David" w:cs="David" w:hint="cs"/>
          <w:rtl/>
        </w:rPr>
        <w:t xml:space="preserve"> על פסק הדין בעניין "מותג עירוני",</w:t>
      </w:r>
      <w:r w:rsidR="00FC2CD3">
        <w:rPr>
          <w:rFonts w:ascii="David" w:hAnsi="David" w:cs="David" w:hint="cs"/>
          <w:rtl/>
        </w:rPr>
        <w:t xml:space="preserve"> אף היא</w:t>
      </w:r>
      <w:r w:rsidRPr="005F6214">
        <w:rPr>
          <w:rFonts w:ascii="David" w:hAnsi="David" w:cs="David" w:hint="cs"/>
          <w:rtl/>
        </w:rPr>
        <w:t xml:space="preserve"> אינה רלוונטית ואף שגויה. </w:t>
      </w:r>
    </w:p>
    <w:p w:rsidR="005F6214" w:rsidRPr="005F6214" w:rsidRDefault="005F6214" w:rsidP="001E2F0B">
      <w:pPr>
        <w:pStyle w:val="a9"/>
        <w:numPr>
          <w:ilvl w:val="0"/>
          <w:numId w:val="1"/>
        </w:numPr>
        <w:tabs>
          <w:tab w:val="left" w:pos="425"/>
        </w:tabs>
        <w:spacing w:line="360" w:lineRule="auto"/>
        <w:contextualSpacing w:val="0"/>
        <w:jc w:val="both"/>
        <w:rPr>
          <w:rFonts w:ascii="David" w:hAnsi="David" w:cs="David"/>
        </w:rPr>
      </w:pPr>
      <w:r w:rsidRPr="001E2F0B">
        <w:rPr>
          <w:rFonts w:ascii="David" w:hAnsi="David" w:cs="David" w:hint="eastAsia"/>
          <w:color w:val="000000" w:themeColor="text1"/>
          <w:rtl/>
        </w:rPr>
        <w:t>הועדה</w:t>
      </w:r>
      <w:r w:rsidRPr="005F6214">
        <w:rPr>
          <w:rFonts w:ascii="David" w:hAnsi="David" w:cs="David" w:hint="cs"/>
          <w:rtl/>
        </w:rPr>
        <w:t xml:space="preserve"> המקומית מוסיפה וטוענת כי התבססותה של השמאית המכריעה על נוסח הוראות הפטור בסעיף 19(ב) (10) לתוספת השלישית לחוק, אינה רלוונטית ושגויה, שכן סעיף זה מתייחס </w:t>
      </w:r>
      <w:proofErr w:type="spellStart"/>
      <w:r w:rsidRPr="005F6214">
        <w:rPr>
          <w:rFonts w:ascii="David" w:hAnsi="David" w:cs="David" w:hint="cs"/>
          <w:rtl/>
        </w:rPr>
        <w:t>לתמ"א</w:t>
      </w:r>
      <w:proofErr w:type="spellEnd"/>
      <w:r w:rsidRPr="005F6214">
        <w:rPr>
          <w:rFonts w:ascii="David" w:hAnsi="David" w:cs="David" w:hint="cs"/>
          <w:rtl/>
        </w:rPr>
        <w:t xml:space="preserve"> 38 ולא לתכניות רגילות, ומכאן שהניתוח שערכה אינו יכול לבסס את מסקנותיה. </w:t>
      </w:r>
    </w:p>
    <w:p w:rsidR="005F6214" w:rsidRPr="005F6214" w:rsidRDefault="005F6214" w:rsidP="001E2F0B">
      <w:pPr>
        <w:pStyle w:val="a9"/>
        <w:numPr>
          <w:ilvl w:val="0"/>
          <w:numId w:val="1"/>
        </w:numPr>
        <w:tabs>
          <w:tab w:val="left" w:pos="425"/>
        </w:tabs>
        <w:spacing w:line="360" w:lineRule="auto"/>
        <w:contextualSpacing w:val="0"/>
        <w:jc w:val="both"/>
        <w:rPr>
          <w:rFonts w:ascii="David" w:hAnsi="David" w:cs="David"/>
        </w:rPr>
      </w:pPr>
      <w:r w:rsidRPr="005F6214">
        <w:rPr>
          <w:rFonts w:ascii="David" w:hAnsi="David" w:cs="David" w:hint="cs"/>
          <w:rtl/>
        </w:rPr>
        <w:t xml:space="preserve">עוד </w:t>
      </w:r>
      <w:r w:rsidR="00FC2CD3">
        <w:rPr>
          <w:rFonts w:ascii="David" w:hAnsi="David" w:cs="David" w:hint="cs"/>
          <w:rtl/>
        </w:rPr>
        <w:t>טוענת</w:t>
      </w:r>
      <w:r w:rsidR="00FC2CD3" w:rsidRPr="005F6214">
        <w:rPr>
          <w:rFonts w:ascii="David" w:hAnsi="David" w:cs="David" w:hint="cs"/>
          <w:rtl/>
        </w:rPr>
        <w:t xml:space="preserve"> </w:t>
      </w:r>
      <w:r w:rsidRPr="005F6214">
        <w:rPr>
          <w:rFonts w:ascii="David" w:hAnsi="David" w:cs="David" w:hint="cs"/>
          <w:rtl/>
        </w:rPr>
        <w:t xml:space="preserve">הוועדה המקומית, כי עמדת השמאית המכריעה לפיה "לא קמה חבות בהיטל השבחה עבור שטחי הממ"ד הואיל ותכלית הסכם פינוי בינוי הוא למימוש הזכויות בדרך של היתר בנייה" </w:t>
      </w:r>
      <w:r w:rsidRPr="005F6214">
        <w:rPr>
          <w:rFonts w:ascii="David" w:hAnsi="David" w:cs="David"/>
          <w:rtl/>
        </w:rPr>
        <w:t>–</w:t>
      </w:r>
      <w:r w:rsidRPr="005F6214">
        <w:rPr>
          <w:rFonts w:ascii="David" w:hAnsi="David" w:cs="David" w:hint="cs"/>
          <w:rtl/>
        </w:rPr>
        <w:t>שגויה היא, שכן</w:t>
      </w:r>
      <w:r w:rsidR="00A2713B">
        <w:rPr>
          <w:rFonts w:ascii="David" w:hAnsi="David" w:cs="David" w:hint="cs"/>
          <w:rtl/>
        </w:rPr>
        <w:t>,</w:t>
      </w:r>
      <w:r w:rsidRPr="005F6214">
        <w:rPr>
          <w:rFonts w:ascii="David" w:hAnsi="David" w:cs="David" w:hint="cs"/>
          <w:rtl/>
        </w:rPr>
        <w:t xml:space="preserve"> יש בה פרשנות מרחיבה ללא בסיס, המנטרלת את החיוב הקבוע בהוראות הדין למימוש במכר</w:t>
      </w:r>
      <w:r w:rsidR="00FC2CD3">
        <w:rPr>
          <w:rFonts w:ascii="David" w:hAnsi="David" w:cs="David" w:hint="cs"/>
          <w:rtl/>
        </w:rPr>
        <w:t>, שכן עסקת קומבינציה במסגרת פרויקט פינוי בינוי מהווה עסקת מכר לכל דבר ועניין</w:t>
      </w:r>
      <w:r w:rsidRPr="005F6214">
        <w:rPr>
          <w:rFonts w:ascii="David" w:hAnsi="David" w:cs="David" w:hint="cs"/>
          <w:rtl/>
        </w:rPr>
        <w:t xml:space="preserve">. </w:t>
      </w:r>
    </w:p>
    <w:p w:rsidR="005F6214" w:rsidRPr="005F6214" w:rsidRDefault="005F6214" w:rsidP="001E2F0B">
      <w:pPr>
        <w:pStyle w:val="a9"/>
        <w:numPr>
          <w:ilvl w:val="0"/>
          <w:numId w:val="1"/>
        </w:numPr>
        <w:tabs>
          <w:tab w:val="left" w:pos="425"/>
        </w:tabs>
        <w:spacing w:line="360" w:lineRule="auto"/>
        <w:contextualSpacing w:val="0"/>
        <w:jc w:val="both"/>
        <w:rPr>
          <w:rFonts w:ascii="David" w:hAnsi="David" w:cs="David"/>
        </w:rPr>
      </w:pPr>
      <w:r w:rsidRPr="005F6214">
        <w:rPr>
          <w:rFonts w:ascii="David" w:hAnsi="David" w:cs="David" w:hint="cs"/>
          <w:rtl/>
        </w:rPr>
        <w:t xml:space="preserve"> מהותה של עסקת הקומבינציה נידונה ונותחה במסגרת החלטת ועדת הערר בעניין "</w:t>
      </w:r>
      <w:proofErr w:type="spellStart"/>
      <w:r w:rsidRPr="005F6214">
        <w:rPr>
          <w:rFonts w:ascii="David" w:hAnsi="David" w:cs="David" w:hint="cs"/>
          <w:rtl/>
        </w:rPr>
        <w:t>סלונימסקי</w:t>
      </w:r>
      <w:proofErr w:type="spellEnd"/>
      <w:r w:rsidRPr="005F6214">
        <w:rPr>
          <w:rFonts w:ascii="David" w:hAnsi="David" w:cs="David" w:hint="cs"/>
          <w:rtl/>
        </w:rPr>
        <w:t xml:space="preserve">", אשר קבעה כי יש לראות ברכיב הזכויות שמעבר לדירות הקיימות, כהעברת זכויות במכר. </w:t>
      </w:r>
    </w:p>
    <w:p w:rsidR="005F6214" w:rsidRPr="005F6214" w:rsidRDefault="005F6214" w:rsidP="001E2F0B">
      <w:pPr>
        <w:pStyle w:val="a9"/>
        <w:numPr>
          <w:ilvl w:val="0"/>
          <w:numId w:val="1"/>
        </w:numPr>
        <w:tabs>
          <w:tab w:val="left" w:pos="425"/>
        </w:tabs>
        <w:spacing w:line="360" w:lineRule="auto"/>
        <w:contextualSpacing w:val="0"/>
        <w:jc w:val="both"/>
        <w:rPr>
          <w:rFonts w:ascii="David" w:hAnsi="David" w:cs="David"/>
        </w:rPr>
      </w:pPr>
      <w:r w:rsidRPr="005F6214">
        <w:rPr>
          <w:rFonts w:ascii="David" w:hAnsi="David" w:cs="David" w:hint="cs"/>
          <w:rtl/>
        </w:rPr>
        <w:t>כמו כן, מוסיפה הוועדה המקומית וטוענת כי האבחנה שעורכת השמאית המכריעה בעמ' 105 לשומ</w:t>
      </w:r>
      <w:r w:rsidR="00776B5F">
        <w:rPr>
          <w:rFonts w:ascii="David" w:hAnsi="David" w:cs="David" w:hint="cs"/>
          <w:rtl/>
        </w:rPr>
        <w:t>ות</w:t>
      </w:r>
      <w:r w:rsidRPr="005F6214">
        <w:rPr>
          <w:rFonts w:ascii="David" w:hAnsi="David" w:cs="David" w:hint="cs"/>
          <w:rtl/>
        </w:rPr>
        <w:t xml:space="preserve">יה, בין תכנית פינוי בינוי לבין תכנית רגילה לעניין היטל השבחה </w:t>
      </w:r>
      <w:r w:rsidRPr="005F6214">
        <w:rPr>
          <w:rFonts w:ascii="David" w:hAnsi="David" w:cs="David"/>
          <w:rtl/>
        </w:rPr>
        <w:t>–</w:t>
      </w:r>
      <w:r w:rsidRPr="005F6214">
        <w:rPr>
          <w:rFonts w:ascii="David" w:hAnsi="David" w:cs="David" w:hint="cs"/>
          <w:rtl/>
        </w:rPr>
        <w:t xml:space="preserve"> מנוגדת לפס"ד בעניין אשדר, שקבע כאמור כי תכנית פינוי בינוי הינה ככל תכנית לעניין חישוב בהיטל השבחה</w:t>
      </w:r>
      <w:r w:rsidR="00911D5F">
        <w:rPr>
          <w:rFonts w:ascii="David" w:hAnsi="David" w:cs="David" w:hint="cs"/>
          <w:rtl/>
        </w:rPr>
        <w:t>, ולכן בענייננו בגין המימוש במכר יש לכלול בחישוב ההשבחה גם שטחי ממ"דים</w:t>
      </w:r>
      <w:r w:rsidRPr="005F6214">
        <w:rPr>
          <w:rFonts w:ascii="David" w:hAnsi="David" w:cs="David" w:hint="cs"/>
          <w:rtl/>
        </w:rPr>
        <w:t xml:space="preserve">. </w:t>
      </w:r>
    </w:p>
    <w:p w:rsidR="005F6214" w:rsidRPr="005F6214" w:rsidRDefault="005F6214" w:rsidP="001E2F0B">
      <w:pPr>
        <w:pStyle w:val="a9"/>
        <w:numPr>
          <w:ilvl w:val="0"/>
          <w:numId w:val="1"/>
        </w:numPr>
        <w:tabs>
          <w:tab w:val="left" w:pos="425"/>
        </w:tabs>
        <w:spacing w:line="360" w:lineRule="auto"/>
        <w:contextualSpacing w:val="0"/>
        <w:jc w:val="both"/>
        <w:rPr>
          <w:rFonts w:ascii="David" w:hAnsi="David" w:cs="David"/>
        </w:rPr>
      </w:pPr>
      <w:r w:rsidRPr="001E2F0B">
        <w:rPr>
          <w:rFonts w:ascii="David" w:hAnsi="David" w:cs="David" w:hint="eastAsia"/>
          <w:color w:val="000000" w:themeColor="text1"/>
          <w:rtl/>
        </w:rPr>
        <w:t>עוד</w:t>
      </w:r>
      <w:r w:rsidRPr="005F6214">
        <w:rPr>
          <w:rFonts w:ascii="David" w:hAnsi="David" w:cs="David" w:hint="cs"/>
          <w:rtl/>
        </w:rPr>
        <w:t xml:space="preserve"> קבעה השמאית המכריעה כי מאחר וזכויות הבעלים נמכרו ליזם ביום 29.6.17, קרי, לאחר אישור תכנית בי/517, אך </w:t>
      </w:r>
      <w:r w:rsidRPr="003B3858">
        <w:rPr>
          <w:rFonts w:ascii="David" w:hAnsi="David" w:cs="David" w:hint="eastAsia"/>
          <w:b/>
          <w:bCs/>
          <w:rtl/>
        </w:rPr>
        <w:t>קודם</w:t>
      </w:r>
      <w:r w:rsidRPr="005F6214">
        <w:rPr>
          <w:rFonts w:ascii="David" w:hAnsi="David" w:cs="David" w:hint="cs"/>
          <w:rtl/>
        </w:rPr>
        <w:t xml:space="preserve"> לאישור תכנית בי/1/517 ולאישור ההקלות, הרי שגם אם יקבע בערכאות משפטיות כי הממ"דים שנמכרו ליזם חייבים בהיטל השבחה, הרי שתוספת הממ"דים שאושרה במסגרת בי/1/517 ובמסגרת ההקלה, מומשה בהיתר בניה ולא במכר. </w:t>
      </w:r>
    </w:p>
    <w:p w:rsidR="005F6214" w:rsidRPr="005F6214" w:rsidRDefault="005F6214" w:rsidP="001E2F0B">
      <w:pPr>
        <w:pStyle w:val="a9"/>
        <w:numPr>
          <w:ilvl w:val="0"/>
          <w:numId w:val="1"/>
        </w:numPr>
        <w:tabs>
          <w:tab w:val="left" w:pos="425"/>
        </w:tabs>
        <w:spacing w:line="360" w:lineRule="auto"/>
        <w:contextualSpacing w:val="0"/>
        <w:jc w:val="both"/>
        <w:rPr>
          <w:rFonts w:ascii="David" w:hAnsi="David" w:cs="David"/>
        </w:rPr>
      </w:pPr>
      <w:r w:rsidRPr="001E2F0B">
        <w:rPr>
          <w:rFonts w:ascii="David" w:hAnsi="David" w:cs="David" w:hint="eastAsia"/>
          <w:color w:val="000000" w:themeColor="text1"/>
          <w:rtl/>
        </w:rPr>
        <w:t>הוועדה</w:t>
      </w:r>
      <w:r w:rsidRPr="005F6214">
        <w:rPr>
          <w:rFonts w:ascii="David" w:hAnsi="David" w:cs="David" w:hint="cs"/>
          <w:rtl/>
        </w:rPr>
        <w:t xml:space="preserve"> המקומית </w:t>
      </w:r>
      <w:r w:rsidR="00BE0DD4">
        <w:rPr>
          <w:rFonts w:ascii="David" w:hAnsi="David" w:cs="David" w:hint="cs"/>
          <w:rtl/>
        </w:rPr>
        <w:t>טוענת</w:t>
      </w:r>
      <w:r w:rsidR="00BE0DD4" w:rsidRPr="005F6214">
        <w:rPr>
          <w:rFonts w:ascii="David" w:hAnsi="David" w:cs="David" w:hint="cs"/>
          <w:rtl/>
        </w:rPr>
        <w:t xml:space="preserve"> </w:t>
      </w:r>
      <w:r w:rsidRPr="005F6214">
        <w:rPr>
          <w:rFonts w:ascii="David" w:hAnsi="David" w:cs="David" w:hint="cs"/>
          <w:rtl/>
        </w:rPr>
        <w:t xml:space="preserve">כי עמדה זו שגויה מן הטעמים כלהלן: </w:t>
      </w:r>
    </w:p>
    <w:p w:rsidR="005F6214" w:rsidRPr="005F6214" w:rsidRDefault="005F6214" w:rsidP="00073883">
      <w:pPr>
        <w:pStyle w:val="a9"/>
        <w:numPr>
          <w:ilvl w:val="0"/>
          <w:numId w:val="7"/>
        </w:numPr>
        <w:spacing w:line="360" w:lineRule="auto"/>
        <w:jc w:val="both"/>
        <w:rPr>
          <w:rFonts w:ascii="David" w:hAnsi="David" w:cs="David"/>
        </w:rPr>
      </w:pPr>
      <w:r w:rsidRPr="005F6214">
        <w:rPr>
          <w:rFonts w:ascii="David" w:hAnsi="David" w:cs="David" w:hint="cs"/>
          <w:rtl/>
        </w:rPr>
        <w:t>מבחינה מצרפית, תכנית בי/1/517</w:t>
      </w:r>
      <w:r w:rsidRPr="005F6214">
        <w:rPr>
          <w:rFonts w:ascii="David" w:hAnsi="David" w:cs="David"/>
        </w:rPr>
        <w:t xml:space="preserve"> </w:t>
      </w:r>
      <w:r w:rsidRPr="005F6214">
        <w:rPr>
          <w:rFonts w:ascii="David" w:hAnsi="David" w:cs="David" w:hint="cs"/>
          <w:rtl/>
        </w:rPr>
        <w:t xml:space="preserve">לא הוסיפה יח"ד בשני המגרשים מושא העררים, כלומר מבחינה זו התכנית לא שינתה את כמות הממ"דים, ולכן סוגיית הממ"דים לא רלוונטית ביחס לתכנית זו. </w:t>
      </w:r>
    </w:p>
    <w:p w:rsidR="005F6214" w:rsidRPr="005F6214" w:rsidRDefault="005F6214" w:rsidP="00073883">
      <w:pPr>
        <w:pStyle w:val="a9"/>
        <w:numPr>
          <w:ilvl w:val="0"/>
          <w:numId w:val="7"/>
        </w:numPr>
        <w:spacing w:line="360" w:lineRule="auto"/>
        <w:jc w:val="both"/>
        <w:rPr>
          <w:rFonts w:ascii="David" w:hAnsi="David" w:cs="David"/>
        </w:rPr>
      </w:pPr>
      <w:r w:rsidRPr="005F6214">
        <w:rPr>
          <w:rFonts w:ascii="David" w:hAnsi="David" w:cs="David" w:hint="cs"/>
          <w:rtl/>
        </w:rPr>
        <w:t>הממ"דים שאושרו בהקלה (90),</w:t>
      </w:r>
      <w:r w:rsidR="00911D5F">
        <w:rPr>
          <w:rFonts w:ascii="David" w:hAnsi="David" w:cs="David" w:hint="cs"/>
          <w:rtl/>
        </w:rPr>
        <w:t xml:space="preserve"> ממילא</w:t>
      </w:r>
      <w:r w:rsidRPr="005F6214">
        <w:rPr>
          <w:rFonts w:ascii="David" w:hAnsi="David" w:cs="David" w:hint="cs"/>
          <w:rtl/>
        </w:rPr>
        <w:t xml:space="preserve"> לא היו קיימים במועד המכר הראשון של זכויות הבעלים ביום 29.6.17, והמכר של זכויות ליזם אלו נוצר לראשונה ר</w:t>
      </w:r>
      <w:r w:rsidR="007E6E5A">
        <w:rPr>
          <w:rFonts w:ascii="David" w:hAnsi="David" w:cs="David" w:hint="cs"/>
          <w:rtl/>
        </w:rPr>
        <w:t>ק</w:t>
      </w:r>
      <w:r w:rsidRPr="005F6214">
        <w:rPr>
          <w:rFonts w:ascii="David" w:hAnsi="David" w:cs="David" w:hint="cs"/>
          <w:rtl/>
        </w:rPr>
        <w:t xml:space="preserve"> במועד אישור ההקלה ביום 25.12.19. </w:t>
      </w:r>
    </w:p>
    <w:p w:rsidR="005F6214" w:rsidRPr="005F6214" w:rsidRDefault="005F6214" w:rsidP="005F6214">
      <w:pPr>
        <w:pStyle w:val="a9"/>
        <w:spacing w:line="360" w:lineRule="auto"/>
        <w:ind w:left="1080"/>
        <w:jc w:val="both"/>
        <w:rPr>
          <w:rFonts w:ascii="David" w:hAnsi="David" w:cs="David"/>
        </w:rPr>
      </w:pPr>
      <w:r w:rsidRPr="005F6214">
        <w:rPr>
          <w:rFonts w:ascii="David" w:hAnsi="David" w:cs="David" w:hint="cs"/>
          <w:rtl/>
        </w:rPr>
        <w:t xml:space="preserve">בהתאם לכך, מאחר שמדובר בעסקת קומבינציה ולא בעסקת מזומן, מסגרת הזכויות הקיימות והעתידיות נרכשות ע"י הרוכש במועד הסכם הרכישה </w:t>
      </w:r>
      <w:r w:rsidRPr="005F6214">
        <w:rPr>
          <w:rFonts w:ascii="David" w:hAnsi="David" w:cs="David"/>
          <w:rtl/>
        </w:rPr>
        <w:t>–</w:t>
      </w:r>
      <w:r w:rsidRPr="005F6214">
        <w:rPr>
          <w:rFonts w:ascii="David" w:hAnsi="David" w:cs="David" w:hint="cs"/>
          <w:rtl/>
        </w:rPr>
        <w:t xml:space="preserve"> </w:t>
      </w:r>
      <w:r w:rsidR="00911D5F">
        <w:rPr>
          <w:rFonts w:ascii="David" w:hAnsi="David" w:cs="David" w:hint="cs"/>
          <w:rtl/>
        </w:rPr>
        <w:t>כך</w:t>
      </w:r>
      <w:r w:rsidR="00911D5F" w:rsidRPr="005F6214">
        <w:rPr>
          <w:rFonts w:ascii="David" w:hAnsi="David" w:cs="David" w:hint="cs"/>
          <w:rtl/>
        </w:rPr>
        <w:t xml:space="preserve"> </w:t>
      </w:r>
      <w:r w:rsidRPr="005F6214">
        <w:rPr>
          <w:rFonts w:ascii="David" w:hAnsi="David" w:cs="David" w:hint="cs"/>
          <w:rtl/>
        </w:rPr>
        <w:t xml:space="preserve">שהמכר של 90 הממ"דים שנוצרו </w:t>
      </w:r>
      <w:r w:rsidR="00911D5F">
        <w:rPr>
          <w:rFonts w:ascii="David" w:hAnsi="David" w:cs="David" w:hint="cs"/>
          <w:rtl/>
        </w:rPr>
        <w:t>מכוח ה</w:t>
      </w:r>
      <w:r w:rsidRPr="005F6214">
        <w:rPr>
          <w:rFonts w:ascii="David" w:hAnsi="David" w:cs="David" w:hint="cs"/>
          <w:rtl/>
        </w:rPr>
        <w:t xml:space="preserve">הקלה התבצע רק במועד אישור ההקלה ולפני הוצאת היתר הבניה, שכן רק אז נכנסה לתוקף עסקת המכר ביחס לזכויות ההקלה. מאחר וענייננו במימוש במכר, אזי יש מקום לחייב גם בגין שטחי ממ"דים. </w:t>
      </w:r>
    </w:p>
    <w:p w:rsidR="005F6214" w:rsidRPr="005F6214" w:rsidRDefault="005F6214" w:rsidP="001E2F0B">
      <w:pPr>
        <w:pStyle w:val="a9"/>
        <w:numPr>
          <w:ilvl w:val="0"/>
          <w:numId w:val="1"/>
        </w:numPr>
        <w:tabs>
          <w:tab w:val="left" w:pos="425"/>
        </w:tabs>
        <w:spacing w:line="360" w:lineRule="auto"/>
        <w:contextualSpacing w:val="0"/>
        <w:jc w:val="both"/>
        <w:rPr>
          <w:rFonts w:ascii="David" w:hAnsi="David" w:cs="David"/>
        </w:rPr>
      </w:pPr>
      <w:r w:rsidRPr="005F6214">
        <w:rPr>
          <w:rFonts w:ascii="David" w:hAnsi="David" w:cs="David" w:hint="cs"/>
          <w:rtl/>
        </w:rPr>
        <w:t>יצוין כי בעמ' 169 לשומות המכריעות נקבע ביחס לתכנית בי/517, כי "</w:t>
      </w:r>
      <w:r w:rsidRPr="005F6214">
        <w:rPr>
          <w:rFonts w:ascii="David" w:hAnsi="David" w:cs="David" w:hint="cs"/>
          <w:b/>
          <w:bCs/>
          <w:rtl/>
        </w:rPr>
        <w:t xml:space="preserve">נכון למועד הקובע לתכנית המשביחה דנן, חוזה ההתקשרות בין בעלי המקרקעין ליזם טרם התגבש, באופן שהתגבשותו מותנית בחתימה של יתר בעלי הזכויות שטרם חתמו על ההסכם". </w:t>
      </w:r>
      <w:r w:rsidR="00911D5F">
        <w:rPr>
          <w:rFonts w:ascii="David" w:hAnsi="David" w:cs="David" w:hint="cs"/>
          <w:rtl/>
        </w:rPr>
        <w:t xml:space="preserve">בהקשר זה נטען כי </w:t>
      </w:r>
      <w:r w:rsidRPr="005F6214">
        <w:rPr>
          <w:rFonts w:ascii="David" w:hAnsi="David" w:cs="David" w:hint="cs"/>
          <w:rtl/>
        </w:rPr>
        <w:t xml:space="preserve">קביעה זו מוכיחה כי גם לעמדת השמאית המכריעה, מכר זכויות הבעלים עפ"י תכנית בי/517 התבצע בהכרח לאחר אישור תכנית בי/517. </w:t>
      </w:r>
    </w:p>
    <w:p w:rsidR="00D52BDE" w:rsidRPr="00BE0DD4" w:rsidRDefault="005F6214" w:rsidP="001E2F0B">
      <w:pPr>
        <w:pStyle w:val="a9"/>
        <w:numPr>
          <w:ilvl w:val="0"/>
          <w:numId w:val="1"/>
        </w:numPr>
        <w:tabs>
          <w:tab w:val="left" w:pos="425"/>
        </w:tabs>
        <w:spacing w:line="360" w:lineRule="auto"/>
        <w:contextualSpacing w:val="0"/>
        <w:jc w:val="both"/>
      </w:pPr>
      <w:r w:rsidRPr="005F6214">
        <w:rPr>
          <w:rFonts w:ascii="David" w:hAnsi="David" w:cs="David" w:hint="cs"/>
          <w:rtl/>
        </w:rPr>
        <w:t xml:space="preserve">בנוסף, בהתאם לקביעה זו ולדיווח לרשות המיסים על מכירת זכויות הבעלים במתחם ביום 29.6.17, מתקבלת </w:t>
      </w:r>
      <w:r w:rsidR="00031E93">
        <w:rPr>
          <w:rFonts w:ascii="David" w:hAnsi="David" w:cs="David" w:hint="cs"/>
          <w:rtl/>
        </w:rPr>
        <w:t xml:space="preserve">לעמדת הועדה המקומית </w:t>
      </w:r>
      <w:r w:rsidRPr="005F6214">
        <w:rPr>
          <w:rFonts w:ascii="David" w:hAnsi="David" w:cs="David" w:hint="cs"/>
          <w:rtl/>
        </w:rPr>
        <w:t>המסקנה</w:t>
      </w:r>
      <w:r w:rsidR="00031E93">
        <w:rPr>
          <w:rFonts w:ascii="David" w:hAnsi="David" w:cs="David" w:hint="cs"/>
          <w:rtl/>
        </w:rPr>
        <w:t>,</w:t>
      </w:r>
      <w:r w:rsidRPr="005F6214">
        <w:rPr>
          <w:rFonts w:ascii="David" w:hAnsi="David" w:cs="David" w:hint="cs"/>
          <w:rtl/>
        </w:rPr>
        <w:t xml:space="preserve"> כי הממ"דים שנמכרו ליזם מתוך זכויות תכנית בי/517 </w:t>
      </w:r>
      <w:r w:rsidRPr="005F6214">
        <w:rPr>
          <w:rFonts w:ascii="David" w:hAnsi="David" w:cs="David"/>
          <w:rtl/>
        </w:rPr>
        <w:t>–</w:t>
      </w:r>
      <w:r w:rsidRPr="005F6214">
        <w:rPr>
          <w:rFonts w:ascii="David" w:hAnsi="David" w:cs="David" w:hint="cs"/>
          <w:rtl/>
        </w:rPr>
        <w:t xml:space="preserve"> חייבים בהיטל השבחה. </w:t>
      </w:r>
    </w:p>
    <w:p w:rsidR="005F6214" w:rsidRPr="005F6214" w:rsidRDefault="005F6214" w:rsidP="005F6214">
      <w:pPr>
        <w:spacing w:line="360" w:lineRule="auto"/>
        <w:jc w:val="both"/>
        <w:rPr>
          <w:rFonts w:ascii="David" w:hAnsi="David" w:cs="David"/>
          <w:u w:val="thick"/>
          <w:rtl/>
        </w:rPr>
      </w:pPr>
      <w:r w:rsidRPr="005F6214">
        <w:rPr>
          <w:rFonts w:ascii="David" w:hAnsi="David" w:cs="David" w:hint="cs"/>
          <w:u w:val="thick"/>
          <w:rtl/>
        </w:rPr>
        <w:t xml:space="preserve">תשובת החברה </w:t>
      </w:r>
    </w:p>
    <w:p w:rsidR="005F6214" w:rsidRPr="00031E93" w:rsidRDefault="005F6214" w:rsidP="001E2F0B">
      <w:pPr>
        <w:pStyle w:val="a9"/>
        <w:numPr>
          <w:ilvl w:val="0"/>
          <w:numId w:val="1"/>
        </w:numPr>
        <w:tabs>
          <w:tab w:val="left" w:pos="425"/>
        </w:tabs>
        <w:spacing w:line="360" w:lineRule="auto"/>
        <w:ind w:left="357"/>
        <w:contextualSpacing w:val="0"/>
        <w:jc w:val="both"/>
        <w:rPr>
          <w:rFonts w:ascii="David" w:hAnsi="David" w:cs="David"/>
          <w:rtl/>
        </w:rPr>
      </w:pPr>
      <w:r w:rsidRPr="001E2F0B">
        <w:rPr>
          <w:rFonts w:ascii="David" w:hAnsi="David" w:cs="David" w:hint="eastAsia"/>
          <w:color w:val="000000" w:themeColor="text1"/>
          <w:rtl/>
        </w:rPr>
        <w:t>לטענת</w:t>
      </w:r>
      <w:r w:rsidRPr="00031E93">
        <w:rPr>
          <w:rFonts w:ascii="David" w:hAnsi="David" w:cs="David" w:hint="cs"/>
          <w:rtl/>
        </w:rPr>
        <w:t xml:space="preserve"> החברה בהתאם להחלטות ועדות ערר ובתי המשפט על מנת לקבוע אם יש לראות בהסכם עם תנאי מתלה כאירוע מימוש לעניין היטל השבחה</w:t>
      </w:r>
      <w:r w:rsidR="00031E93" w:rsidRPr="00031E93">
        <w:rPr>
          <w:rFonts w:ascii="David" w:hAnsi="David" w:cs="David" w:hint="cs"/>
          <w:rtl/>
        </w:rPr>
        <w:t>,</w:t>
      </w:r>
      <w:r w:rsidRPr="00031E93">
        <w:rPr>
          <w:rFonts w:ascii="David" w:hAnsi="David" w:cs="David" w:hint="cs"/>
          <w:rtl/>
        </w:rPr>
        <w:t xml:space="preserve"> יש לבחון כל מקרה בהתאם לנסיבותיו ולמהות התנאי המתלה, בדגש על מהותה הכלכלית על העסקה. </w:t>
      </w:r>
      <w:r w:rsidR="00031E93" w:rsidRPr="00031E93">
        <w:rPr>
          <w:rFonts w:ascii="David" w:hAnsi="David" w:cs="David" w:hint="cs"/>
          <w:rtl/>
        </w:rPr>
        <w:t xml:space="preserve">בהתאם, </w:t>
      </w:r>
      <w:r w:rsidRPr="00031E93">
        <w:rPr>
          <w:rFonts w:ascii="David" w:hAnsi="David" w:cs="David" w:hint="cs"/>
          <w:rtl/>
        </w:rPr>
        <w:t>אין ולא יכול להיות חולק שמהות ההסכם של החברה עם בעלי הדירות וכל תכליתו ה</w:t>
      </w:r>
      <w:r w:rsidR="00031E93">
        <w:rPr>
          <w:rFonts w:ascii="David" w:hAnsi="David" w:cs="David" w:hint="cs"/>
          <w:rtl/>
        </w:rPr>
        <w:t>וא</w:t>
      </w:r>
      <w:r w:rsidRPr="00031E93">
        <w:rPr>
          <w:rFonts w:ascii="David" w:hAnsi="David" w:cs="David" w:hint="cs"/>
          <w:rtl/>
        </w:rPr>
        <w:t xml:space="preserve"> ביצוע פרויקט פינוי בינוי.</w:t>
      </w:r>
    </w:p>
    <w:p w:rsidR="00241889" w:rsidRDefault="005F6214" w:rsidP="001E2F0B">
      <w:pPr>
        <w:pStyle w:val="a9"/>
        <w:tabs>
          <w:tab w:val="left" w:pos="1244"/>
        </w:tabs>
        <w:spacing w:line="360" w:lineRule="auto"/>
        <w:ind w:left="357"/>
        <w:contextualSpacing w:val="0"/>
        <w:jc w:val="both"/>
        <w:rPr>
          <w:rFonts w:ascii="David" w:hAnsi="David" w:cs="David"/>
          <w:rtl/>
        </w:rPr>
      </w:pPr>
      <w:r w:rsidRPr="005F6214">
        <w:rPr>
          <w:rFonts w:ascii="David" w:hAnsi="David" w:cs="David" w:hint="cs"/>
          <w:rtl/>
        </w:rPr>
        <w:t xml:space="preserve">השמאית המכריעה צדקה כשקבעה כי מלשון החוק והפסיקה עולה כי "הפטור לפי סעיף 19 (ב)(9) חל גם במכר זכויות שיש בהם כדי לממש את תכלית החקיקה לעידוד הקמת מרחבים מוגנים בפועל בפרק זמן קצר". </w:t>
      </w:r>
    </w:p>
    <w:p w:rsidR="005F6214" w:rsidRPr="00241889" w:rsidRDefault="005F6214" w:rsidP="001E2F0B">
      <w:pPr>
        <w:pStyle w:val="a9"/>
        <w:numPr>
          <w:ilvl w:val="0"/>
          <w:numId w:val="1"/>
        </w:numPr>
        <w:tabs>
          <w:tab w:val="left" w:pos="425"/>
        </w:tabs>
        <w:spacing w:line="360" w:lineRule="auto"/>
        <w:ind w:left="357"/>
        <w:contextualSpacing w:val="0"/>
        <w:jc w:val="both"/>
        <w:rPr>
          <w:rFonts w:ascii="David" w:hAnsi="David" w:cs="David"/>
          <w:rtl/>
        </w:rPr>
      </w:pPr>
      <w:r w:rsidRPr="001E2F0B">
        <w:rPr>
          <w:rFonts w:ascii="David" w:hAnsi="David" w:cs="David" w:hint="eastAsia"/>
          <w:color w:val="000000" w:themeColor="text1"/>
          <w:rtl/>
        </w:rPr>
        <w:t>כתמיכה</w:t>
      </w:r>
      <w:r w:rsidRPr="00241889">
        <w:rPr>
          <w:rFonts w:ascii="David" w:hAnsi="David" w:cs="David" w:hint="cs"/>
          <w:rtl/>
        </w:rPr>
        <w:t xml:space="preserve"> לטענותיה מפנה החברה </w:t>
      </w:r>
      <w:r w:rsidR="00031E93" w:rsidRPr="00241889">
        <w:rPr>
          <w:rFonts w:ascii="David" w:hAnsi="David" w:cs="David" w:hint="cs"/>
          <w:rtl/>
        </w:rPr>
        <w:t>ל</w:t>
      </w:r>
      <w:r w:rsidRPr="00241889">
        <w:rPr>
          <w:rFonts w:ascii="David" w:hAnsi="David" w:cs="David" w:hint="cs"/>
          <w:rtl/>
        </w:rPr>
        <w:t xml:space="preserve">ערר </w:t>
      </w:r>
      <w:proofErr w:type="spellStart"/>
      <w:r w:rsidRPr="00241889">
        <w:rPr>
          <w:rFonts w:ascii="David" w:hAnsi="David" w:cs="David" w:hint="cs"/>
          <w:rtl/>
        </w:rPr>
        <w:t>סיגייט</w:t>
      </w:r>
      <w:proofErr w:type="spellEnd"/>
      <w:r w:rsidRPr="00241889">
        <w:rPr>
          <w:rFonts w:ascii="David" w:hAnsi="David" w:cs="David" w:hint="cs"/>
          <w:rtl/>
        </w:rPr>
        <w:t xml:space="preserve"> נדל"ן (ערר 81015-02-22) </w:t>
      </w:r>
      <w:r w:rsidR="00911D5F" w:rsidRPr="00241889">
        <w:rPr>
          <w:rFonts w:ascii="David" w:hAnsi="David" w:cs="David" w:hint="cs"/>
          <w:rtl/>
        </w:rPr>
        <w:t>פסק הדין ב</w:t>
      </w:r>
      <w:r w:rsidRPr="00241889">
        <w:rPr>
          <w:rFonts w:ascii="David" w:hAnsi="David" w:cs="David" w:hint="cs"/>
          <w:rtl/>
        </w:rPr>
        <w:t>"מותג עירוני" (</w:t>
      </w:r>
      <w:proofErr w:type="spellStart"/>
      <w:r w:rsidRPr="00241889">
        <w:rPr>
          <w:rFonts w:ascii="David" w:hAnsi="David" w:cs="David" w:hint="cs"/>
          <w:rtl/>
        </w:rPr>
        <w:t>עמ"נ</w:t>
      </w:r>
      <w:proofErr w:type="spellEnd"/>
      <w:r w:rsidRPr="00241889">
        <w:rPr>
          <w:rFonts w:ascii="David" w:hAnsi="David" w:cs="David" w:hint="cs"/>
          <w:rtl/>
        </w:rPr>
        <w:t xml:space="preserve"> 46044-03-21</w:t>
      </w:r>
      <w:r w:rsidR="00911D5F" w:rsidRPr="00241889">
        <w:rPr>
          <w:rFonts w:ascii="David" w:hAnsi="David" w:cs="David" w:hint="cs"/>
          <w:rtl/>
        </w:rPr>
        <w:t>)</w:t>
      </w:r>
      <w:r w:rsidRPr="00241889">
        <w:rPr>
          <w:rFonts w:ascii="David" w:hAnsi="David" w:cs="David" w:hint="cs"/>
          <w:rtl/>
        </w:rPr>
        <w:t xml:space="preserve">, </w:t>
      </w:r>
      <w:r w:rsidR="00911D5F" w:rsidRPr="00241889">
        <w:rPr>
          <w:rFonts w:ascii="David" w:hAnsi="David" w:cs="David" w:hint="cs"/>
          <w:rtl/>
        </w:rPr>
        <w:t xml:space="preserve">וההחלטות בעניין </w:t>
      </w:r>
      <w:r w:rsidRPr="00241889">
        <w:rPr>
          <w:rFonts w:ascii="David" w:hAnsi="David" w:cs="David" w:hint="cs"/>
          <w:rtl/>
        </w:rPr>
        <w:t xml:space="preserve">גבעת שמואל החדשה (ערר 8107-11-22) </w:t>
      </w:r>
      <w:r w:rsidR="00911D5F" w:rsidRPr="00241889">
        <w:rPr>
          <w:rFonts w:ascii="David" w:hAnsi="David" w:cs="David" w:hint="cs"/>
          <w:rtl/>
        </w:rPr>
        <w:t>ו</w:t>
      </w:r>
      <w:r w:rsidRPr="00241889">
        <w:rPr>
          <w:rFonts w:ascii="David" w:hAnsi="David" w:cs="David" w:hint="cs"/>
          <w:rtl/>
        </w:rPr>
        <w:t>צברים (ערר 85061/17)</w:t>
      </w:r>
      <w:r w:rsidR="00031E93" w:rsidRPr="00241889">
        <w:rPr>
          <w:rFonts w:ascii="David" w:hAnsi="David" w:cs="David" w:hint="cs"/>
          <w:rtl/>
        </w:rPr>
        <w:t xml:space="preserve">. </w:t>
      </w:r>
    </w:p>
    <w:p w:rsidR="005F6214" w:rsidRPr="005F6214" w:rsidRDefault="005F6214" w:rsidP="001E2F0B">
      <w:pPr>
        <w:pStyle w:val="a9"/>
        <w:tabs>
          <w:tab w:val="left" w:pos="1244"/>
        </w:tabs>
        <w:spacing w:line="360" w:lineRule="auto"/>
        <w:ind w:left="357"/>
        <w:contextualSpacing w:val="0"/>
        <w:jc w:val="both"/>
        <w:rPr>
          <w:rFonts w:ascii="David" w:hAnsi="David" w:cs="David"/>
          <w:rtl/>
        </w:rPr>
      </w:pPr>
      <w:r w:rsidRPr="005F6214">
        <w:rPr>
          <w:rFonts w:ascii="David" w:hAnsi="David" w:cs="David" w:hint="cs"/>
          <w:rtl/>
        </w:rPr>
        <w:t>מכל אלה עולה</w:t>
      </w:r>
      <w:r w:rsidR="0099201F">
        <w:rPr>
          <w:rFonts w:ascii="David" w:hAnsi="David" w:cs="David" w:hint="cs"/>
          <w:rtl/>
        </w:rPr>
        <w:t>,</w:t>
      </w:r>
      <w:r w:rsidRPr="005F6214">
        <w:rPr>
          <w:rFonts w:ascii="David" w:hAnsi="David" w:cs="David" w:hint="cs"/>
          <w:rtl/>
        </w:rPr>
        <w:t xml:space="preserve"> כי צדקה השמאית המכריעה כשקבעה, כי תכלית הסכם הפינוי בינוי בעניינינו הינו מימוש הזכויות בדרך של היתר בניה לכל הפרויקט וכי לצורך הפטור מהיטל השבחה לממ"דים מועד המימוש ביחס לכל הדירות בפרויקט הינו מועד אישור ההקלה. </w:t>
      </w:r>
    </w:p>
    <w:p w:rsidR="005F6214" w:rsidRPr="005F6214" w:rsidRDefault="00911D5F" w:rsidP="001E2F0B">
      <w:pPr>
        <w:pStyle w:val="a9"/>
        <w:numPr>
          <w:ilvl w:val="0"/>
          <w:numId w:val="1"/>
        </w:numPr>
        <w:tabs>
          <w:tab w:val="left" w:pos="425"/>
        </w:tabs>
        <w:spacing w:line="360" w:lineRule="auto"/>
        <w:ind w:left="357"/>
        <w:contextualSpacing w:val="0"/>
        <w:jc w:val="both"/>
        <w:rPr>
          <w:rFonts w:ascii="David" w:hAnsi="David" w:cs="David"/>
          <w:rtl/>
        </w:rPr>
      </w:pPr>
      <w:r w:rsidRPr="001E2F0B">
        <w:rPr>
          <w:rFonts w:ascii="David" w:hAnsi="David" w:cs="David" w:hint="eastAsia"/>
          <w:color w:val="000000" w:themeColor="text1"/>
          <w:rtl/>
        </w:rPr>
        <w:t>באשר</w:t>
      </w:r>
      <w:r>
        <w:rPr>
          <w:rFonts w:ascii="David" w:hAnsi="David" w:cs="David" w:hint="cs"/>
          <w:rtl/>
        </w:rPr>
        <w:t xml:space="preserve"> לטענות הוועדה המקומית ביחס להסתמכות על החלטת ועדת הערר</w:t>
      </w:r>
      <w:r w:rsidR="005F6214" w:rsidRPr="005F6214">
        <w:rPr>
          <w:rFonts w:ascii="David" w:hAnsi="David" w:cs="David" w:hint="cs"/>
          <w:rtl/>
        </w:rPr>
        <w:t xml:space="preserve"> בעניין </w:t>
      </w:r>
      <w:r w:rsidR="00031E93">
        <w:rPr>
          <w:rFonts w:ascii="David" w:hAnsi="David" w:cs="David" w:hint="cs"/>
          <w:rtl/>
        </w:rPr>
        <w:t>"</w:t>
      </w:r>
      <w:proofErr w:type="spellStart"/>
      <w:r w:rsidR="005F6214" w:rsidRPr="005F6214">
        <w:rPr>
          <w:rFonts w:ascii="David" w:hAnsi="David" w:cs="David" w:hint="cs"/>
          <w:rtl/>
        </w:rPr>
        <w:t>סלונימסקי</w:t>
      </w:r>
      <w:proofErr w:type="spellEnd"/>
      <w:r w:rsidR="00031E93">
        <w:rPr>
          <w:rFonts w:ascii="David" w:hAnsi="David" w:cs="David" w:hint="cs"/>
          <w:rtl/>
        </w:rPr>
        <w:t>"</w:t>
      </w:r>
      <w:r w:rsidR="005F6214" w:rsidRPr="005F6214">
        <w:rPr>
          <w:rFonts w:ascii="David" w:hAnsi="David" w:cs="David" w:hint="cs"/>
          <w:rtl/>
        </w:rPr>
        <w:t xml:space="preserve"> </w:t>
      </w:r>
      <w:r>
        <w:rPr>
          <w:rFonts w:ascii="David" w:hAnsi="David" w:cs="David" w:hint="cs"/>
          <w:rtl/>
        </w:rPr>
        <w:t>נטען:</w:t>
      </w:r>
    </w:p>
    <w:p w:rsidR="005F6214" w:rsidRPr="00031E93" w:rsidRDefault="005F6214" w:rsidP="001E2F0B">
      <w:pPr>
        <w:pStyle w:val="a9"/>
        <w:numPr>
          <w:ilvl w:val="0"/>
          <w:numId w:val="1"/>
        </w:numPr>
        <w:tabs>
          <w:tab w:val="left" w:pos="425"/>
        </w:tabs>
        <w:spacing w:line="360" w:lineRule="auto"/>
        <w:ind w:left="357"/>
        <w:contextualSpacing w:val="0"/>
        <w:jc w:val="both"/>
        <w:rPr>
          <w:rFonts w:ascii="David" w:hAnsi="David" w:cs="David"/>
          <w:rtl/>
        </w:rPr>
      </w:pPr>
      <w:r w:rsidRPr="001E2F0B">
        <w:rPr>
          <w:rFonts w:ascii="David" w:hAnsi="David" w:cs="David" w:hint="eastAsia"/>
          <w:color w:val="000000" w:themeColor="text1"/>
          <w:rtl/>
        </w:rPr>
        <w:t>בערר</w:t>
      </w:r>
      <w:r w:rsidRPr="00031E93">
        <w:rPr>
          <w:rFonts w:ascii="David" w:hAnsi="David" w:cs="David" w:hint="cs"/>
          <w:rtl/>
        </w:rPr>
        <w:t xml:space="preserve"> </w:t>
      </w:r>
      <w:proofErr w:type="spellStart"/>
      <w:r w:rsidRPr="00031E93">
        <w:rPr>
          <w:rFonts w:ascii="David" w:hAnsi="David" w:cs="David" w:hint="cs"/>
          <w:rtl/>
        </w:rPr>
        <w:t>סלונימיסקי</w:t>
      </w:r>
      <w:proofErr w:type="spellEnd"/>
      <w:r w:rsidRPr="00031E93">
        <w:rPr>
          <w:rFonts w:ascii="David" w:hAnsi="David" w:cs="David" w:hint="cs"/>
          <w:rtl/>
        </w:rPr>
        <w:t xml:space="preserve"> נדון הסכם קומבינצי</w:t>
      </w:r>
      <w:r w:rsidRPr="00031E93">
        <w:rPr>
          <w:rFonts w:ascii="David" w:hAnsi="David" w:cs="David" w:hint="eastAsia"/>
          <w:rtl/>
        </w:rPr>
        <w:t>ה</w:t>
      </w:r>
      <w:r w:rsidRPr="00031E93">
        <w:rPr>
          <w:rFonts w:ascii="David" w:hAnsi="David" w:cs="David" w:hint="cs"/>
          <w:rtl/>
        </w:rPr>
        <w:t xml:space="preserve"> עם תנאי מתלה של אישור התכנית. ועדת הערר קבעה כי אין לראות את מועד העסקה כמועד המימוש, אלא את מועד תחילת תוקפה של התכנית שיצרה את הזכויות שניתן להעביר ליזמים ושאפשרה את מימוש ההסכם. לעמדת החברה, כעולה מערר </w:t>
      </w:r>
      <w:proofErr w:type="spellStart"/>
      <w:r w:rsidRPr="00031E93">
        <w:rPr>
          <w:rFonts w:ascii="David" w:hAnsi="David" w:cs="David" w:hint="cs"/>
          <w:rtl/>
        </w:rPr>
        <w:t>סלונימסקי</w:t>
      </w:r>
      <w:proofErr w:type="spellEnd"/>
      <w:r w:rsidRPr="00031E93">
        <w:rPr>
          <w:rFonts w:ascii="David" w:hAnsi="David" w:cs="David" w:hint="cs"/>
          <w:rtl/>
        </w:rPr>
        <w:t xml:space="preserve"> גם שם ועדת הערר נשענה על העקרון הבסיסי לפיו מועד המימוש הינו מועד ההתעשרות בפועל. וכפי שהבהירו שמאי החברה בענייננו בשנת 2017 לא </w:t>
      </w:r>
      <w:proofErr w:type="spellStart"/>
      <w:r w:rsidRPr="00031E93">
        <w:rPr>
          <w:rFonts w:ascii="David" w:hAnsi="David" w:cs="David" w:hint="cs"/>
          <w:rtl/>
        </w:rPr>
        <w:t>היתה</w:t>
      </w:r>
      <w:proofErr w:type="spellEnd"/>
      <w:r w:rsidRPr="00031E93">
        <w:rPr>
          <w:rFonts w:ascii="David" w:hAnsi="David" w:cs="David" w:hint="cs"/>
          <w:rtl/>
        </w:rPr>
        <w:t xml:space="preserve"> כל התעשרות.</w:t>
      </w:r>
    </w:p>
    <w:p w:rsidR="005F6214" w:rsidRPr="005F6214" w:rsidRDefault="005F6214" w:rsidP="001E2F0B">
      <w:pPr>
        <w:pStyle w:val="a9"/>
        <w:numPr>
          <w:ilvl w:val="0"/>
          <w:numId w:val="1"/>
        </w:numPr>
        <w:tabs>
          <w:tab w:val="left" w:pos="425"/>
        </w:tabs>
        <w:spacing w:line="360" w:lineRule="auto"/>
        <w:ind w:left="357"/>
        <w:contextualSpacing w:val="0"/>
        <w:jc w:val="both"/>
        <w:rPr>
          <w:rFonts w:ascii="David" w:hAnsi="David" w:cs="David"/>
          <w:rtl/>
        </w:rPr>
      </w:pPr>
      <w:r w:rsidRPr="001E2F0B">
        <w:rPr>
          <w:rFonts w:ascii="David" w:hAnsi="David" w:cs="David" w:hint="eastAsia"/>
          <w:color w:val="000000" w:themeColor="text1"/>
          <w:rtl/>
        </w:rPr>
        <w:t>בחינת</w:t>
      </w:r>
      <w:r w:rsidRPr="005F6214">
        <w:rPr>
          <w:rFonts w:ascii="David" w:hAnsi="David" w:cs="David" w:hint="cs"/>
          <w:rtl/>
        </w:rPr>
        <w:t xml:space="preserve"> המהות הכלכלית של העסקה מובילה למסקנה</w:t>
      </w:r>
      <w:r w:rsidR="00F3232D">
        <w:rPr>
          <w:rFonts w:ascii="David" w:hAnsi="David" w:cs="David" w:hint="cs"/>
          <w:rtl/>
        </w:rPr>
        <w:t>,</w:t>
      </w:r>
      <w:r w:rsidRPr="005F6214">
        <w:rPr>
          <w:rFonts w:ascii="David" w:hAnsi="David" w:cs="David" w:hint="cs"/>
          <w:rtl/>
        </w:rPr>
        <w:t xml:space="preserve"> שמועד המימוש בו נמכרו זכויות הבניה לחברה הינו המועד בו אישרה הועדה המקומית את ההקלות, שכן רק עם החלטה זו נוצרה כלכליות לפרויקט והתאפשר מימוש התכנית. </w:t>
      </w:r>
    </w:p>
    <w:p w:rsidR="005F6214" w:rsidRPr="005F6214" w:rsidRDefault="005F6214" w:rsidP="001E2F0B">
      <w:pPr>
        <w:pStyle w:val="a9"/>
        <w:numPr>
          <w:ilvl w:val="0"/>
          <w:numId w:val="1"/>
        </w:numPr>
        <w:tabs>
          <w:tab w:val="left" w:pos="425"/>
        </w:tabs>
        <w:spacing w:line="360" w:lineRule="auto"/>
        <w:ind w:left="357"/>
        <w:contextualSpacing w:val="0"/>
        <w:jc w:val="both"/>
        <w:rPr>
          <w:rFonts w:ascii="David" w:hAnsi="David" w:cs="David"/>
          <w:rtl/>
        </w:rPr>
      </w:pPr>
      <w:r w:rsidRPr="001E2F0B">
        <w:rPr>
          <w:rFonts w:ascii="David" w:hAnsi="David" w:cs="David" w:hint="eastAsia"/>
          <w:color w:val="000000" w:themeColor="text1"/>
          <w:rtl/>
        </w:rPr>
        <w:t>בנוסף</w:t>
      </w:r>
      <w:r w:rsidR="0099201F">
        <w:rPr>
          <w:rFonts w:ascii="David" w:hAnsi="David" w:cs="David" w:hint="cs"/>
          <w:rtl/>
        </w:rPr>
        <w:t>,</w:t>
      </w:r>
      <w:r w:rsidRPr="005F6214">
        <w:rPr>
          <w:rFonts w:ascii="David" w:hAnsi="David" w:cs="David" w:hint="cs"/>
          <w:rtl/>
        </w:rPr>
        <w:t xml:space="preserve"> אין בסיס לטענת הועדה המקומית שהחלטות בעניין פרויקטים מכוח תמ"א 38 אינן מתאימות לעניינינו ושיש ללמוד דווקא מהחלטה ביחס לעסקת קומבינציה בין בעלי קרקע לבין יזם לצורך הקמת שכונת מגורים על קרקע פנויה. </w:t>
      </w:r>
    </w:p>
    <w:p w:rsidR="005F6214" w:rsidRPr="005F6214" w:rsidRDefault="005F6214" w:rsidP="001E2F0B">
      <w:pPr>
        <w:pStyle w:val="a9"/>
        <w:numPr>
          <w:ilvl w:val="0"/>
          <w:numId w:val="1"/>
        </w:numPr>
        <w:tabs>
          <w:tab w:val="left" w:pos="425"/>
        </w:tabs>
        <w:spacing w:line="360" w:lineRule="auto"/>
        <w:ind w:left="357"/>
        <w:contextualSpacing w:val="0"/>
        <w:jc w:val="both"/>
        <w:rPr>
          <w:rFonts w:ascii="David" w:hAnsi="David" w:cs="David"/>
        </w:rPr>
      </w:pPr>
      <w:r w:rsidRPr="005F6214">
        <w:rPr>
          <w:rFonts w:ascii="David" w:hAnsi="David" w:cs="David" w:hint="cs"/>
          <w:rtl/>
        </w:rPr>
        <w:t>החברה גם דוחה את ניסיון הועדה המקומית לטעון כי הכרעת השמאית המכריעה בסוגיית הפטור לממ"</w:t>
      </w:r>
      <w:r w:rsidRPr="001E2F0B">
        <w:rPr>
          <w:rFonts w:ascii="David" w:hAnsi="David" w:cs="David" w:hint="eastAsia"/>
          <w:color w:val="000000" w:themeColor="text1"/>
          <w:rtl/>
        </w:rPr>
        <w:t>דים</w:t>
      </w:r>
      <w:r w:rsidRPr="005F6214">
        <w:rPr>
          <w:rFonts w:ascii="David" w:hAnsi="David" w:cs="David" w:hint="cs"/>
          <w:rtl/>
        </w:rPr>
        <w:t xml:space="preserve"> של דירות הבעלים סותרת את פסק הדין בעניין "אשדר" שעסק במתודולוגי</w:t>
      </w:r>
      <w:r w:rsidRPr="005F6214">
        <w:rPr>
          <w:rFonts w:ascii="David" w:hAnsi="David" w:cs="David" w:hint="eastAsia"/>
          <w:rtl/>
        </w:rPr>
        <w:t>ה</w:t>
      </w:r>
      <w:r w:rsidRPr="005F6214">
        <w:rPr>
          <w:rFonts w:ascii="David" w:hAnsi="David" w:cs="David" w:hint="cs"/>
          <w:rtl/>
        </w:rPr>
        <w:t xml:space="preserve"> לקביעת השבחה בפרויקט פינוי בינוי</w:t>
      </w:r>
      <w:r w:rsidR="00F3232D">
        <w:rPr>
          <w:rFonts w:ascii="David" w:hAnsi="David" w:cs="David" w:hint="cs"/>
          <w:rtl/>
        </w:rPr>
        <w:t>,</w:t>
      </w:r>
      <w:r w:rsidRPr="005F6214">
        <w:rPr>
          <w:rFonts w:ascii="David" w:hAnsi="David" w:cs="David" w:hint="cs"/>
          <w:rtl/>
        </w:rPr>
        <w:t xml:space="preserve"> ולכך אין דבר עם הסוגייה שבפנינו.</w:t>
      </w:r>
    </w:p>
    <w:p w:rsidR="005F6214" w:rsidRPr="005F6214" w:rsidRDefault="005F6214" w:rsidP="001E2F0B">
      <w:pPr>
        <w:pStyle w:val="a9"/>
        <w:numPr>
          <w:ilvl w:val="0"/>
          <w:numId w:val="1"/>
        </w:numPr>
        <w:tabs>
          <w:tab w:val="left" w:pos="425"/>
        </w:tabs>
        <w:spacing w:line="360" w:lineRule="auto"/>
        <w:ind w:left="357"/>
        <w:contextualSpacing w:val="0"/>
        <w:jc w:val="both"/>
        <w:rPr>
          <w:rFonts w:ascii="David" w:hAnsi="David" w:cs="David"/>
        </w:rPr>
      </w:pPr>
      <w:r w:rsidRPr="005F6214">
        <w:rPr>
          <w:rFonts w:ascii="David" w:hAnsi="David" w:cs="David" w:hint="cs"/>
          <w:rtl/>
        </w:rPr>
        <w:t>אם תתקבל טענת שמאי הועדה המקומית שהפטור בגין הממ"דים לא חל על דירות היזם בשל מכר זכויות, הרי שיש טעות בשומתו הואיל ולשיטת הועדה המקומית מכר הזכויות נעשה לפני מועד אישר תכנית בי/</w:t>
      </w:r>
      <w:r w:rsidRPr="001E2F0B">
        <w:rPr>
          <w:rFonts w:ascii="David" w:hAnsi="David" w:cs="David"/>
          <w:color w:val="000000" w:themeColor="text1"/>
          <w:rtl/>
        </w:rPr>
        <w:t>517</w:t>
      </w:r>
      <w:r w:rsidRPr="005F6214">
        <w:rPr>
          <w:rFonts w:ascii="David" w:hAnsi="David" w:cs="David" w:hint="cs"/>
          <w:rtl/>
        </w:rPr>
        <w:t xml:space="preserve">, לפיכך בכל מקרה מדרגות ההשבחה של תכנית בי/1/517 ושל ההקלה מומשו בדרך של היתר בניה ולפיכך הן פטורות מהיטל השבחה. </w:t>
      </w:r>
    </w:p>
    <w:p w:rsidR="005F6214" w:rsidRPr="005F6214" w:rsidRDefault="005F6214" w:rsidP="001E2F0B">
      <w:pPr>
        <w:pStyle w:val="a9"/>
        <w:numPr>
          <w:ilvl w:val="0"/>
          <w:numId w:val="1"/>
        </w:numPr>
        <w:tabs>
          <w:tab w:val="left" w:pos="425"/>
        </w:tabs>
        <w:spacing w:line="360" w:lineRule="auto"/>
        <w:ind w:left="357"/>
        <w:contextualSpacing w:val="0"/>
        <w:jc w:val="both"/>
        <w:rPr>
          <w:rFonts w:ascii="David" w:hAnsi="David" w:cs="David"/>
        </w:rPr>
      </w:pPr>
      <w:r w:rsidRPr="005F6214">
        <w:rPr>
          <w:rFonts w:ascii="David" w:hAnsi="David" w:cs="David" w:hint="cs"/>
          <w:rtl/>
        </w:rPr>
        <w:t xml:space="preserve">על מנת לנסות לגבות היטל השבחה בגין הממ"דים המיוחסים לדירות היזם בכל מדרגות ההשבחה משנה הועדה </w:t>
      </w:r>
      <w:r w:rsidRPr="001E2F0B">
        <w:rPr>
          <w:rFonts w:ascii="David" w:hAnsi="David" w:cs="David" w:hint="eastAsia"/>
          <w:color w:val="000000" w:themeColor="text1"/>
          <w:rtl/>
        </w:rPr>
        <w:t>המקומית</w:t>
      </w:r>
      <w:r w:rsidRPr="005F6214">
        <w:rPr>
          <w:rFonts w:ascii="David" w:hAnsi="David" w:cs="David" w:hint="cs"/>
          <w:rtl/>
        </w:rPr>
        <w:t xml:space="preserve"> את עמדתה בנוגע למועד המימוש ממדרגה למדרגה.</w:t>
      </w:r>
    </w:p>
    <w:p w:rsidR="005F6214" w:rsidRPr="005F6214" w:rsidRDefault="00F3232D" w:rsidP="001E2F0B">
      <w:pPr>
        <w:pStyle w:val="a9"/>
        <w:tabs>
          <w:tab w:val="left" w:pos="425"/>
        </w:tabs>
        <w:spacing w:line="360" w:lineRule="auto"/>
        <w:ind w:left="357"/>
        <w:contextualSpacing w:val="0"/>
        <w:jc w:val="both"/>
        <w:rPr>
          <w:rFonts w:ascii="David" w:hAnsi="David" w:cs="David"/>
          <w:rtl/>
        </w:rPr>
      </w:pPr>
      <w:r>
        <w:rPr>
          <w:rFonts w:ascii="David" w:hAnsi="David" w:cs="David" w:hint="cs"/>
          <w:rtl/>
        </w:rPr>
        <w:t xml:space="preserve">כך, </w:t>
      </w:r>
      <w:r w:rsidR="005F6214" w:rsidRPr="005F6214">
        <w:rPr>
          <w:rFonts w:ascii="David" w:hAnsi="David" w:cs="David" w:hint="cs"/>
          <w:rtl/>
        </w:rPr>
        <w:t>לצורך חיוב בהיטל השבחה בגין הממ"דים של דירות היזם במדרגת החיוב הראשונה (תכנית בי/517) טוענת הועדה המקומית שמועד המכר הינו מועד הדיווח על ההסכם לרשויות המס (29.6.17) ואילו לצורך חיוב בהיטל השבחה בגין הממ"דים של דירות היזם במדרגת החיוב השנייה (תכנית בי//1/517) והשלישית, אישור הקלה</w:t>
      </w:r>
      <w:r>
        <w:rPr>
          <w:rFonts w:ascii="David" w:hAnsi="David" w:cs="David" w:hint="cs"/>
          <w:rtl/>
        </w:rPr>
        <w:t>,</w:t>
      </w:r>
      <w:r w:rsidR="005F6214" w:rsidRPr="005F6214">
        <w:rPr>
          <w:rFonts w:ascii="David" w:hAnsi="David" w:cs="David" w:hint="cs"/>
          <w:rtl/>
        </w:rPr>
        <w:t xml:space="preserve"> טוענת הועדה המקומית שמועד המכר הינו מועד אישור ההקלה למרות שלטענתה "הזכויות הקיימות והעתידיות נרכשות על ידי הרוכש במועד הסכם הרכישה". מדובר לעמדת החברה בטענות עובדתיות סותרות שכל מטרתן להשית חיוב בהיטל השבחה בכל תירוץ או </w:t>
      </w:r>
      <w:r w:rsidRPr="005F6214">
        <w:rPr>
          <w:rFonts w:ascii="David" w:hAnsi="David" w:cs="David" w:hint="cs"/>
          <w:rtl/>
        </w:rPr>
        <w:t>אמתלה</w:t>
      </w:r>
      <w:r w:rsidR="005F6214" w:rsidRPr="005F6214">
        <w:rPr>
          <w:rFonts w:ascii="David" w:hAnsi="David" w:cs="David" w:hint="cs"/>
          <w:rtl/>
        </w:rPr>
        <w:t xml:space="preserve">. </w:t>
      </w:r>
    </w:p>
    <w:p w:rsidR="005F6214" w:rsidRPr="005F6214" w:rsidRDefault="005F6214" w:rsidP="001E2F0B">
      <w:pPr>
        <w:pStyle w:val="a9"/>
        <w:numPr>
          <w:ilvl w:val="0"/>
          <w:numId w:val="1"/>
        </w:numPr>
        <w:tabs>
          <w:tab w:val="left" w:pos="425"/>
        </w:tabs>
        <w:spacing w:line="360" w:lineRule="auto"/>
        <w:ind w:left="357"/>
        <w:contextualSpacing w:val="0"/>
        <w:jc w:val="both"/>
        <w:rPr>
          <w:rFonts w:ascii="David" w:hAnsi="David" w:cs="David"/>
        </w:rPr>
      </w:pPr>
      <w:r w:rsidRPr="005F6214">
        <w:rPr>
          <w:rFonts w:ascii="David" w:hAnsi="David" w:cs="David" w:hint="cs"/>
          <w:rtl/>
        </w:rPr>
        <w:t xml:space="preserve">החברה מציינת בהקשר לאמור ששגתה השמאית המכריעה שהציגה חלופה לפיה דירות היזם יחויבו בהיטל השבחה בגין מימוש בדרך של מכר עבור כל מדרגות ההשבחה, שעה שגם אם תתקבל עמדת הועדה המקומית </w:t>
      </w:r>
      <w:r w:rsidR="00F3232D">
        <w:rPr>
          <w:rFonts w:ascii="David" w:hAnsi="David" w:cs="David" w:hint="cs"/>
          <w:rtl/>
        </w:rPr>
        <w:t>(</w:t>
      </w:r>
      <w:r w:rsidRPr="005F6214">
        <w:rPr>
          <w:rFonts w:ascii="David" w:hAnsi="David" w:cs="David" w:hint="cs"/>
          <w:rtl/>
        </w:rPr>
        <w:t>דבר המוכחש לעמדת החברה</w:t>
      </w:r>
      <w:r w:rsidR="00F3232D">
        <w:rPr>
          <w:rFonts w:ascii="David" w:hAnsi="David" w:cs="David" w:hint="cs"/>
          <w:rtl/>
        </w:rPr>
        <w:t>)</w:t>
      </w:r>
      <w:r w:rsidRPr="005F6214">
        <w:rPr>
          <w:rFonts w:ascii="David" w:hAnsi="David" w:cs="David" w:hint="cs"/>
          <w:rtl/>
        </w:rPr>
        <w:t xml:space="preserve"> בכל מקרה החיוב בגין הממ"דים של דירות היז</w:t>
      </w:r>
      <w:r w:rsidR="00F3232D">
        <w:rPr>
          <w:rFonts w:ascii="David" w:hAnsi="David" w:cs="David" w:hint="cs"/>
          <w:rtl/>
        </w:rPr>
        <w:t>ם</w:t>
      </w:r>
      <w:r w:rsidRPr="005F6214">
        <w:rPr>
          <w:rFonts w:ascii="David" w:hAnsi="David" w:cs="David" w:hint="cs"/>
          <w:rtl/>
        </w:rPr>
        <w:t xml:space="preserve"> יחול רק במדרגת ההשבחה הראשונה.</w:t>
      </w:r>
    </w:p>
    <w:p w:rsidR="005F6214" w:rsidRPr="005F6214" w:rsidRDefault="005F6214" w:rsidP="001E2F0B">
      <w:pPr>
        <w:pStyle w:val="a9"/>
        <w:numPr>
          <w:ilvl w:val="0"/>
          <w:numId w:val="1"/>
        </w:numPr>
        <w:tabs>
          <w:tab w:val="left" w:pos="425"/>
        </w:tabs>
        <w:spacing w:line="360" w:lineRule="auto"/>
        <w:ind w:left="357"/>
        <w:contextualSpacing w:val="0"/>
        <w:jc w:val="both"/>
        <w:rPr>
          <w:rFonts w:ascii="David" w:hAnsi="David" w:cs="David"/>
          <w:rtl/>
        </w:rPr>
      </w:pPr>
      <w:r w:rsidRPr="001E2F0B">
        <w:rPr>
          <w:rFonts w:ascii="David" w:hAnsi="David" w:cs="David" w:hint="eastAsia"/>
          <w:color w:val="000000" w:themeColor="text1"/>
          <w:rtl/>
        </w:rPr>
        <w:t>לאור</w:t>
      </w:r>
      <w:r w:rsidRPr="005F6214">
        <w:rPr>
          <w:rFonts w:ascii="David" w:hAnsi="David" w:cs="David" w:hint="cs"/>
          <w:rtl/>
        </w:rPr>
        <w:t xml:space="preserve"> האמור יש לדחות את טענות הועדה המקומית בנוגע לפטור מהיטל השבחה בגין הממ"דים של דירות היזם. </w:t>
      </w:r>
    </w:p>
    <w:p w:rsidR="00EA4A8E" w:rsidRDefault="00EA4A8E" w:rsidP="005F6214">
      <w:pPr>
        <w:tabs>
          <w:tab w:val="left" w:pos="1244"/>
        </w:tabs>
        <w:spacing w:line="360" w:lineRule="auto"/>
        <w:jc w:val="both"/>
        <w:rPr>
          <w:rFonts w:ascii="David" w:hAnsi="David" w:cs="David"/>
          <w:b/>
          <w:bCs/>
          <w:u w:val="thick"/>
          <w:rtl/>
        </w:rPr>
      </w:pPr>
    </w:p>
    <w:p w:rsidR="005F6214" w:rsidRDefault="005F6214" w:rsidP="005F6214">
      <w:pPr>
        <w:tabs>
          <w:tab w:val="left" w:pos="1244"/>
        </w:tabs>
        <w:spacing w:line="360" w:lineRule="auto"/>
        <w:jc w:val="both"/>
        <w:rPr>
          <w:rFonts w:ascii="David" w:hAnsi="David" w:cs="David"/>
          <w:b/>
          <w:bCs/>
          <w:u w:val="thick"/>
          <w:rtl/>
        </w:rPr>
      </w:pPr>
      <w:r w:rsidRPr="004B30C1">
        <w:rPr>
          <w:rFonts w:ascii="David" w:hAnsi="David" w:cs="David" w:hint="cs"/>
          <w:b/>
          <w:bCs/>
          <w:u w:val="thick"/>
          <w:rtl/>
        </w:rPr>
        <w:t xml:space="preserve">דיון והכרעה </w:t>
      </w:r>
    </w:p>
    <w:p w:rsidR="00C24538" w:rsidRPr="00241889" w:rsidRDefault="00C24538" w:rsidP="00C24538">
      <w:pPr>
        <w:pStyle w:val="a9"/>
        <w:numPr>
          <w:ilvl w:val="0"/>
          <w:numId w:val="1"/>
        </w:numPr>
        <w:tabs>
          <w:tab w:val="left" w:pos="425"/>
        </w:tabs>
        <w:spacing w:line="360" w:lineRule="auto"/>
        <w:contextualSpacing w:val="0"/>
        <w:jc w:val="both"/>
        <w:rPr>
          <w:rFonts w:ascii="David" w:hAnsi="David" w:cs="David"/>
          <w:b/>
          <w:bCs/>
        </w:rPr>
      </w:pPr>
      <w:r>
        <w:rPr>
          <w:rFonts w:ascii="David" w:hAnsi="David" w:cs="David" w:hint="cs"/>
          <w:rtl/>
        </w:rPr>
        <w:t>ימים ספורים בטרם התקיים בפנינו דיון בעררים דנא, לא כל שכן, בטרם נתנה החלטתנו</w:t>
      </w:r>
      <w:r w:rsidR="00BE0DD4">
        <w:rPr>
          <w:rFonts w:ascii="David" w:hAnsi="David" w:cs="David" w:hint="cs"/>
          <w:rtl/>
        </w:rPr>
        <w:t>,</w:t>
      </w:r>
      <w:r>
        <w:rPr>
          <w:rFonts w:ascii="David" w:hAnsi="David" w:cs="David" w:hint="cs"/>
          <w:rtl/>
        </w:rPr>
        <w:t xml:space="preserve"> התקבלה החלטת ועדת הערר המעמיקה והמנומקת בראשותו של כב' יו"ר הועדה הלל גלקופ </w:t>
      </w:r>
      <w:r w:rsidRPr="00DA3C61">
        <w:rPr>
          <w:rFonts w:ascii="David" w:hAnsi="David" w:cs="David" w:hint="cs"/>
          <w:rtl/>
        </w:rPr>
        <w:t xml:space="preserve">בעניין בי/86023/0423 + בי/86024/0423 </w:t>
      </w:r>
      <w:r w:rsidRPr="00DA3C61">
        <w:rPr>
          <w:rFonts w:ascii="David" w:hAnsi="David" w:cs="David" w:hint="cs"/>
          <w:b/>
          <w:bCs/>
          <w:u w:val="single"/>
          <w:rtl/>
        </w:rPr>
        <w:t xml:space="preserve">הועדה המקומית לתכנון ולבניה בת ים נ' אבי את ניסים </w:t>
      </w:r>
      <w:proofErr w:type="spellStart"/>
      <w:r w:rsidRPr="00DA3C61">
        <w:rPr>
          <w:rFonts w:ascii="David" w:hAnsi="David" w:cs="David" w:hint="cs"/>
          <w:b/>
          <w:bCs/>
          <w:u w:val="single"/>
          <w:rtl/>
        </w:rPr>
        <w:t>בובליל</w:t>
      </w:r>
      <w:proofErr w:type="spellEnd"/>
      <w:r w:rsidRPr="00DA3C61">
        <w:rPr>
          <w:rFonts w:ascii="David" w:hAnsi="David" w:cs="David" w:hint="cs"/>
          <w:b/>
          <w:bCs/>
          <w:u w:val="single"/>
          <w:rtl/>
        </w:rPr>
        <w:t xml:space="preserve"> 2002 בע"מ ואח'</w:t>
      </w:r>
      <w:r w:rsidRPr="00DA3C61">
        <w:rPr>
          <w:rFonts w:ascii="David" w:hAnsi="David" w:cs="David" w:hint="cs"/>
          <w:rtl/>
        </w:rPr>
        <w:t xml:space="preserve"> (29.5.2025) </w:t>
      </w:r>
      <w:r>
        <w:rPr>
          <w:rFonts w:ascii="David" w:hAnsi="David" w:cs="David" w:hint="cs"/>
          <w:rtl/>
        </w:rPr>
        <w:t xml:space="preserve">(להלן </w:t>
      </w:r>
      <w:r>
        <w:rPr>
          <w:rFonts w:ascii="David" w:hAnsi="David" w:cs="David"/>
          <w:rtl/>
        </w:rPr>
        <w:t>–</w:t>
      </w:r>
      <w:r>
        <w:rPr>
          <w:rFonts w:ascii="David" w:hAnsi="David" w:cs="David" w:hint="cs"/>
          <w:rtl/>
        </w:rPr>
        <w:t xml:space="preserve"> "</w:t>
      </w:r>
      <w:proofErr w:type="spellStart"/>
      <w:r w:rsidRPr="00555F13">
        <w:rPr>
          <w:rFonts w:ascii="David" w:hAnsi="David" w:cs="David" w:hint="cs"/>
          <w:b/>
          <w:bCs/>
          <w:rtl/>
        </w:rPr>
        <w:t>בובליל</w:t>
      </w:r>
      <w:proofErr w:type="spellEnd"/>
      <w:r>
        <w:rPr>
          <w:rFonts w:ascii="David" w:hAnsi="David" w:cs="David" w:hint="cs"/>
          <w:rtl/>
        </w:rPr>
        <w:t xml:space="preserve">") </w:t>
      </w:r>
      <w:r w:rsidRPr="00DA3C61">
        <w:rPr>
          <w:rFonts w:ascii="David" w:hAnsi="David" w:cs="David" w:hint="cs"/>
          <w:rtl/>
        </w:rPr>
        <w:t xml:space="preserve">שעסקה </w:t>
      </w:r>
      <w:r>
        <w:rPr>
          <w:rFonts w:ascii="David" w:hAnsi="David" w:cs="David" w:hint="cs"/>
          <w:rtl/>
        </w:rPr>
        <w:t xml:space="preserve">במספר סוגיות שאחת מהעיקריות שבהן הינה </w:t>
      </w:r>
      <w:r w:rsidRPr="00241889">
        <w:rPr>
          <w:rFonts w:ascii="David" w:hAnsi="David" w:cs="David" w:hint="cs"/>
          <w:b/>
          <w:bCs/>
          <w:rtl/>
        </w:rPr>
        <w:t xml:space="preserve">בהתייחס לשאלת הפטור לממ"דים במסגרת הסכם פינוי בינוי. </w:t>
      </w:r>
    </w:p>
    <w:p w:rsidR="00C24538" w:rsidRPr="00DA3C61" w:rsidRDefault="00C24538" w:rsidP="00C24538">
      <w:pPr>
        <w:pStyle w:val="a9"/>
        <w:spacing w:line="360" w:lineRule="auto"/>
        <w:ind w:left="360"/>
        <w:contextualSpacing w:val="0"/>
        <w:jc w:val="both"/>
        <w:rPr>
          <w:rFonts w:ascii="David" w:hAnsi="David" w:cs="David"/>
        </w:rPr>
      </w:pPr>
      <w:r w:rsidRPr="00DA3C61">
        <w:rPr>
          <w:rFonts w:ascii="David" w:hAnsi="David" w:cs="David" w:hint="cs"/>
          <w:rtl/>
        </w:rPr>
        <w:t xml:space="preserve">וביתר דיוק </w:t>
      </w:r>
      <w:r w:rsidRPr="00DA3C61">
        <w:rPr>
          <w:rFonts w:ascii="David" w:hAnsi="David" w:cs="David"/>
          <w:rtl/>
        </w:rPr>
        <w:t>–</w:t>
      </w:r>
      <w:r w:rsidRPr="00DA3C61">
        <w:rPr>
          <w:rFonts w:ascii="David" w:hAnsi="David" w:cs="David" w:hint="cs"/>
          <w:rtl/>
        </w:rPr>
        <w:t xml:space="preserve"> מהו מועד המימוש לצורך בחינת הפטור </w:t>
      </w:r>
      <w:r>
        <w:rPr>
          <w:rFonts w:ascii="David" w:hAnsi="David" w:cs="David" w:hint="cs"/>
          <w:rtl/>
        </w:rPr>
        <w:t xml:space="preserve">לממ"דים, </w:t>
      </w:r>
      <w:r w:rsidRPr="00DA3C61">
        <w:rPr>
          <w:rFonts w:ascii="David" w:hAnsi="David" w:cs="David" w:hint="cs"/>
          <w:rtl/>
        </w:rPr>
        <w:t>האם חתימה על הסכם המכר או מתן היתר בניה?</w:t>
      </w:r>
    </w:p>
    <w:p w:rsidR="00C24538" w:rsidRDefault="00C24538" w:rsidP="00C24538">
      <w:pPr>
        <w:pStyle w:val="a9"/>
        <w:numPr>
          <w:ilvl w:val="0"/>
          <w:numId w:val="1"/>
        </w:numPr>
        <w:tabs>
          <w:tab w:val="left" w:pos="425"/>
        </w:tabs>
        <w:spacing w:line="360" w:lineRule="auto"/>
        <w:contextualSpacing w:val="0"/>
        <w:jc w:val="both"/>
        <w:rPr>
          <w:rFonts w:ascii="David" w:hAnsi="David" w:cs="David"/>
        </w:rPr>
      </w:pPr>
      <w:r>
        <w:rPr>
          <w:rFonts w:ascii="David" w:hAnsi="David" w:cs="David" w:hint="cs"/>
          <w:rtl/>
        </w:rPr>
        <w:t>טענות הועדה המקומית בת ים בערר "</w:t>
      </w:r>
      <w:proofErr w:type="spellStart"/>
      <w:r>
        <w:rPr>
          <w:rFonts w:ascii="David" w:hAnsi="David" w:cs="David" w:hint="cs"/>
          <w:rtl/>
        </w:rPr>
        <w:t>בובליל</w:t>
      </w:r>
      <w:proofErr w:type="spellEnd"/>
      <w:r>
        <w:rPr>
          <w:rFonts w:ascii="David" w:hAnsi="David" w:cs="David" w:hint="cs"/>
          <w:rtl/>
        </w:rPr>
        <w:t xml:space="preserve">" בסוגיית הפטור לממ"דים דומות מאוד לטענותיה ביחס </w:t>
      </w:r>
      <w:proofErr w:type="spellStart"/>
      <w:r>
        <w:rPr>
          <w:rFonts w:ascii="David" w:hAnsi="David" w:cs="David" w:hint="cs"/>
          <w:rtl/>
        </w:rPr>
        <w:t>לעררים</w:t>
      </w:r>
      <w:proofErr w:type="spellEnd"/>
      <w:r>
        <w:rPr>
          <w:rFonts w:ascii="David" w:hAnsi="David" w:cs="David" w:hint="cs"/>
          <w:rtl/>
        </w:rPr>
        <w:t xml:space="preserve"> שבנדון וכך גם התייחסות הנישומים ובמקרה זה החברה לטענות אלו.</w:t>
      </w:r>
    </w:p>
    <w:p w:rsidR="00C24538" w:rsidRPr="00241889" w:rsidRDefault="00C24538" w:rsidP="00C24538">
      <w:pPr>
        <w:pStyle w:val="a9"/>
        <w:numPr>
          <w:ilvl w:val="0"/>
          <w:numId w:val="1"/>
        </w:numPr>
        <w:tabs>
          <w:tab w:val="left" w:pos="425"/>
        </w:tabs>
        <w:spacing w:line="360" w:lineRule="auto"/>
        <w:contextualSpacing w:val="0"/>
        <w:jc w:val="both"/>
        <w:rPr>
          <w:rFonts w:ascii="David" w:hAnsi="David" w:cs="David"/>
          <w:b/>
          <w:bCs/>
        </w:rPr>
      </w:pPr>
      <w:r>
        <w:rPr>
          <w:rFonts w:ascii="David" w:hAnsi="David" w:cs="David" w:hint="cs"/>
          <w:b/>
          <w:bCs/>
          <w:rtl/>
        </w:rPr>
        <w:t>בשים לב ל</w:t>
      </w:r>
      <w:r w:rsidRPr="00241889">
        <w:rPr>
          <w:rFonts w:ascii="David" w:hAnsi="David" w:cs="David" w:hint="cs"/>
          <w:b/>
          <w:bCs/>
          <w:rtl/>
        </w:rPr>
        <w:t>קביעותיה המנומקות של ועדת הערר בעניין "</w:t>
      </w:r>
      <w:proofErr w:type="spellStart"/>
      <w:r w:rsidRPr="00241889">
        <w:rPr>
          <w:rFonts w:ascii="David" w:hAnsi="David" w:cs="David" w:hint="cs"/>
          <w:b/>
          <w:bCs/>
          <w:rtl/>
        </w:rPr>
        <w:t>בובליל</w:t>
      </w:r>
      <w:proofErr w:type="spellEnd"/>
      <w:r w:rsidRPr="00241889">
        <w:rPr>
          <w:rFonts w:ascii="David" w:hAnsi="David" w:cs="David" w:hint="cs"/>
          <w:b/>
          <w:bCs/>
          <w:rtl/>
        </w:rPr>
        <w:t xml:space="preserve">" </w:t>
      </w:r>
      <w:r>
        <w:rPr>
          <w:rFonts w:ascii="David" w:hAnsi="David" w:cs="David" w:hint="cs"/>
          <w:b/>
          <w:bCs/>
          <w:rtl/>
        </w:rPr>
        <w:t>העוסקת באותה סוגיה ו</w:t>
      </w:r>
      <w:r w:rsidRPr="00241889">
        <w:rPr>
          <w:rFonts w:ascii="David" w:hAnsi="David" w:cs="David" w:hint="cs"/>
          <w:b/>
          <w:bCs/>
          <w:rtl/>
        </w:rPr>
        <w:t xml:space="preserve">רלוונטית גם לעניינינו ואנו נחיל ונאמץ עקרונות ותוצאות אלו גם בעררים שבפנינו. </w:t>
      </w:r>
    </w:p>
    <w:p w:rsidR="00C24538" w:rsidRPr="00241889" w:rsidRDefault="00C24538" w:rsidP="00C24538">
      <w:pPr>
        <w:pStyle w:val="a9"/>
        <w:numPr>
          <w:ilvl w:val="0"/>
          <w:numId w:val="1"/>
        </w:numPr>
        <w:tabs>
          <w:tab w:val="left" w:pos="425"/>
        </w:tabs>
        <w:spacing w:line="360" w:lineRule="auto"/>
        <w:contextualSpacing w:val="0"/>
        <w:jc w:val="both"/>
        <w:rPr>
          <w:rFonts w:ascii="David" w:hAnsi="David" w:cs="David"/>
        </w:rPr>
      </w:pPr>
      <w:r w:rsidRPr="00241889">
        <w:rPr>
          <w:rFonts w:ascii="David" w:hAnsi="David" w:cs="David" w:hint="cs"/>
          <w:rtl/>
        </w:rPr>
        <w:t xml:space="preserve">נוכח מורכבות הסוגייה והתעמקותה של ועדת הערר בעניין </w:t>
      </w:r>
      <w:r>
        <w:rPr>
          <w:rFonts w:ascii="David" w:hAnsi="David" w:cs="David" w:hint="cs"/>
          <w:rtl/>
        </w:rPr>
        <w:t>"</w:t>
      </w:r>
      <w:proofErr w:type="spellStart"/>
      <w:r w:rsidRPr="00C01B4C">
        <w:rPr>
          <w:rFonts w:ascii="David" w:hAnsi="David" w:cs="David" w:hint="cs"/>
          <w:b/>
          <w:bCs/>
          <w:rtl/>
        </w:rPr>
        <w:t>בובליל</w:t>
      </w:r>
      <w:proofErr w:type="spellEnd"/>
      <w:r>
        <w:rPr>
          <w:rFonts w:ascii="David" w:hAnsi="David" w:cs="David" w:hint="cs"/>
          <w:rtl/>
        </w:rPr>
        <w:t>"</w:t>
      </w:r>
      <w:r w:rsidRPr="00241889">
        <w:rPr>
          <w:rFonts w:ascii="David" w:hAnsi="David" w:cs="David" w:hint="cs"/>
          <w:rtl/>
        </w:rPr>
        <w:t xml:space="preserve"> הסוקרת את הפסיקות השונות שנטענו על ידי הצדדים בסוגיה</w:t>
      </w:r>
      <w:r>
        <w:rPr>
          <w:rFonts w:ascii="David" w:hAnsi="David" w:cs="David" w:hint="cs"/>
          <w:rtl/>
        </w:rPr>
        <w:t xml:space="preserve">, </w:t>
      </w:r>
      <w:r w:rsidR="00B96FBC">
        <w:rPr>
          <w:rFonts w:ascii="David" w:hAnsi="David" w:cs="David" w:hint="cs"/>
          <w:rtl/>
        </w:rPr>
        <w:t>הנפרש על פני לא פחות מ-</w:t>
      </w:r>
      <w:r w:rsidR="0052342E">
        <w:rPr>
          <w:rFonts w:ascii="David" w:hAnsi="David" w:cs="David"/>
          <w:rtl/>
        </w:rPr>
        <w:t>20 עמודים</w:t>
      </w:r>
      <w:r w:rsidR="00B96FBC">
        <w:rPr>
          <w:rFonts w:ascii="David" w:hAnsi="David" w:cs="David" w:hint="cs"/>
          <w:rtl/>
        </w:rPr>
        <w:t xml:space="preserve"> בטענה זו,</w:t>
      </w:r>
      <w:r w:rsidR="00B96FBC" w:rsidRPr="00241889">
        <w:rPr>
          <w:rFonts w:ascii="David" w:hAnsi="David" w:cs="David" w:hint="cs"/>
          <w:rtl/>
        </w:rPr>
        <w:t xml:space="preserve"> לא ראינו טעם </w:t>
      </w:r>
      <w:r w:rsidR="00B96FBC">
        <w:rPr>
          <w:rFonts w:ascii="David" w:hAnsi="David" w:cs="David" w:hint="cs"/>
          <w:rtl/>
        </w:rPr>
        <w:t xml:space="preserve">להרחיב, </w:t>
      </w:r>
      <w:r w:rsidR="00B96FBC" w:rsidRPr="00241889">
        <w:rPr>
          <w:rFonts w:ascii="David" w:hAnsi="David" w:cs="David" w:hint="cs"/>
          <w:rtl/>
        </w:rPr>
        <w:t>שכן אנו מאמצים את הקביעות</w:t>
      </w:r>
      <w:r w:rsidR="00B96FBC">
        <w:rPr>
          <w:rFonts w:ascii="David" w:hAnsi="David" w:cs="David" w:hint="cs"/>
          <w:rtl/>
        </w:rPr>
        <w:t xml:space="preserve"> שם.</w:t>
      </w:r>
    </w:p>
    <w:p w:rsidR="00C24538" w:rsidRDefault="00C24538" w:rsidP="00C24538">
      <w:pPr>
        <w:pStyle w:val="a9"/>
        <w:numPr>
          <w:ilvl w:val="0"/>
          <w:numId w:val="1"/>
        </w:numPr>
        <w:tabs>
          <w:tab w:val="left" w:pos="142"/>
          <w:tab w:val="left" w:pos="425"/>
        </w:tabs>
        <w:spacing w:line="360" w:lineRule="auto"/>
        <w:contextualSpacing w:val="0"/>
        <w:jc w:val="both"/>
        <w:rPr>
          <w:rFonts w:ascii="David" w:hAnsi="David" w:cs="David"/>
          <w:rtl/>
        </w:rPr>
      </w:pPr>
      <w:r>
        <w:rPr>
          <w:rFonts w:ascii="David" w:hAnsi="David" w:cs="David" w:hint="cs"/>
          <w:rtl/>
        </w:rPr>
        <w:t>נקודת המוצא לדיון ולמסקנה בעניין "</w:t>
      </w:r>
      <w:proofErr w:type="spellStart"/>
      <w:r w:rsidRPr="00C234EC">
        <w:rPr>
          <w:rFonts w:ascii="David" w:hAnsi="David" w:cs="David" w:hint="cs"/>
          <w:b/>
          <w:bCs/>
          <w:rtl/>
        </w:rPr>
        <w:t>בובליל</w:t>
      </w:r>
      <w:proofErr w:type="spellEnd"/>
      <w:r>
        <w:rPr>
          <w:rFonts w:ascii="David" w:hAnsi="David" w:cs="David" w:hint="cs"/>
          <w:rtl/>
        </w:rPr>
        <w:t>" כפי שנקבע בסעיף 39 להחלטה היא:</w:t>
      </w:r>
    </w:p>
    <w:p w:rsidR="00C24538" w:rsidRPr="00415A22" w:rsidRDefault="00C24538" w:rsidP="00C24538">
      <w:pPr>
        <w:pStyle w:val="a9"/>
        <w:spacing w:line="360" w:lineRule="auto"/>
        <w:ind w:left="1440" w:right="709"/>
        <w:contextualSpacing w:val="0"/>
        <w:jc w:val="both"/>
        <w:rPr>
          <w:rFonts w:ascii="David" w:hAnsi="David" w:cs="David"/>
          <w:i/>
          <w:iCs/>
          <w:rtl/>
        </w:rPr>
      </w:pPr>
      <w:r w:rsidRPr="00415A22">
        <w:rPr>
          <w:rFonts w:ascii="David" w:hAnsi="David" w:cs="David"/>
          <w:i/>
          <w:iCs/>
          <w:rtl/>
        </w:rPr>
        <w:t xml:space="preserve">"שעה </w:t>
      </w:r>
      <w:r w:rsidRPr="00415A22">
        <w:rPr>
          <w:rFonts w:ascii="David" w:hAnsi="David" w:cs="David" w:hint="eastAsia"/>
          <w:i/>
          <w:iCs/>
          <w:rtl/>
        </w:rPr>
        <w:t>שהתכנית</w:t>
      </w:r>
      <w:r w:rsidRPr="00415A22">
        <w:rPr>
          <w:rFonts w:ascii="David" w:hAnsi="David" w:cs="David"/>
          <w:i/>
          <w:iCs/>
          <w:rtl/>
        </w:rPr>
        <w:t xml:space="preserve"> אושרה</w:t>
      </w:r>
      <w:r w:rsidRPr="00415A22">
        <w:rPr>
          <w:rFonts w:ascii="David" w:hAnsi="David" w:cs="David"/>
          <w:i/>
          <w:iCs/>
          <w:u w:val="single"/>
          <w:rtl/>
        </w:rPr>
        <w:t xml:space="preserve"> לאחר</w:t>
      </w:r>
      <w:r w:rsidRPr="00415A22">
        <w:rPr>
          <w:rFonts w:ascii="David" w:hAnsi="David" w:cs="David"/>
          <w:i/>
          <w:iCs/>
          <w:rtl/>
        </w:rPr>
        <w:t xml:space="preserve"> חתימת ההסכם, אזי יש לראות בהסכם "שלם מרגע כריתתו" ועל כן יש לראות בהסכם מימוש זכויות שנעשה טרם אישור </w:t>
      </w:r>
      <w:r w:rsidRPr="00415A22">
        <w:rPr>
          <w:rFonts w:ascii="David" w:hAnsi="David" w:cs="David" w:hint="eastAsia"/>
          <w:i/>
          <w:iCs/>
          <w:rtl/>
        </w:rPr>
        <w:t>התכנית</w:t>
      </w:r>
      <w:r w:rsidRPr="00415A22">
        <w:rPr>
          <w:rFonts w:ascii="David" w:hAnsi="David" w:cs="David"/>
          <w:i/>
          <w:iCs/>
          <w:rtl/>
        </w:rPr>
        <w:t xml:space="preserve"> וממילא אין בו כדי להצית חיוב בהיטל השבחה. מאידך ההיטל בגין הזכויות המאושרות ישולם רק במימוש שלאחר אישור </w:t>
      </w:r>
      <w:r w:rsidRPr="00415A22">
        <w:rPr>
          <w:rFonts w:ascii="David" w:hAnsi="David" w:cs="David" w:hint="eastAsia"/>
          <w:i/>
          <w:iCs/>
          <w:rtl/>
        </w:rPr>
        <w:t>התכנית</w:t>
      </w:r>
      <w:r w:rsidRPr="00415A22">
        <w:rPr>
          <w:rFonts w:ascii="David" w:hAnsi="David" w:cs="David"/>
          <w:i/>
          <w:iCs/>
          <w:rtl/>
        </w:rPr>
        <w:t xml:space="preserve"> קרי במסגרת מימוש על דרך היתר בניה מכוחה של </w:t>
      </w:r>
      <w:r w:rsidRPr="00415A22">
        <w:rPr>
          <w:rFonts w:ascii="David" w:hAnsi="David" w:cs="David" w:hint="eastAsia"/>
          <w:i/>
          <w:iCs/>
          <w:rtl/>
        </w:rPr>
        <w:t>התכנית</w:t>
      </w:r>
      <w:r w:rsidRPr="00415A22">
        <w:rPr>
          <w:rFonts w:ascii="David" w:hAnsi="David" w:cs="David"/>
          <w:i/>
          <w:iCs/>
          <w:rtl/>
        </w:rPr>
        <w:t xml:space="preserve"> </w:t>
      </w:r>
      <w:r w:rsidRPr="00415A22">
        <w:rPr>
          <w:rFonts w:ascii="David" w:hAnsi="David" w:cs="David" w:hint="eastAsia"/>
          <w:i/>
          <w:iCs/>
          <w:u w:val="single"/>
          <w:rtl/>
        </w:rPr>
        <w:t>ואז</w:t>
      </w:r>
      <w:r w:rsidRPr="00415A22">
        <w:rPr>
          <w:rFonts w:ascii="David" w:hAnsi="David" w:cs="David"/>
          <w:i/>
          <w:iCs/>
          <w:u w:val="single"/>
          <w:rtl/>
        </w:rPr>
        <w:t xml:space="preserve"> ממילא יינתן פטור</w:t>
      </w:r>
      <w:r w:rsidRPr="00415A22">
        <w:rPr>
          <w:rFonts w:ascii="David" w:hAnsi="David" w:cs="David"/>
          <w:i/>
          <w:iCs/>
          <w:rtl/>
        </w:rPr>
        <w:t>.</w:t>
      </w:r>
    </w:p>
    <w:p w:rsidR="00C24538" w:rsidRPr="00415A22" w:rsidRDefault="00C24538" w:rsidP="00C24538">
      <w:pPr>
        <w:pStyle w:val="a9"/>
        <w:spacing w:line="360" w:lineRule="auto"/>
        <w:ind w:left="1440" w:right="709"/>
        <w:contextualSpacing w:val="0"/>
        <w:jc w:val="both"/>
        <w:rPr>
          <w:rFonts w:ascii="David" w:hAnsi="David" w:cs="David"/>
          <w:i/>
          <w:iCs/>
          <w:rtl/>
        </w:rPr>
      </w:pPr>
      <w:r w:rsidRPr="00415A22">
        <w:rPr>
          <w:rFonts w:ascii="David" w:hAnsi="David" w:cs="David" w:hint="eastAsia"/>
          <w:i/>
          <w:iCs/>
          <w:rtl/>
        </w:rPr>
        <w:t>מאידך</w:t>
      </w:r>
      <w:r w:rsidRPr="00415A22">
        <w:rPr>
          <w:rFonts w:ascii="David" w:hAnsi="David" w:cs="David"/>
          <w:i/>
          <w:iCs/>
          <w:rtl/>
        </w:rPr>
        <w:t xml:space="preserve"> – שעה </w:t>
      </w:r>
      <w:r w:rsidRPr="00415A22">
        <w:rPr>
          <w:rFonts w:ascii="David" w:hAnsi="David" w:cs="David" w:hint="eastAsia"/>
          <w:i/>
          <w:iCs/>
          <w:rtl/>
        </w:rPr>
        <w:t>שהתכנית</w:t>
      </w:r>
      <w:r w:rsidRPr="00415A22">
        <w:rPr>
          <w:rFonts w:ascii="David" w:hAnsi="David" w:cs="David"/>
          <w:i/>
          <w:iCs/>
          <w:rtl/>
        </w:rPr>
        <w:t xml:space="preserve"> אושרה </w:t>
      </w:r>
      <w:r w:rsidRPr="00415A22">
        <w:rPr>
          <w:rFonts w:ascii="David" w:hAnsi="David" w:cs="David" w:hint="eastAsia"/>
          <w:i/>
          <w:iCs/>
          <w:u w:val="single"/>
          <w:rtl/>
        </w:rPr>
        <w:t>טרם</w:t>
      </w:r>
      <w:r w:rsidRPr="00415A22">
        <w:rPr>
          <w:rFonts w:ascii="David" w:hAnsi="David" w:cs="David"/>
          <w:i/>
          <w:iCs/>
          <w:rtl/>
        </w:rPr>
        <w:t xml:space="preserve"> חתימת ההסכם, אזי המימוש הראשון לאחר אישור </w:t>
      </w:r>
      <w:r w:rsidRPr="00415A22">
        <w:rPr>
          <w:rFonts w:ascii="David" w:hAnsi="David" w:cs="David" w:hint="eastAsia"/>
          <w:i/>
          <w:iCs/>
          <w:rtl/>
        </w:rPr>
        <w:t>התכנית</w:t>
      </w:r>
      <w:r w:rsidRPr="00415A22">
        <w:rPr>
          <w:rFonts w:ascii="David" w:hAnsi="David" w:cs="David"/>
          <w:i/>
          <w:iCs/>
          <w:rtl/>
        </w:rPr>
        <w:t xml:space="preserve"> היא החתימה על ההסכם. בהתאם לאמור ההיטל ישולם במימוש הראשון לאחר האקט המשביח, קרי – הסכם מכר </w:t>
      </w:r>
      <w:r w:rsidRPr="00415A22">
        <w:rPr>
          <w:rFonts w:ascii="David" w:hAnsi="David" w:cs="David" w:hint="eastAsia"/>
          <w:i/>
          <w:iCs/>
          <w:u w:val="single"/>
          <w:rtl/>
        </w:rPr>
        <w:t>ואז</w:t>
      </w:r>
      <w:r w:rsidRPr="00415A22">
        <w:rPr>
          <w:rFonts w:ascii="David" w:hAnsi="David" w:cs="David"/>
          <w:i/>
          <w:iCs/>
          <w:u w:val="single"/>
          <w:rtl/>
        </w:rPr>
        <w:t xml:space="preserve"> לא יינתן הפטור"</w:t>
      </w:r>
      <w:r w:rsidRPr="00415A22">
        <w:rPr>
          <w:rFonts w:ascii="David" w:hAnsi="David" w:cs="David"/>
          <w:i/>
          <w:iCs/>
          <w:rtl/>
        </w:rPr>
        <w:t xml:space="preserve">. </w:t>
      </w:r>
    </w:p>
    <w:p w:rsidR="00C24538" w:rsidRDefault="00C24538" w:rsidP="00C24538">
      <w:pPr>
        <w:pStyle w:val="a9"/>
        <w:numPr>
          <w:ilvl w:val="0"/>
          <w:numId w:val="1"/>
        </w:numPr>
        <w:tabs>
          <w:tab w:val="left" w:pos="425"/>
        </w:tabs>
        <w:spacing w:line="360" w:lineRule="auto"/>
        <w:contextualSpacing w:val="0"/>
        <w:jc w:val="both"/>
        <w:rPr>
          <w:rFonts w:ascii="David" w:hAnsi="David" w:cs="David"/>
          <w:rtl/>
        </w:rPr>
      </w:pPr>
      <w:r>
        <w:rPr>
          <w:rFonts w:ascii="David" w:hAnsi="David" w:cs="David" w:hint="cs"/>
          <w:rtl/>
        </w:rPr>
        <w:t xml:space="preserve">התוצאה האופרטיבית כפי שנקבע </w:t>
      </w:r>
      <w:r w:rsidR="0052342E">
        <w:rPr>
          <w:rFonts w:ascii="David" w:hAnsi="David" w:cs="David" w:hint="eastAsia"/>
          <w:rtl/>
        </w:rPr>
        <w:t>בעניין</w:t>
      </w:r>
      <w:r w:rsidR="0052342E">
        <w:rPr>
          <w:rFonts w:ascii="David" w:hAnsi="David" w:cs="David"/>
          <w:rtl/>
        </w:rPr>
        <w:t xml:space="preserve"> "</w:t>
      </w:r>
      <w:proofErr w:type="spellStart"/>
      <w:r w:rsidRPr="00C234EC">
        <w:rPr>
          <w:rFonts w:ascii="David" w:hAnsi="David" w:cs="David" w:hint="cs"/>
          <w:b/>
          <w:bCs/>
          <w:rtl/>
        </w:rPr>
        <w:t>בובליל</w:t>
      </w:r>
      <w:proofErr w:type="spellEnd"/>
      <w:r>
        <w:rPr>
          <w:rFonts w:ascii="David" w:hAnsi="David" w:cs="David" w:hint="cs"/>
          <w:rtl/>
        </w:rPr>
        <w:t xml:space="preserve">" </w:t>
      </w:r>
      <w:r>
        <w:rPr>
          <w:rFonts w:ascii="David" w:hAnsi="David" w:cs="David"/>
          <w:rtl/>
        </w:rPr>
        <w:t>–</w:t>
      </w:r>
      <w:r>
        <w:rPr>
          <w:rFonts w:ascii="David" w:hAnsi="David" w:cs="David" w:hint="cs"/>
          <w:rtl/>
        </w:rPr>
        <w:t xml:space="preserve"> </w:t>
      </w:r>
    </w:p>
    <w:p w:rsidR="00C24538" w:rsidRDefault="00C24538" w:rsidP="00C24538">
      <w:pPr>
        <w:pStyle w:val="a9"/>
        <w:spacing w:line="360" w:lineRule="auto"/>
        <w:ind w:left="360"/>
        <w:contextualSpacing w:val="0"/>
        <w:jc w:val="both"/>
        <w:rPr>
          <w:rFonts w:ascii="David" w:hAnsi="David" w:cs="David"/>
          <w:rtl/>
        </w:rPr>
      </w:pPr>
      <w:r>
        <w:rPr>
          <w:rFonts w:ascii="David" w:hAnsi="David" w:cs="David" w:hint="cs"/>
          <w:rtl/>
        </w:rPr>
        <w:t xml:space="preserve">הסכמי פינוי בינוי שנחתמו </w:t>
      </w:r>
      <w:r w:rsidRPr="00586FA4">
        <w:rPr>
          <w:rFonts w:ascii="David" w:hAnsi="David" w:cs="David" w:hint="cs"/>
          <w:b/>
          <w:bCs/>
          <w:rtl/>
        </w:rPr>
        <w:t xml:space="preserve">בטרם </w:t>
      </w:r>
      <w:r>
        <w:rPr>
          <w:rFonts w:ascii="David" w:hAnsi="David" w:cs="David" w:hint="cs"/>
          <w:rtl/>
        </w:rPr>
        <w:t xml:space="preserve">אישור התכנית המשביחה </w:t>
      </w:r>
      <w:r>
        <w:rPr>
          <w:rFonts w:ascii="David" w:hAnsi="David" w:cs="David"/>
          <w:rtl/>
        </w:rPr>
        <w:t>–</w:t>
      </w:r>
      <w:r>
        <w:rPr>
          <w:rFonts w:ascii="David" w:hAnsi="David" w:cs="David" w:hint="cs"/>
          <w:rtl/>
        </w:rPr>
        <w:t xml:space="preserve"> </w:t>
      </w:r>
      <w:r w:rsidRPr="00586FA4">
        <w:rPr>
          <w:rFonts w:ascii="David" w:hAnsi="David" w:cs="David" w:hint="cs"/>
          <w:u w:val="single"/>
          <w:rtl/>
        </w:rPr>
        <w:t>יינתן פטור</w:t>
      </w:r>
      <w:r>
        <w:rPr>
          <w:rFonts w:ascii="David" w:hAnsi="David" w:cs="David" w:hint="cs"/>
          <w:rtl/>
        </w:rPr>
        <w:t xml:space="preserve">. </w:t>
      </w:r>
    </w:p>
    <w:p w:rsidR="00C24538" w:rsidRPr="004C49A5" w:rsidRDefault="00C24538" w:rsidP="00C24538">
      <w:pPr>
        <w:pStyle w:val="a9"/>
        <w:spacing w:line="360" w:lineRule="auto"/>
        <w:ind w:left="360"/>
        <w:contextualSpacing w:val="0"/>
        <w:jc w:val="both"/>
        <w:rPr>
          <w:rFonts w:ascii="David" w:hAnsi="David" w:cs="David"/>
        </w:rPr>
      </w:pPr>
      <w:r>
        <w:rPr>
          <w:rFonts w:ascii="David" w:hAnsi="David" w:cs="David" w:hint="cs"/>
          <w:rtl/>
        </w:rPr>
        <w:t xml:space="preserve">הסכמי פינוי בינוי שנחתמו </w:t>
      </w:r>
      <w:r w:rsidRPr="00586FA4">
        <w:rPr>
          <w:rFonts w:ascii="David" w:hAnsi="David" w:cs="David" w:hint="cs"/>
          <w:b/>
          <w:bCs/>
          <w:rtl/>
        </w:rPr>
        <w:t>לאחר</w:t>
      </w:r>
      <w:r>
        <w:rPr>
          <w:rFonts w:ascii="David" w:hAnsi="David" w:cs="David" w:hint="cs"/>
          <w:rtl/>
        </w:rPr>
        <w:t xml:space="preserve"> אישור התכנית </w:t>
      </w:r>
      <w:r>
        <w:rPr>
          <w:rFonts w:ascii="David" w:hAnsi="David" w:cs="David"/>
          <w:rtl/>
        </w:rPr>
        <w:t>–</w:t>
      </w:r>
      <w:r>
        <w:rPr>
          <w:rFonts w:ascii="David" w:hAnsi="David" w:cs="David" w:hint="cs"/>
          <w:rtl/>
        </w:rPr>
        <w:t xml:space="preserve"> </w:t>
      </w:r>
      <w:r w:rsidRPr="00586FA4">
        <w:rPr>
          <w:rFonts w:ascii="David" w:hAnsi="David" w:cs="David" w:hint="cs"/>
          <w:u w:val="single"/>
          <w:rtl/>
        </w:rPr>
        <w:t>לא יינתן פטור</w:t>
      </w:r>
      <w:r>
        <w:rPr>
          <w:rFonts w:ascii="David" w:hAnsi="David" w:cs="David" w:hint="cs"/>
          <w:rtl/>
        </w:rPr>
        <w:t>.</w:t>
      </w:r>
    </w:p>
    <w:p w:rsidR="002A5269" w:rsidRPr="002A5269" w:rsidRDefault="00C24538" w:rsidP="002A5269">
      <w:pPr>
        <w:pStyle w:val="a9"/>
        <w:numPr>
          <w:ilvl w:val="0"/>
          <w:numId w:val="1"/>
        </w:numPr>
        <w:tabs>
          <w:tab w:val="left" w:pos="425"/>
        </w:tabs>
        <w:spacing w:line="360" w:lineRule="auto"/>
        <w:contextualSpacing w:val="0"/>
        <w:jc w:val="both"/>
        <w:rPr>
          <w:rFonts w:ascii="David" w:hAnsi="David" w:cs="David"/>
          <w:color w:val="EE0000"/>
        </w:rPr>
      </w:pPr>
      <w:r w:rsidRPr="00586FA4">
        <w:rPr>
          <w:rFonts w:ascii="David" w:hAnsi="David" w:cs="David" w:hint="cs"/>
          <w:rtl/>
        </w:rPr>
        <w:t>בעניינינו ישנן שלוש מדרגות השבחה תכנית בי/</w:t>
      </w:r>
      <w:r w:rsidR="0052342E" w:rsidRPr="00586FA4">
        <w:rPr>
          <w:rFonts w:ascii="David" w:hAnsi="David" w:cs="David"/>
          <w:rtl/>
        </w:rPr>
        <w:t xml:space="preserve">517 </w:t>
      </w:r>
      <w:r w:rsidR="0052342E">
        <w:rPr>
          <w:rFonts w:ascii="David" w:hAnsi="David" w:cs="David" w:hint="eastAsia"/>
          <w:rtl/>
        </w:rPr>
        <w:t>משנת</w:t>
      </w:r>
      <w:r>
        <w:rPr>
          <w:rFonts w:ascii="David" w:hAnsi="David" w:cs="David" w:hint="cs"/>
          <w:rtl/>
        </w:rPr>
        <w:t xml:space="preserve"> 2015</w:t>
      </w:r>
      <w:r w:rsidRPr="00586FA4">
        <w:rPr>
          <w:rFonts w:ascii="David" w:hAnsi="David" w:cs="David" w:hint="cs"/>
          <w:rtl/>
        </w:rPr>
        <w:t>, תכנית בי/1/</w:t>
      </w:r>
      <w:r w:rsidR="0052342E" w:rsidRPr="00586FA4">
        <w:rPr>
          <w:rFonts w:ascii="David" w:hAnsi="David" w:cs="David"/>
          <w:rtl/>
        </w:rPr>
        <w:t>517 מ</w:t>
      </w:r>
      <w:r w:rsidR="0052342E" w:rsidRPr="00586FA4">
        <w:rPr>
          <w:rFonts w:ascii="David" w:hAnsi="David" w:cs="David" w:hint="eastAsia"/>
          <w:rtl/>
        </w:rPr>
        <w:t>שנת</w:t>
      </w:r>
      <w:r>
        <w:rPr>
          <w:rFonts w:ascii="David" w:hAnsi="David" w:cs="David" w:hint="cs"/>
          <w:rtl/>
        </w:rPr>
        <w:t xml:space="preserve"> 2017 </w:t>
      </w:r>
      <w:r w:rsidRPr="00586FA4">
        <w:rPr>
          <w:rFonts w:ascii="David" w:hAnsi="David" w:cs="David" w:hint="cs"/>
          <w:rtl/>
        </w:rPr>
        <w:t>וההקלות</w:t>
      </w:r>
      <w:r>
        <w:rPr>
          <w:rFonts w:ascii="David" w:hAnsi="David" w:cs="David" w:hint="cs"/>
          <w:rtl/>
        </w:rPr>
        <w:t xml:space="preserve"> שאושרו בשנת 2019</w:t>
      </w:r>
      <w:r w:rsidRPr="00586FA4">
        <w:rPr>
          <w:rFonts w:ascii="David" w:hAnsi="David" w:cs="David" w:hint="cs"/>
          <w:rtl/>
        </w:rPr>
        <w:t xml:space="preserve">. </w:t>
      </w:r>
    </w:p>
    <w:p w:rsidR="00C24538" w:rsidRDefault="00C24538" w:rsidP="00C24538">
      <w:pPr>
        <w:pStyle w:val="a9"/>
        <w:numPr>
          <w:ilvl w:val="0"/>
          <w:numId w:val="1"/>
        </w:numPr>
        <w:tabs>
          <w:tab w:val="left" w:pos="425"/>
        </w:tabs>
        <w:spacing w:line="360" w:lineRule="auto"/>
        <w:contextualSpacing w:val="0"/>
        <w:jc w:val="both"/>
        <w:rPr>
          <w:rFonts w:ascii="David" w:hAnsi="David" w:cs="David"/>
        </w:rPr>
      </w:pPr>
      <w:r w:rsidRPr="005A7521">
        <w:rPr>
          <w:rFonts w:ascii="David" w:hAnsi="David" w:cs="David" w:hint="cs"/>
          <w:rtl/>
        </w:rPr>
        <w:t>בשים לב לכך ש</w:t>
      </w:r>
      <w:r w:rsidR="00415A22">
        <w:rPr>
          <w:rFonts w:ascii="David" w:hAnsi="David" w:cs="David" w:hint="cs"/>
          <w:rtl/>
        </w:rPr>
        <w:t xml:space="preserve">בהתאם להודעה מאוחרת שהגישה החברה </w:t>
      </w:r>
      <w:r w:rsidRPr="005A7521">
        <w:rPr>
          <w:rFonts w:ascii="David" w:hAnsi="David" w:cs="David" w:hint="cs"/>
          <w:rtl/>
        </w:rPr>
        <w:t>הסכמי הפינוי בינוי בעניינינו נחתמו בשני מועדים חלק ניכר  כ-9</w:t>
      </w:r>
      <w:r>
        <w:rPr>
          <w:rFonts w:ascii="David" w:hAnsi="David" w:cs="David" w:hint="cs"/>
          <w:rtl/>
        </w:rPr>
        <w:t>4</w:t>
      </w:r>
      <w:r w:rsidRPr="005A7521">
        <w:rPr>
          <w:rFonts w:ascii="David" w:hAnsi="David" w:cs="David" w:hint="cs"/>
          <w:rtl/>
        </w:rPr>
        <w:t xml:space="preserve">% </w:t>
      </w:r>
      <w:r>
        <w:rPr>
          <w:rStyle w:val="af9"/>
          <w:rFonts w:ascii="David" w:hAnsi="David" w:cs="David"/>
          <w:rtl/>
        </w:rPr>
        <w:footnoteReference w:id="3"/>
      </w:r>
      <w:r w:rsidRPr="005A7521">
        <w:rPr>
          <w:rFonts w:ascii="David" w:hAnsi="David" w:cs="David" w:hint="cs"/>
          <w:rtl/>
        </w:rPr>
        <w:t xml:space="preserve"> </w:t>
      </w:r>
      <w:r w:rsidR="00A40142">
        <w:rPr>
          <w:rFonts w:ascii="David" w:hAnsi="David" w:cs="David" w:hint="cs"/>
          <w:rtl/>
        </w:rPr>
        <w:t>נחתמו</w:t>
      </w:r>
      <w:r w:rsidR="00A40142" w:rsidRPr="005A7521">
        <w:rPr>
          <w:rFonts w:ascii="David" w:hAnsi="David" w:cs="David" w:hint="cs"/>
          <w:rtl/>
        </w:rPr>
        <w:t xml:space="preserve"> </w:t>
      </w:r>
      <w:r w:rsidRPr="005A7521">
        <w:rPr>
          <w:rFonts w:ascii="David" w:hAnsi="David" w:cs="David" w:hint="cs"/>
          <w:rtl/>
        </w:rPr>
        <w:t xml:space="preserve">בשנת 2014 ואילו כ- 5% נוספים חתמו בשנת 2016, על כן יישום התוצאה שנקבעה בעניין </w:t>
      </w:r>
      <w:r>
        <w:rPr>
          <w:rFonts w:ascii="David" w:hAnsi="David" w:cs="David" w:hint="cs"/>
          <w:rtl/>
        </w:rPr>
        <w:t>"</w:t>
      </w:r>
      <w:proofErr w:type="spellStart"/>
      <w:r w:rsidRPr="002A5269">
        <w:rPr>
          <w:rFonts w:ascii="David" w:hAnsi="David" w:cs="David" w:hint="cs"/>
          <w:b/>
          <w:bCs/>
          <w:rtl/>
        </w:rPr>
        <w:t>בובליל</w:t>
      </w:r>
      <w:proofErr w:type="spellEnd"/>
      <w:r>
        <w:rPr>
          <w:rFonts w:ascii="David" w:hAnsi="David" w:cs="David" w:hint="cs"/>
          <w:rtl/>
        </w:rPr>
        <w:t>"</w:t>
      </w:r>
      <w:r w:rsidRPr="005A7521">
        <w:rPr>
          <w:rFonts w:ascii="David" w:hAnsi="David" w:cs="David" w:hint="cs"/>
          <w:rtl/>
        </w:rPr>
        <w:t xml:space="preserve"> לעניינינו היא כדלקמן:</w:t>
      </w:r>
    </w:p>
    <w:p w:rsidR="00C24538" w:rsidRPr="0090208E" w:rsidRDefault="00C24538" w:rsidP="00C24538">
      <w:pPr>
        <w:pStyle w:val="a9"/>
        <w:tabs>
          <w:tab w:val="left" w:pos="425"/>
        </w:tabs>
        <w:spacing w:line="360" w:lineRule="auto"/>
        <w:ind w:left="360"/>
        <w:contextualSpacing w:val="0"/>
        <w:jc w:val="both"/>
        <w:rPr>
          <w:rFonts w:ascii="David" w:hAnsi="David" w:cs="David"/>
          <w:rtl/>
        </w:rPr>
      </w:pPr>
      <w:r w:rsidRPr="0090208E">
        <w:rPr>
          <w:rFonts w:ascii="David" w:hAnsi="David" w:cs="David" w:hint="cs"/>
          <w:rtl/>
        </w:rPr>
        <w:t xml:space="preserve">הסכמי הפינוי בינוי שנחתמו </w:t>
      </w:r>
      <w:r w:rsidRPr="0090208E">
        <w:rPr>
          <w:rFonts w:ascii="David" w:hAnsi="David" w:cs="David" w:hint="cs"/>
          <w:b/>
          <w:bCs/>
          <w:rtl/>
        </w:rPr>
        <w:t>בטרם</w:t>
      </w:r>
      <w:r w:rsidRPr="0090208E">
        <w:rPr>
          <w:rFonts w:ascii="David" w:hAnsi="David" w:cs="David" w:hint="cs"/>
          <w:rtl/>
        </w:rPr>
        <w:t xml:space="preserve"> אושרה תכנית</w:t>
      </w:r>
      <w:r w:rsidRPr="0090208E">
        <w:rPr>
          <w:rFonts w:ascii="David" w:hAnsi="David" w:cs="David"/>
          <w:rtl/>
        </w:rPr>
        <w:t>–</w:t>
      </w:r>
      <w:r w:rsidRPr="0090208E">
        <w:rPr>
          <w:rFonts w:ascii="David" w:hAnsi="David" w:cs="David" w:hint="cs"/>
          <w:rtl/>
        </w:rPr>
        <w:t xml:space="preserve"> </w:t>
      </w:r>
      <w:r w:rsidRPr="0090208E">
        <w:rPr>
          <w:rFonts w:ascii="David" w:hAnsi="David" w:cs="David" w:hint="cs"/>
          <w:b/>
          <w:bCs/>
          <w:rtl/>
        </w:rPr>
        <w:t>זכאים לפטור</w:t>
      </w:r>
      <w:r w:rsidRPr="0090208E">
        <w:rPr>
          <w:rFonts w:ascii="David" w:hAnsi="David" w:cs="David" w:hint="cs"/>
          <w:rtl/>
        </w:rPr>
        <w:t>.</w:t>
      </w:r>
    </w:p>
    <w:p w:rsidR="00C24538" w:rsidRDefault="00C24538" w:rsidP="00C24538">
      <w:pPr>
        <w:pStyle w:val="a9"/>
        <w:tabs>
          <w:tab w:val="left" w:pos="1244"/>
        </w:tabs>
        <w:spacing w:line="360" w:lineRule="auto"/>
        <w:ind w:left="360"/>
        <w:contextualSpacing w:val="0"/>
        <w:jc w:val="both"/>
        <w:rPr>
          <w:rFonts w:ascii="David" w:hAnsi="David" w:cs="David"/>
          <w:rtl/>
        </w:rPr>
      </w:pPr>
      <w:r w:rsidRPr="00586FA4">
        <w:rPr>
          <w:rFonts w:ascii="David" w:hAnsi="David" w:cs="David" w:hint="cs"/>
          <w:rtl/>
        </w:rPr>
        <w:t xml:space="preserve">הסכמי פינוי בינוי שנחתמו </w:t>
      </w:r>
      <w:r w:rsidRPr="005A7521">
        <w:rPr>
          <w:rFonts w:ascii="David" w:hAnsi="David" w:cs="David" w:hint="cs"/>
          <w:u w:val="single"/>
          <w:rtl/>
        </w:rPr>
        <w:t xml:space="preserve">לאחר </w:t>
      </w:r>
      <w:r w:rsidRPr="00586FA4">
        <w:rPr>
          <w:rFonts w:ascii="David" w:hAnsi="David" w:cs="David" w:hint="cs"/>
          <w:rtl/>
        </w:rPr>
        <w:t xml:space="preserve">אישור תכנית </w:t>
      </w:r>
      <w:r>
        <w:rPr>
          <w:rFonts w:ascii="David" w:hAnsi="David" w:cs="David" w:hint="cs"/>
          <w:rtl/>
        </w:rPr>
        <w:t>-</w:t>
      </w:r>
      <w:r w:rsidRPr="00586FA4">
        <w:rPr>
          <w:rFonts w:ascii="David" w:hAnsi="David" w:cs="David" w:hint="cs"/>
          <w:rtl/>
        </w:rPr>
        <w:t xml:space="preserve"> </w:t>
      </w:r>
      <w:r w:rsidRPr="00294D71">
        <w:rPr>
          <w:rFonts w:ascii="David" w:hAnsi="David" w:cs="David" w:hint="cs"/>
          <w:u w:val="single"/>
          <w:rtl/>
        </w:rPr>
        <w:t>לא יהיו זכאים לפטור</w:t>
      </w:r>
      <w:r>
        <w:rPr>
          <w:rFonts w:ascii="David" w:hAnsi="David" w:cs="David" w:hint="cs"/>
          <w:rtl/>
        </w:rPr>
        <w:t>.</w:t>
      </w:r>
    </w:p>
    <w:p w:rsidR="00C24538" w:rsidRDefault="00C24538" w:rsidP="00C24538">
      <w:pPr>
        <w:pStyle w:val="a9"/>
        <w:numPr>
          <w:ilvl w:val="0"/>
          <w:numId w:val="1"/>
        </w:numPr>
        <w:tabs>
          <w:tab w:val="left" w:pos="425"/>
        </w:tabs>
        <w:spacing w:line="360" w:lineRule="auto"/>
        <w:contextualSpacing w:val="0"/>
        <w:jc w:val="both"/>
        <w:rPr>
          <w:rFonts w:ascii="David" w:hAnsi="David" w:cs="David"/>
        </w:rPr>
      </w:pPr>
      <w:r w:rsidRPr="00294D71">
        <w:rPr>
          <w:rFonts w:ascii="David" w:hAnsi="David" w:cs="David" w:hint="cs"/>
          <w:rtl/>
        </w:rPr>
        <w:t xml:space="preserve">נציין כי </w:t>
      </w:r>
      <w:r w:rsidRPr="00294D71">
        <w:rPr>
          <w:rFonts w:ascii="David" w:hAnsi="David" w:cs="David" w:hint="cs"/>
          <w:b/>
          <w:bCs/>
          <w:rtl/>
        </w:rPr>
        <w:t>בהתייחס ל-90 יח"ד שאושרו בהקלה</w:t>
      </w:r>
      <w:r w:rsidRPr="00294D71">
        <w:rPr>
          <w:rFonts w:ascii="David" w:hAnsi="David" w:cs="David" w:hint="cs"/>
          <w:rtl/>
        </w:rPr>
        <w:t xml:space="preserve"> בשנת 2019 והן </w:t>
      </w:r>
      <w:proofErr w:type="spellStart"/>
      <w:r w:rsidRPr="00294D71">
        <w:rPr>
          <w:rFonts w:ascii="David" w:hAnsi="David" w:cs="David" w:hint="cs"/>
          <w:rtl/>
        </w:rPr>
        <w:t>ימוסו</w:t>
      </w:r>
      <w:proofErr w:type="spellEnd"/>
      <w:r w:rsidRPr="00294D71">
        <w:rPr>
          <w:rFonts w:ascii="David" w:hAnsi="David" w:cs="David" w:hint="cs"/>
          <w:rtl/>
        </w:rPr>
        <w:t xml:space="preserve"> במסגרת </w:t>
      </w:r>
      <w:r w:rsidR="00EA064A">
        <w:rPr>
          <w:rFonts w:ascii="David" w:hAnsi="David" w:cs="David" w:hint="cs"/>
          <w:rtl/>
        </w:rPr>
        <w:t>ה</w:t>
      </w:r>
      <w:r w:rsidRPr="00294D71">
        <w:rPr>
          <w:rFonts w:ascii="David" w:hAnsi="David" w:cs="David" w:hint="cs"/>
          <w:rtl/>
        </w:rPr>
        <w:t xml:space="preserve">מימוש הבא - בדרך של הוצאת ההיתר ועל כן גם </w:t>
      </w:r>
      <w:r w:rsidRPr="00294D71">
        <w:rPr>
          <w:rFonts w:ascii="David" w:hAnsi="David" w:cs="David" w:hint="cs"/>
          <w:b/>
          <w:bCs/>
          <w:rtl/>
        </w:rPr>
        <w:t>יח"ד אלו פטורות</w:t>
      </w:r>
      <w:r w:rsidRPr="00294D71">
        <w:rPr>
          <w:rFonts w:ascii="David" w:hAnsi="David" w:cs="David" w:hint="cs"/>
          <w:rtl/>
        </w:rPr>
        <w:t>.</w:t>
      </w:r>
    </w:p>
    <w:p w:rsidR="00C24538" w:rsidRDefault="00C24538" w:rsidP="00C24538">
      <w:pPr>
        <w:pStyle w:val="a9"/>
        <w:numPr>
          <w:ilvl w:val="0"/>
          <w:numId w:val="1"/>
        </w:numPr>
        <w:tabs>
          <w:tab w:val="left" w:pos="425"/>
        </w:tabs>
        <w:spacing w:line="360" w:lineRule="auto"/>
        <w:contextualSpacing w:val="0"/>
        <w:jc w:val="both"/>
        <w:rPr>
          <w:rFonts w:ascii="David" w:hAnsi="David" w:cs="David"/>
        </w:rPr>
      </w:pPr>
      <w:r w:rsidRPr="0090208E">
        <w:rPr>
          <w:rFonts w:ascii="David" w:hAnsi="David" w:cs="David" w:hint="cs"/>
          <w:rtl/>
        </w:rPr>
        <w:t xml:space="preserve">קביעתנו זאת </w:t>
      </w:r>
      <w:r>
        <w:rPr>
          <w:rFonts w:ascii="David" w:hAnsi="David" w:cs="David" w:hint="cs"/>
          <w:rtl/>
        </w:rPr>
        <w:t xml:space="preserve">בעניין הפטור לממ"דים גם ליח"ד שנוספו בהקלה </w:t>
      </w:r>
      <w:r w:rsidRPr="0090208E">
        <w:rPr>
          <w:rFonts w:ascii="David" w:hAnsi="David" w:cs="David" w:hint="cs"/>
          <w:rtl/>
        </w:rPr>
        <w:t>תואמת את הוראות החוק כפי שבוטאו בהרחבה בהחלטה שנתנה כנגד הועדה המקומית בת ים כבעניינינו ממש לאחרונה על ידי ועדת הערר בראשות כב' היו"ר הלל גלקופ בעניין</w:t>
      </w:r>
      <w:r w:rsidRPr="0090208E">
        <w:rPr>
          <w:rFonts w:ascii="David" w:hAnsi="David" w:cs="David"/>
          <w:rtl/>
        </w:rPr>
        <w:t xml:space="preserve"> ערר (תל אביב-יפו) 8002-01-22 </w:t>
      </w:r>
      <w:r w:rsidRPr="0090208E">
        <w:rPr>
          <w:rFonts w:ascii="David" w:hAnsi="David" w:cs="David"/>
          <w:b/>
          <w:bCs/>
          <w:u w:val="single"/>
          <w:rtl/>
        </w:rPr>
        <w:t>הועדה המקומית לתכנון ולבנייה בת ים נ' רינה לבנה ואח</w:t>
      </w:r>
      <w:r w:rsidRPr="0090208E">
        <w:rPr>
          <w:rFonts w:ascii="David" w:hAnsi="David" w:cs="David"/>
          <w:b/>
          <w:bCs/>
          <w:rtl/>
        </w:rPr>
        <w:t>'</w:t>
      </w:r>
      <w:r w:rsidRPr="0090208E">
        <w:rPr>
          <w:rFonts w:ascii="David" w:hAnsi="David" w:cs="David" w:hint="cs"/>
          <w:b/>
          <w:bCs/>
          <w:rtl/>
        </w:rPr>
        <w:t xml:space="preserve"> </w:t>
      </w:r>
      <w:r w:rsidRPr="0090208E">
        <w:rPr>
          <w:rFonts w:ascii="David" w:hAnsi="David" w:cs="David" w:hint="cs"/>
          <w:rtl/>
        </w:rPr>
        <w:t xml:space="preserve">(נבו 30.1.25) (להלן </w:t>
      </w:r>
      <w:r w:rsidRPr="0090208E">
        <w:rPr>
          <w:rFonts w:ascii="David" w:hAnsi="David" w:cs="David"/>
          <w:rtl/>
        </w:rPr>
        <w:t>–</w:t>
      </w:r>
      <w:r w:rsidRPr="0090208E">
        <w:rPr>
          <w:rFonts w:ascii="David" w:hAnsi="David" w:cs="David" w:hint="cs"/>
          <w:rtl/>
        </w:rPr>
        <w:t xml:space="preserve"> "</w:t>
      </w:r>
      <w:r w:rsidRPr="0090208E">
        <w:rPr>
          <w:rFonts w:ascii="David" w:hAnsi="David" w:cs="David" w:hint="cs"/>
          <w:b/>
          <w:bCs/>
          <w:rtl/>
        </w:rPr>
        <w:t>רינה לבנה</w:t>
      </w:r>
      <w:r w:rsidRPr="0090208E">
        <w:rPr>
          <w:rFonts w:ascii="David" w:hAnsi="David" w:cs="David" w:hint="cs"/>
          <w:rtl/>
        </w:rPr>
        <w:t>")</w:t>
      </w:r>
      <w:r w:rsidRPr="0090208E">
        <w:rPr>
          <w:rStyle w:val="af9"/>
          <w:rFonts w:ascii="David" w:hAnsi="David" w:cs="David"/>
          <w:rtl/>
        </w:rPr>
        <w:footnoteReference w:id="4"/>
      </w:r>
      <w:r w:rsidRPr="0090208E">
        <w:rPr>
          <w:rFonts w:ascii="David" w:hAnsi="David" w:cs="David" w:hint="cs"/>
          <w:rtl/>
        </w:rPr>
        <w:t xml:space="preserve"> שעסק בעיקרו בשאלת אי חישוב השבחה בגין הממ"דים ליחידות שהתווספו מכוח ההקלה וכ</w:t>
      </w:r>
      <w:r w:rsidR="00BE0DD4">
        <w:rPr>
          <w:rFonts w:ascii="David" w:hAnsi="David" w:cs="David" w:hint="cs"/>
          <w:rtl/>
        </w:rPr>
        <w:t>ך</w:t>
      </w:r>
      <w:r w:rsidRPr="0090208E">
        <w:rPr>
          <w:rFonts w:ascii="David" w:hAnsi="David" w:cs="David" w:hint="cs"/>
          <w:rtl/>
        </w:rPr>
        <w:t xml:space="preserve"> צוין שם:</w:t>
      </w:r>
    </w:p>
    <w:p w:rsidR="00C24538" w:rsidRPr="00415A22" w:rsidRDefault="00C24538" w:rsidP="00C24538">
      <w:pPr>
        <w:autoSpaceDN w:val="0"/>
        <w:spacing w:before="120" w:after="200" w:line="240" w:lineRule="auto"/>
        <w:ind w:left="709" w:right="1418"/>
        <w:jc w:val="both"/>
        <w:rPr>
          <w:rFonts w:ascii="David" w:hAnsi="David" w:cs="David"/>
          <w:i/>
          <w:iCs/>
          <w:kern w:val="0"/>
          <w:sz w:val="22"/>
          <w:szCs w:val="22"/>
          <w:rtl/>
        </w:rPr>
      </w:pPr>
      <w:r w:rsidRPr="00415A22">
        <w:rPr>
          <w:rFonts w:ascii="David" w:hAnsi="David" w:cs="David"/>
          <w:i/>
          <w:iCs/>
          <w:kern w:val="0"/>
          <w:sz w:val="22"/>
          <w:szCs w:val="22"/>
          <w:rtl/>
        </w:rPr>
        <w:t>"</w:t>
      </w:r>
      <w:r w:rsidRPr="00415A22">
        <w:rPr>
          <w:rFonts w:ascii="David" w:eastAsia="Times New Roman" w:hAnsi="David" w:cs="David"/>
          <w:i/>
          <w:iCs/>
          <w:spacing w:val="-4"/>
          <w:kern w:val="0"/>
          <w:sz w:val="22"/>
          <w:szCs w:val="22"/>
          <w:rtl/>
          <w14:ligatures w14:val="none"/>
        </w:rPr>
        <w:t xml:space="preserve">מהלכת נווה בניין עולה </w:t>
      </w:r>
      <w:proofErr w:type="spellStart"/>
      <w:r w:rsidRPr="00415A22">
        <w:rPr>
          <w:rFonts w:ascii="David" w:eastAsia="Times New Roman" w:hAnsi="David" w:cs="David"/>
          <w:i/>
          <w:iCs/>
          <w:spacing w:val="-4"/>
          <w:kern w:val="0"/>
          <w:sz w:val="22"/>
          <w:szCs w:val="22"/>
          <w:rtl/>
          <w14:ligatures w14:val="none"/>
        </w:rPr>
        <w:t>איפוא</w:t>
      </w:r>
      <w:proofErr w:type="spellEnd"/>
      <w:r w:rsidRPr="00415A22">
        <w:rPr>
          <w:rFonts w:ascii="David" w:eastAsia="Times New Roman" w:hAnsi="David" w:cs="David"/>
          <w:i/>
          <w:iCs/>
          <w:spacing w:val="-4"/>
          <w:kern w:val="0"/>
          <w:sz w:val="22"/>
          <w:szCs w:val="22"/>
          <w:rtl/>
          <w14:ligatures w14:val="none"/>
        </w:rPr>
        <w:t xml:space="preserve"> כי מועד כריתת ההסכם מהווה מועד המימוש. הווי אומר, "פשוטו של מקרא" - אירוע משביח, כגון תכנית או הקלה שבאו לעולם לאחר מועד המימוש – כריתת ההסכם - </w:t>
      </w:r>
      <w:proofErr w:type="spellStart"/>
      <w:r w:rsidRPr="00415A22">
        <w:rPr>
          <w:rFonts w:ascii="David" w:eastAsia="Times New Roman" w:hAnsi="David" w:cs="David"/>
          <w:i/>
          <w:iCs/>
          <w:spacing w:val="-4"/>
          <w:kern w:val="0"/>
          <w:sz w:val="22"/>
          <w:szCs w:val="22"/>
          <w:rtl/>
          <w14:ligatures w14:val="none"/>
        </w:rPr>
        <w:t>ימוסו</w:t>
      </w:r>
      <w:proofErr w:type="spellEnd"/>
      <w:r w:rsidRPr="00415A22">
        <w:rPr>
          <w:rFonts w:ascii="David" w:eastAsia="Times New Roman" w:hAnsi="David" w:cs="David"/>
          <w:i/>
          <w:iCs/>
          <w:spacing w:val="-4"/>
          <w:kern w:val="0"/>
          <w:sz w:val="22"/>
          <w:szCs w:val="22"/>
          <w:rtl/>
          <w14:ligatures w14:val="none"/>
        </w:rPr>
        <w:t xml:space="preserve"> במסגרת המימוש הבא, בהתאם לקביעת </w:t>
      </w:r>
      <w:hyperlink r:id="rId21" w:history="1">
        <w:r w:rsidRPr="00415A22">
          <w:rPr>
            <w:rFonts w:ascii="David" w:eastAsia="Times New Roman" w:hAnsi="David" w:cs="David"/>
            <w:i/>
            <w:iCs/>
            <w:spacing w:val="-4"/>
            <w:kern w:val="0"/>
            <w:sz w:val="22"/>
            <w:szCs w:val="22"/>
            <w:u w:val="single"/>
            <w:rtl/>
            <w14:ligatures w14:val="none"/>
          </w:rPr>
          <w:t>סעיף 7(א)</w:t>
        </w:r>
      </w:hyperlink>
      <w:r w:rsidRPr="00415A22">
        <w:rPr>
          <w:rFonts w:ascii="David" w:eastAsia="Times New Roman" w:hAnsi="David" w:cs="David"/>
          <w:i/>
          <w:iCs/>
          <w:spacing w:val="-4"/>
          <w:kern w:val="0"/>
          <w:sz w:val="22"/>
          <w:szCs w:val="22"/>
          <w:rtl/>
          <w14:ligatures w14:val="none"/>
        </w:rPr>
        <w:t xml:space="preserve"> לתוספת השלישית.</w:t>
      </w:r>
    </w:p>
    <w:p w:rsidR="00C24538" w:rsidRPr="00415A22" w:rsidRDefault="00C24538" w:rsidP="00C24538">
      <w:pPr>
        <w:autoSpaceDN w:val="0"/>
        <w:spacing w:before="120" w:after="200" w:line="240" w:lineRule="auto"/>
        <w:ind w:left="709" w:right="1418"/>
        <w:jc w:val="both"/>
        <w:rPr>
          <w:rFonts w:ascii="David" w:eastAsia="Times New Roman" w:hAnsi="David" w:cs="David"/>
          <w:i/>
          <w:iCs/>
          <w:spacing w:val="-4"/>
          <w:kern w:val="0"/>
          <w:sz w:val="22"/>
          <w:szCs w:val="22"/>
          <w:rtl/>
          <w14:ligatures w14:val="none"/>
        </w:rPr>
      </w:pPr>
      <w:r w:rsidRPr="00415A22">
        <w:rPr>
          <w:rFonts w:ascii="David" w:hAnsi="David" w:cs="David"/>
          <w:i/>
          <w:iCs/>
          <w:kern w:val="0"/>
          <w:sz w:val="22"/>
          <w:szCs w:val="22"/>
          <w:rtl/>
        </w:rPr>
        <w:t>...</w:t>
      </w:r>
    </w:p>
    <w:p w:rsidR="00C24538" w:rsidRPr="002A5269" w:rsidRDefault="00C24538" w:rsidP="00C24538">
      <w:pPr>
        <w:autoSpaceDN w:val="0"/>
        <w:spacing w:before="120" w:after="200" w:line="240" w:lineRule="auto"/>
        <w:ind w:left="709" w:right="1418"/>
        <w:jc w:val="both"/>
        <w:rPr>
          <w:rFonts w:ascii="David" w:hAnsi="David" w:cs="David"/>
          <w:b/>
          <w:bCs/>
          <w:i/>
          <w:iCs/>
          <w:kern w:val="0"/>
          <w:sz w:val="22"/>
          <w:szCs w:val="22"/>
          <w:rtl/>
        </w:rPr>
      </w:pPr>
      <w:r w:rsidRPr="00415A22">
        <w:rPr>
          <w:rFonts w:ascii="David" w:hAnsi="David" w:cs="David"/>
          <w:b/>
          <w:bCs/>
          <w:i/>
          <w:iCs/>
          <w:kern w:val="0"/>
          <w:sz w:val="22"/>
          <w:szCs w:val="22"/>
          <w:rtl/>
        </w:rPr>
        <w:t xml:space="preserve">נקודת המוצא גם לדיון שבפנינו היא כי התכנית או ההקלה אושרו לאחר חתימת ההסכם. </w:t>
      </w:r>
      <w:r w:rsidRPr="002A5269">
        <w:rPr>
          <w:rFonts w:ascii="David" w:hAnsi="David" w:cs="David"/>
          <w:b/>
          <w:bCs/>
          <w:i/>
          <w:iCs/>
          <w:kern w:val="0"/>
          <w:sz w:val="22"/>
          <w:szCs w:val="22"/>
          <w:rtl/>
        </w:rPr>
        <w:t>על כן ההיטל בגינן ישולם רק לאחר אישורן, קרי – לאחר אישור ההקלה (או לאחר אישור תכנית "פינוי בינוי").</w:t>
      </w:r>
    </w:p>
    <w:p w:rsidR="00C24538" w:rsidRPr="00415A22" w:rsidRDefault="00C24538" w:rsidP="00C24538">
      <w:pPr>
        <w:autoSpaceDN w:val="0"/>
        <w:spacing w:before="120" w:after="200" w:line="240" w:lineRule="auto"/>
        <w:ind w:left="709" w:right="1418"/>
        <w:jc w:val="both"/>
        <w:rPr>
          <w:rFonts w:ascii="David" w:hAnsi="David" w:cs="David"/>
          <w:i/>
          <w:iCs/>
          <w:kern w:val="0"/>
          <w:sz w:val="22"/>
          <w:szCs w:val="22"/>
          <w:rtl/>
        </w:rPr>
      </w:pPr>
      <w:r w:rsidRPr="002A5269">
        <w:rPr>
          <w:rFonts w:ascii="David" w:hAnsi="David" w:cs="David"/>
          <w:i/>
          <w:iCs/>
          <w:kern w:val="0"/>
          <w:sz w:val="22"/>
          <w:szCs w:val="22"/>
          <w:rtl/>
        </w:rPr>
        <w:t xml:space="preserve">הווי </w:t>
      </w:r>
      <w:r w:rsidRPr="00415A22">
        <w:rPr>
          <w:rFonts w:ascii="David" w:hAnsi="David" w:cs="David"/>
          <w:i/>
          <w:iCs/>
          <w:kern w:val="0"/>
          <w:sz w:val="22"/>
          <w:szCs w:val="22"/>
          <w:rtl/>
        </w:rPr>
        <w:t>אומר נקודת המוצא לכל דיון בחיוב בהיטל השבחה היא כי ההיטל ישולם במועד המימוש הראשון ובהתאם לשווי הנכון למועד הקובע כמבואר לעיל.</w:t>
      </w:r>
    </w:p>
    <w:p w:rsidR="00C24538" w:rsidRPr="00415A22" w:rsidRDefault="00C24538" w:rsidP="00C24538">
      <w:pPr>
        <w:autoSpaceDN w:val="0"/>
        <w:spacing w:before="120" w:after="200" w:line="240" w:lineRule="auto"/>
        <w:ind w:left="709" w:right="1418"/>
        <w:jc w:val="both"/>
        <w:rPr>
          <w:rFonts w:ascii="David" w:hAnsi="David" w:cs="David"/>
          <w:b/>
          <w:bCs/>
          <w:i/>
          <w:iCs/>
          <w:kern w:val="0"/>
          <w:sz w:val="22"/>
          <w:szCs w:val="22"/>
          <w:rtl/>
        </w:rPr>
      </w:pPr>
      <w:r w:rsidRPr="00415A22">
        <w:rPr>
          <w:rFonts w:ascii="David" w:hAnsi="David" w:cs="David"/>
          <w:b/>
          <w:bCs/>
          <w:i/>
          <w:iCs/>
          <w:kern w:val="0"/>
          <w:sz w:val="22"/>
          <w:szCs w:val="22"/>
          <w:rtl/>
        </w:rPr>
        <w:t>דרך המלך ליישום כלל זה בענייננו הוא כי הן ההקלות, אושרו לאחר מועד המימוש על דרך מכר. ועל כן טענת הוועדה המקומית לפיה: "אין מוקדם ומאוחר" בהיטל השבחה וכי ניתן לקשר את ההסכם לתכנית שאושרה לאחר חתימתו, בשל התנאי המתלה, אינה עולה בקנה אחד עם הוראת התוספת השלישית וכן עם הלכות בית המשפט העליון בעניין זה. קרי – את ההקלה יש לייחס למועד המימוש בו היא התהוותה – היתר הבניה.</w:t>
      </w:r>
    </w:p>
    <w:p w:rsidR="00C24538" w:rsidRPr="00415A22" w:rsidRDefault="00C24538" w:rsidP="00C24538">
      <w:pPr>
        <w:autoSpaceDN w:val="0"/>
        <w:spacing w:before="120" w:after="200" w:line="240" w:lineRule="auto"/>
        <w:ind w:left="709" w:right="1418"/>
        <w:jc w:val="both"/>
        <w:rPr>
          <w:rFonts w:ascii="David" w:hAnsi="David" w:cs="David"/>
          <w:b/>
          <w:bCs/>
          <w:i/>
          <w:iCs/>
          <w:kern w:val="0"/>
          <w:sz w:val="22"/>
          <w:szCs w:val="22"/>
          <w:rtl/>
        </w:rPr>
      </w:pPr>
      <w:r w:rsidRPr="00415A22">
        <w:rPr>
          <w:rFonts w:ascii="David" w:hAnsi="David" w:cs="David"/>
          <w:b/>
          <w:bCs/>
          <w:i/>
          <w:iCs/>
          <w:kern w:val="0"/>
          <w:sz w:val="22"/>
          <w:szCs w:val="22"/>
          <w:rtl/>
        </w:rPr>
        <w:t>....</w:t>
      </w:r>
    </w:p>
    <w:p w:rsidR="00C24538" w:rsidRPr="00415A22" w:rsidRDefault="00C24538" w:rsidP="00C24538">
      <w:pPr>
        <w:autoSpaceDN w:val="0"/>
        <w:spacing w:before="120" w:after="200" w:line="240" w:lineRule="auto"/>
        <w:ind w:left="709" w:right="1418"/>
        <w:rPr>
          <w:rFonts w:ascii="David" w:hAnsi="David" w:cs="David"/>
          <w:i/>
          <w:iCs/>
          <w:kern w:val="0"/>
          <w:sz w:val="22"/>
          <w:szCs w:val="22"/>
          <w:rtl/>
        </w:rPr>
      </w:pPr>
      <w:r w:rsidRPr="00415A22">
        <w:rPr>
          <w:rFonts w:ascii="David" w:hAnsi="David" w:cs="David"/>
          <w:i/>
          <w:iCs/>
          <w:kern w:val="0"/>
          <w:sz w:val="22"/>
          <w:szCs w:val="22"/>
          <w:rtl/>
        </w:rPr>
        <w:t>בהתאם לעקרון ההתעשרות, הרווח היחסי לכל אחד מהצדדים נוצר רק עם אישורן של ההקלות. וממילא, גם מבחינה כלכלית את מימוש הזכויות יש לייחס לשלב אישור ההקלות.</w:t>
      </w:r>
    </w:p>
    <w:p w:rsidR="00C24538" w:rsidRPr="00415A22" w:rsidRDefault="00C24538" w:rsidP="00C24538">
      <w:pPr>
        <w:autoSpaceDN w:val="0"/>
        <w:spacing w:before="120" w:after="200" w:line="240" w:lineRule="auto"/>
        <w:ind w:left="709" w:right="1418"/>
        <w:jc w:val="both"/>
        <w:rPr>
          <w:rFonts w:ascii="David" w:hAnsi="David" w:cs="David"/>
          <w:i/>
          <w:iCs/>
          <w:kern w:val="0"/>
          <w:sz w:val="22"/>
          <w:szCs w:val="22"/>
          <w:rtl/>
        </w:rPr>
      </w:pPr>
      <w:r w:rsidRPr="00415A22">
        <w:rPr>
          <w:rFonts w:ascii="David" w:hAnsi="David" w:cs="David"/>
          <w:i/>
          <w:iCs/>
          <w:kern w:val="0"/>
          <w:sz w:val="22"/>
          <w:szCs w:val="22"/>
          <w:rtl/>
        </w:rPr>
        <w:t xml:space="preserve">נוכח האמור, ההתעשרות </w:t>
      </w:r>
      <w:proofErr w:type="spellStart"/>
      <w:r w:rsidRPr="00415A22">
        <w:rPr>
          <w:rFonts w:ascii="David" w:hAnsi="David" w:cs="David"/>
          <w:i/>
          <w:iCs/>
          <w:kern w:val="0"/>
          <w:sz w:val="22"/>
          <w:szCs w:val="22"/>
          <w:rtl/>
        </w:rPr>
        <w:t>מכח</w:t>
      </w:r>
      <w:proofErr w:type="spellEnd"/>
      <w:r w:rsidRPr="00415A22">
        <w:rPr>
          <w:rFonts w:ascii="David" w:hAnsi="David" w:cs="David"/>
          <w:i/>
          <w:iCs/>
          <w:kern w:val="0"/>
          <w:sz w:val="22"/>
          <w:szCs w:val="22"/>
          <w:rtl/>
        </w:rPr>
        <w:t xml:space="preserve"> ההקלות, לטובת הבעלים או היזם, באה לעולם רק עם אישורה של ההקלה. ועל כן גם את בחינת ההתעשרות ומועדה, יש ליחס אותה למועד אישורה של ההקלה ולא למועד ההסכם.</w:t>
      </w:r>
    </w:p>
    <w:p w:rsidR="00C24538" w:rsidRPr="00415A22" w:rsidRDefault="00C24538" w:rsidP="00C24538">
      <w:pPr>
        <w:autoSpaceDN w:val="0"/>
        <w:spacing w:before="120" w:after="200" w:line="240" w:lineRule="auto"/>
        <w:ind w:left="709" w:right="1418"/>
        <w:jc w:val="both"/>
        <w:rPr>
          <w:rFonts w:ascii="David" w:hAnsi="David" w:cs="David"/>
          <w:i/>
          <w:iCs/>
          <w:kern w:val="0"/>
          <w:sz w:val="22"/>
          <w:szCs w:val="22"/>
          <w:rtl/>
        </w:rPr>
      </w:pPr>
      <w:r w:rsidRPr="00415A22">
        <w:rPr>
          <w:rFonts w:ascii="David" w:hAnsi="David" w:cs="David"/>
          <w:i/>
          <w:iCs/>
          <w:kern w:val="0"/>
          <w:sz w:val="22"/>
          <w:szCs w:val="22"/>
          <w:rtl/>
        </w:rPr>
        <w:t>...</w:t>
      </w:r>
    </w:p>
    <w:p w:rsidR="00C24538" w:rsidRPr="00415A22" w:rsidRDefault="00C24538" w:rsidP="00C24538">
      <w:pPr>
        <w:autoSpaceDN w:val="0"/>
        <w:spacing w:before="120" w:after="200" w:line="240" w:lineRule="auto"/>
        <w:ind w:left="709" w:right="1418"/>
        <w:jc w:val="both"/>
        <w:rPr>
          <w:rFonts w:ascii="David" w:hAnsi="David" w:cs="David"/>
          <w:i/>
          <w:iCs/>
          <w:kern w:val="0"/>
          <w:sz w:val="22"/>
          <w:szCs w:val="22"/>
          <w:rtl/>
        </w:rPr>
      </w:pPr>
      <w:r w:rsidRPr="00415A22">
        <w:rPr>
          <w:rFonts w:ascii="David" w:hAnsi="David" w:cs="David"/>
          <w:i/>
          <w:iCs/>
          <w:kern w:val="0"/>
          <w:sz w:val="22"/>
          <w:szCs w:val="22"/>
          <w:rtl/>
        </w:rPr>
        <w:t xml:space="preserve">יוצא כי בהסכם שלפנינו, מלבד זכויות בניה עתידיות נמכרות גם </w:t>
      </w:r>
      <w:r w:rsidRPr="00415A22">
        <w:rPr>
          <w:rFonts w:ascii="David" w:hAnsi="David" w:cs="David"/>
          <w:b/>
          <w:bCs/>
          <w:i/>
          <w:iCs/>
          <w:kern w:val="0"/>
          <w:sz w:val="22"/>
          <w:szCs w:val="22"/>
          <w:rtl/>
        </w:rPr>
        <w:t xml:space="preserve">זכויות במקרקעין עצמם שהן בגדר </w:t>
      </w:r>
      <w:r w:rsidRPr="00415A22">
        <w:rPr>
          <w:rFonts w:ascii="David" w:hAnsi="David" w:cs="David"/>
          <w:b/>
          <w:bCs/>
          <w:i/>
          <w:iCs/>
          <w:kern w:val="0"/>
          <w:sz w:val="22"/>
          <w:szCs w:val="22"/>
          <w:u w:val="single"/>
          <w:rtl/>
        </w:rPr>
        <w:t>נכס שניתן לרכוש בו בעלות עצמאית</w:t>
      </w:r>
      <w:r w:rsidRPr="00415A22">
        <w:rPr>
          <w:rFonts w:ascii="David" w:hAnsi="David" w:cs="David"/>
          <w:b/>
          <w:bCs/>
          <w:i/>
          <w:iCs/>
          <w:kern w:val="0"/>
          <w:sz w:val="22"/>
          <w:szCs w:val="22"/>
          <w:rtl/>
        </w:rPr>
        <w:t xml:space="preserve"> </w:t>
      </w:r>
      <w:r w:rsidRPr="00415A22">
        <w:rPr>
          <w:rFonts w:ascii="David" w:hAnsi="David" w:cs="David"/>
          <w:i/>
          <w:iCs/>
          <w:kern w:val="0"/>
          <w:sz w:val="22"/>
          <w:szCs w:val="22"/>
          <w:rtl/>
        </w:rPr>
        <w:t xml:space="preserve">(במאובחן מעניין </w:t>
      </w:r>
      <w:proofErr w:type="spellStart"/>
      <w:r w:rsidRPr="00415A22">
        <w:rPr>
          <w:rFonts w:ascii="David" w:hAnsi="David" w:cs="David"/>
          <w:i/>
          <w:iCs/>
          <w:kern w:val="0"/>
          <w:sz w:val="22"/>
          <w:szCs w:val="22"/>
          <w:rtl/>
        </w:rPr>
        <w:t>ברגלס</w:t>
      </w:r>
      <w:proofErr w:type="spellEnd"/>
      <w:r w:rsidRPr="00415A22">
        <w:rPr>
          <w:rFonts w:ascii="David" w:hAnsi="David" w:cs="David"/>
          <w:i/>
          <w:iCs/>
          <w:kern w:val="0"/>
          <w:sz w:val="22"/>
          <w:szCs w:val="22"/>
          <w:rtl/>
        </w:rPr>
        <w:t xml:space="preserve"> שם נמכרו זכויות שלא ניתנות למכירה באופן עצמאי). ועל כן אין מדובר בזכויות עתידיות...</w:t>
      </w:r>
    </w:p>
    <w:p w:rsidR="00C24538" w:rsidRPr="00415A22" w:rsidRDefault="00C24538" w:rsidP="00C24538">
      <w:pPr>
        <w:autoSpaceDN w:val="0"/>
        <w:spacing w:before="120" w:after="200" w:line="240" w:lineRule="auto"/>
        <w:ind w:left="709" w:right="1418"/>
        <w:jc w:val="both"/>
        <w:rPr>
          <w:rFonts w:ascii="David" w:hAnsi="David" w:cs="David"/>
          <w:i/>
          <w:iCs/>
          <w:kern w:val="0"/>
          <w:sz w:val="22"/>
          <w:szCs w:val="22"/>
          <w:rtl/>
        </w:rPr>
      </w:pPr>
      <w:r w:rsidRPr="00415A22">
        <w:rPr>
          <w:rFonts w:ascii="David" w:hAnsi="David" w:cs="David"/>
          <w:i/>
          <w:iCs/>
          <w:kern w:val="0"/>
          <w:sz w:val="22"/>
          <w:szCs w:val="22"/>
          <w:rtl/>
        </w:rPr>
        <w:t xml:space="preserve">בערר שלפנינו אנו עוסקים בהסכם שעסק בזכויות </w:t>
      </w:r>
      <w:proofErr w:type="spellStart"/>
      <w:r w:rsidRPr="00415A22">
        <w:rPr>
          <w:rFonts w:ascii="David" w:hAnsi="David" w:cs="David"/>
          <w:i/>
          <w:iCs/>
          <w:kern w:val="0"/>
          <w:sz w:val="22"/>
          <w:szCs w:val="22"/>
          <w:rtl/>
        </w:rPr>
        <w:t>מכח</w:t>
      </w:r>
      <w:proofErr w:type="spellEnd"/>
      <w:r w:rsidRPr="00415A22">
        <w:rPr>
          <w:rFonts w:ascii="David" w:hAnsi="David" w:cs="David"/>
          <w:i/>
          <w:iCs/>
          <w:kern w:val="0"/>
          <w:sz w:val="22"/>
          <w:szCs w:val="22"/>
          <w:rtl/>
        </w:rPr>
        <w:t xml:space="preserve"> התכנית והן הבסיס להסכם. אך בנוסף, הוסדרו הזכויות </w:t>
      </w:r>
      <w:proofErr w:type="spellStart"/>
      <w:r w:rsidRPr="00415A22">
        <w:rPr>
          <w:rFonts w:ascii="David" w:hAnsi="David" w:cs="David"/>
          <w:i/>
          <w:iCs/>
          <w:kern w:val="0"/>
          <w:sz w:val="22"/>
          <w:szCs w:val="22"/>
          <w:rtl/>
        </w:rPr>
        <w:t>מכח</w:t>
      </w:r>
      <w:proofErr w:type="spellEnd"/>
      <w:r w:rsidRPr="00415A22">
        <w:rPr>
          <w:rFonts w:ascii="David" w:hAnsi="David" w:cs="David"/>
          <w:i/>
          <w:iCs/>
          <w:kern w:val="0"/>
          <w:sz w:val="22"/>
          <w:szCs w:val="22"/>
          <w:rtl/>
        </w:rPr>
        <w:t xml:space="preserve"> ההקלות, </w:t>
      </w:r>
      <w:r w:rsidRPr="00415A22">
        <w:rPr>
          <w:rFonts w:ascii="David" w:hAnsi="David" w:cs="David"/>
          <w:b/>
          <w:bCs/>
          <w:i/>
          <w:iCs/>
          <w:kern w:val="0"/>
          <w:sz w:val="22"/>
          <w:szCs w:val="22"/>
          <w:rtl/>
        </w:rPr>
        <w:t>אלא שאין מדובר בתנאי בלעדיו אין לחוזה קיום</w:t>
      </w:r>
      <w:r w:rsidRPr="00415A22">
        <w:rPr>
          <w:rFonts w:ascii="David" w:hAnsi="David" w:cs="David"/>
          <w:i/>
          <w:iCs/>
          <w:kern w:val="0"/>
          <w:sz w:val="22"/>
          <w:szCs w:val="22"/>
          <w:rtl/>
        </w:rPr>
        <w:t xml:space="preserve">. החוזה יתקיים גם בלא הקלות. יתרה מכן - ההקלות לא יאושרו, אלא כנדבך נוסף שיאושר לאחר אישור התכנית. על כן בנסיבות אלו, ההקלה שוב אינה יכולה להיות זכות עתידית, כיוון שהיא </w:t>
      </w:r>
      <w:r w:rsidRPr="00415A22">
        <w:rPr>
          <w:rFonts w:ascii="David" w:hAnsi="David" w:cs="David"/>
          <w:b/>
          <w:bCs/>
          <w:i/>
          <w:iCs/>
          <w:kern w:val="0"/>
          <w:sz w:val="22"/>
          <w:szCs w:val="22"/>
          <w:rtl/>
        </w:rPr>
        <w:t>מבוססת על תכנית מאושרת ועל הזכויות שהוקנו מכוחה בנפרד ובמנותק</w:t>
      </w:r>
      <w:r w:rsidRPr="00415A22">
        <w:rPr>
          <w:rFonts w:ascii="David" w:hAnsi="David" w:cs="David"/>
          <w:i/>
          <w:iCs/>
          <w:kern w:val="0"/>
          <w:sz w:val="22"/>
          <w:szCs w:val="22"/>
          <w:rtl/>
        </w:rPr>
        <w:t xml:space="preserve">. </w:t>
      </w:r>
    </w:p>
    <w:p w:rsidR="00C24538" w:rsidRPr="00415A22" w:rsidRDefault="00C24538" w:rsidP="00C24538">
      <w:pPr>
        <w:autoSpaceDN w:val="0"/>
        <w:spacing w:before="120" w:after="200" w:line="240" w:lineRule="auto"/>
        <w:ind w:left="709" w:right="1418"/>
        <w:jc w:val="both"/>
        <w:rPr>
          <w:rFonts w:ascii="David" w:hAnsi="David" w:cs="David"/>
          <w:i/>
          <w:iCs/>
          <w:kern w:val="0"/>
          <w:sz w:val="22"/>
          <w:szCs w:val="22"/>
          <w:rtl/>
        </w:rPr>
      </w:pPr>
      <w:r w:rsidRPr="00415A22">
        <w:rPr>
          <w:rFonts w:ascii="David" w:hAnsi="David" w:cs="David"/>
          <w:i/>
          <w:iCs/>
          <w:kern w:val="0"/>
          <w:sz w:val="22"/>
          <w:szCs w:val="22"/>
          <w:rtl/>
        </w:rPr>
        <w:t xml:space="preserve">ההקלה שבאה לאחר אישור </w:t>
      </w:r>
      <w:proofErr w:type="spellStart"/>
      <w:r w:rsidRPr="00415A22">
        <w:rPr>
          <w:rFonts w:ascii="David" w:hAnsi="David" w:cs="David"/>
          <w:i/>
          <w:iCs/>
          <w:kern w:val="0"/>
          <w:sz w:val="22"/>
          <w:szCs w:val="22"/>
          <w:rtl/>
        </w:rPr>
        <w:t>התב"ע</w:t>
      </w:r>
      <w:proofErr w:type="spellEnd"/>
      <w:r w:rsidRPr="00415A22">
        <w:rPr>
          <w:rFonts w:ascii="David" w:hAnsi="David" w:cs="David"/>
          <w:i/>
          <w:iCs/>
          <w:kern w:val="0"/>
          <w:sz w:val="22"/>
          <w:szCs w:val="22"/>
          <w:rtl/>
        </w:rPr>
        <w:t xml:space="preserve"> ואינה מוגדרת כתנאי מתלה בהסכם, ממילא מהווה זכות עצמאית שנולדת לאחר אישור </w:t>
      </w:r>
      <w:proofErr w:type="spellStart"/>
      <w:r w:rsidRPr="00415A22">
        <w:rPr>
          <w:rFonts w:ascii="David" w:hAnsi="David" w:cs="David"/>
          <w:i/>
          <w:iCs/>
          <w:kern w:val="0"/>
          <w:sz w:val="22"/>
          <w:szCs w:val="22"/>
          <w:rtl/>
        </w:rPr>
        <w:t>התב"ע</w:t>
      </w:r>
      <w:proofErr w:type="spellEnd"/>
      <w:r w:rsidRPr="00415A22">
        <w:rPr>
          <w:rFonts w:ascii="David" w:hAnsi="David" w:cs="David"/>
          <w:i/>
          <w:iCs/>
          <w:kern w:val="0"/>
          <w:sz w:val="22"/>
          <w:szCs w:val="22"/>
          <w:rtl/>
        </w:rPr>
        <w:t xml:space="preserve"> ולאחר שזכויות </w:t>
      </w:r>
      <w:proofErr w:type="spellStart"/>
      <w:r w:rsidRPr="00415A22">
        <w:rPr>
          <w:rFonts w:ascii="David" w:hAnsi="David" w:cs="David"/>
          <w:i/>
          <w:iCs/>
          <w:kern w:val="0"/>
          <w:sz w:val="22"/>
          <w:szCs w:val="22"/>
          <w:rtl/>
        </w:rPr>
        <w:t>התב"ע</w:t>
      </w:r>
      <w:proofErr w:type="spellEnd"/>
      <w:r w:rsidRPr="00415A22">
        <w:rPr>
          <w:rFonts w:ascii="David" w:hAnsi="David" w:cs="David"/>
          <w:i/>
          <w:iCs/>
          <w:kern w:val="0"/>
          <w:sz w:val="22"/>
          <w:szCs w:val="22"/>
          <w:rtl/>
        </w:rPr>
        <w:t xml:space="preserve"> אושרו וחולקו בין הצדדים. למעשה אין כל מניעה כי ההקלה </w:t>
      </w:r>
      <w:proofErr w:type="spellStart"/>
      <w:r w:rsidRPr="00415A22">
        <w:rPr>
          <w:rFonts w:ascii="David" w:hAnsi="David" w:cs="David"/>
          <w:i/>
          <w:iCs/>
          <w:kern w:val="0"/>
          <w:sz w:val="22"/>
          <w:szCs w:val="22"/>
          <w:rtl/>
        </w:rPr>
        <w:t>היתה</w:t>
      </w:r>
      <w:proofErr w:type="spellEnd"/>
      <w:r w:rsidRPr="00415A22">
        <w:rPr>
          <w:rFonts w:ascii="David" w:hAnsi="David" w:cs="David"/>
          <w:i/>
          <w:iCs/>
          <w:kern w:val="0"/>
          <w:sz w:val="22"/>
          <w:szCs w:val="22"/>
          <w:rtl/>
        </w:rPr>
        <w:t xml:space="preserve"> מאושרת בהסכם נפרד לחלוטין לאחר אישורה של התכנית המשביחה.</w:t>
      </w:r>
    </w:p>
    <w:p w:rsidR="00C24538" w:rsidRPr="00415A22" w:rsidRDefault="00C24538" w:rsidP="00C24538">
      <w:pPr>
        <w:autoSpaceDN w:val="0"/>
        <w:spacing w:before="120" w:after="200" w:line="240" w:lineRule="auto"/>
        <w:ind w:left="709" w:right="1418"/>
        <w:jc w:val="both"/>
        <w:rPr>
          <w:rFonts w:ascii="David" w:hAnsi="David" w:cs="David"/>
          <w:i/>
          <w:iCs/>
          <w:kern w:val="0"/>
          <w:sz w:val="22"/>
          <w:szCs w:val="22"/>
          <w:rtl/>
        </w:rPr>
      </w:pPr>
      <w:r w:rsidRPr="00415A22">
        <w:rPr>
          <w:rFonts w:ascii="David" w:hAnsi="David" w:cs="David"/>
          <w:i/>
          <w:iCs/>
          <w:kern w:val="0"/>
          <w:sz w:val="22"/>
          <w:szCs w:val="22"/>
          <w:rtl/>
        </w:rPr>
        <w:t xml:space="preserve">מצאנו כי אין כל בסיס לטענות הוועדה המקומית, לפיהן יש לסטות מהוראת </w:t>
      </w:r>
      <w:hyperlink r:id="rId22" w:history="1">
        <w:r w:rsidRPr="00415A22">
          <w:rPr>
            <w:rStyle w:val="Hyperlink"/>
            <w:rFonts w:ascii="David" w:hAnsi="David" w:cs="David"/>
            <w:i/>
            <w:iCs/>
            <w:color w:val="auto"/>
            <w:kern w:val="0"/>
            <w:sz w:val="22"/>
            <w:szCs w:val="22"/>
            <w:rtl/>
          </w:rPr>
          <w:t>סעיף 7(א)</w:t>
        </w:r>
      </w:hyperlink>
      <w:r w:rsidRPr="00415A22">
        <w:rPr>
          <w:rFonts w:ascii="David" w:hAnsi="David" w:cs="David"/>
          <w:i/>
          <w:iCs/>
          <w:kern w:val="0"/>
          <w:sz w:val="22"/>
          <w:szCs w:val="22"/>
          <w:rtl/>
        </w:rPr>
        <w:t xml:space="preserve"> לתוספת השלישית לפיה: "</w:t>
      </w:r>
      <w:r w:rsidRPr="00415A22">
        <w:rPr>
          <w:rFonts w:ascii="David" w:hAnsi="David" w:cs="David"/>
          <w:i/>
          <w:iCs/>
          <w:kern w:val="0"/>
          <w:sz w:val="22"/>
          <w:szCs w:val="22"/>
        </w:rPr>
        <w:t xml:space="preserve"> </w:t>
      </w:r>
      <w:r w:rsidRPr="00415A22">
        <w:rPr>
          <w:rFonts w:ascii="David" w:hAnsi="David" w:cs="David"/>
          <w:i/>
          <w:iCs/>
          <w:kern w:val="0"/>
          <w:sz w:val="22"/>
          <w:szCs w:val="22"/>
          <w:rtl/>
        </w:rPr>
        <w:t xml:space="preserve">(א)  </w:t>
      </w:r>
      <w:r w:rsidRPr="00415A22">
        <w:rPr>
          <w:rFonts w:ascii="David" w:hAnsi="David" w:cs="David"/>
          <w:b/>
          <w:bCs/>
          <w:i/>
          <w:iCs/>
          <w:kern w:val="0"/>
          <w:sz w:val="22"/>
          <w:szCs w:val="22"/>
          <w:rtl/>
        </w:rPr>
        <w:t>ההיטל ישולם לא יאוחר מהמועד שהחייב בו מימש זכות במקרקעין שלגביהם חל ההיטל</w:t>
      </w:r>
      <w:r w:rsidRPr="00415A22">
        <w:rPr>
          <w:rFonts w:ascii="David" w:hAnsi="David" w:cs="David"/>
          <w:i/>
          <w:iCs/>
          <w:kern w:val="0"/>
          <w:sz w:val="22"/>
          <w:szCs w:val="22"/>
          <w:rtl/>
        </w:rPr>
        <w:t xml:space="preserve">" ומהקבוע בהלכת </w:t>
      </w:r>
      <w:proofErr w:type="spellStart"/>
      <w:r w:rsidRPr="00415A22">
        <w:rPr>
          <w:rFonts w:ascii="David" w:hAnsi="David" w:cs="David"/>
          <w:i/>
          <w:iCs/>
          <w:kern w:val="0"/>
          <w:sz w:val="22"/>
          <w:szCs w:val="22"/>
          <w:rtl/>
        </w:rPr>
        <w:t>נוה</w:t>
      </w:r>
      <w:proofErr w:type="spellEnd"/>
      <w:r w:rsidRPr="00415A22">
        <w:rPr>
          <w:rFonts w:ascii="David" w:hAnsi="David" w:cs="David"/>
          <w:i/>
          <w:iCs/>
          <w:kern w:val="0"/>
          <w:sz w:val="22"/>
          <w:szCs w:val="22"/>
          <w:rtl/>
        </w:rPr>
        <w:t xml:space="preserve"> בנין ובית הכרם.</w:t>
      </w:r>
    </w:p>
    <w:p w:rsidR="00C24538" w:rsidRPr="00415A22" w:rsidRDefault="00C24538" w:rsidP="00C24538">
      <w:pPr>
        <w:autoSpaceDN w:val="0"/>
        <w:spacing w:before="120" w:after="200" w:line="240" w:lineRule="auto"/>
        <w:ind w:left="709" w:right="1418"/>
        <w:jc w:val="both"/>
        <w:rPr>
          <w:rFonts w:ascii="David" w:hAnsi="David" w:cs="David"/>
          <w:i/>
          <w:iCs/>
          <w:kern w:val="0"/>
          <w:sz w:val="22"/>
          <w:szCs w:val="22"/>
          <w:rtl/>
        </w:rPr>
      </w:pPr>
      <w:r w:rsidRPr="00415A22">
        <w:rPr>
          <w:rFonts w:ascii="David" w:hAnsi="David" w:cs="David"/>
          <w:i/>
          <w:iCs/>
          <w:kern w:val="0"/>
          <w:sz w:val="22"/>
          <w:szCs w:val="22"/>
          <w:rtl/>
        </w:rPr>
        <w:t xml:space="preserve">ברי </w:t>
      </w:r>
      <w:proofErr w:type="spellStart"/>
      <w:r w:rsidRPr="00415A22">
        <w:rPr>
          <w:rFonts w:ascii="David" w:hAnsi="David" w:cs="David"/>
          <w:i/>
          <w:iCs/>
          <w:kern w:val="0"/>
          <w:sz w:val="22"/>
          <w:szCs w:val="22"/>
          <w:rtl/>
        </w:rPr>
        <w:t>איפוא</w:t>
      </w:r>
      <w:proofErr w:type="spellEnd"/>
      <w:r w:rsidRPr="00415A22">
        <w:rPr>
          <w:rFonts w:ascii="David" w:hAnsi="David" w:cs="David"/>
          <w:i/>
          <w:iCs/>
          <w:kern w:val="0"/>
          <w:sz w:val="22"/>
          <w:szCs w:val="22"/>
          <w:rtl/>
        </w:rPr>
        <w:t xml:space="preserve"> כי טענות הוועדה המקומית אינן אלא בגדר סתירה וסטייה לא מקובלת ממושכלות היסוד הקבועות </w:t>
      </w:r>
      <w:proofErr w:type="spellStart"/>
      <w:r w:rsidRPr="00415A22">
        <w:rPr>
          <w:rFonts w:ascii="David" w:hAnsi="David" w:cs="David"/>
          <w:i/>
          <w:iCs/>
          <w:kern w:val="0"/>
          <w:sz w:val="22"/>
          <w:szCs w:val="22"/>
          <w:rtl/>
        </w:rPr>
        <w:t>בענין</w:t>
      </w:r>
      <w:proofErr w:type="spellEnd"/>
      <w:r w:rsidRPr="00415A22">
        <w:rPr>
          <w:rFonts w:ascii="David" w:hAnsi="David" w:cs="David"/>
          <w:i/>
          <w:iCs/>
          <w:kern w:val="0"/>
          <w:sz w:val="22"/>
          <w:szCs w:val="22"/>
          <w:rtl/>
        </w:rPr>
        <w:t xml:space="preserve"> מועד תשלום היטל ההשבחה ומימוש הזכויות".</w:t>
      </w:r>
    </w:p>
    <w:p w:rsidR="00C24538" w:rsidRDefault="00C24538" w:rsidP="00C24538">
      <w:pPr>
        <w:pStyle w:val="a9"/>
        <w:numPr>
          <w:ilvl w:val="0"/>
          <w:numId w:val="1"/>
        </w:numPr>
        <w:tabs>
          <w:tab w:val="left" w:pos="425"/>
        </w:tabs>
        <w:spacing w:line="360" w:lineRule="auto"/>
        <w:contextualSpacing w:val="0"/>
        <w:jc w:val="both"/>
        <w:rPr>
          <w:rFonts w:ascii="David" w:hAnsi="David" w:cs="David"/>
        </w:rPr>
      </w:pPr>
      <w:r w:rsidRPr="0090208E">
        <w:rPr>
          <w:rFonts w:ascii="David" w:hAnsi="David" w:cs="David" w:hint="cs"/>
          <w:rtl/>
        </w:rPr>
        <w:t xml:space="preserve">הנה כי כן, בעניין "רינה לבנה" נקבע בין היתר כי </w:t>
      </w:r>
      <w:r w:rsidRPr="0090208E">
        <w:rPr>
          <w:rFonts w:ascii="David" w:hAnsi="David" w:cs="David"/>
          <w:b/>
          <w:bCs/>
          <w:rtl/>
        </w:rPr>
        <w:t xml:space="preserve">ההתעשרות </w:t>
      </w:r>
      <w:proofErr w:type="spellStart"/>
      <w:r w:rsidRPr="0090208E">
        <w:rPr>
          <w:rFonts w:ascii="David" w:hAnsi="David" w:cs="David"/>
          <w:b/>
          <w:bCs/>
          <w:rtl/>
        </w:rPr>
        <w:t>מכח</w:t>
      </w:r>
      <w:proofErr w:type="spellEnd"/>
      <w:r w:rsidRPr="0090208E">
        <w:rPr>
          <w:rFonts w:ascii="David" w:hAnsi="David" w:cs="David"/>
          <w:b/>
          <w:bCs/>
          <w:rtl/>
        </w:rPr>
        <w:t xml:space="preserve"> ההקלות, לטובת הבעלים או היזם, באה לעולם רק עם אישורה של ההקלה. ועל כן גם את בחינת ההתעשרות ומועדה, יש ליחס למועד אישורה של ההקלה</w:t>
      </w:r>
      <w:r w:rsidRPr="0090208E">
        <w:rPr>
          <w:rFonts w:ascii="David" w:hAnsi="David" w:cs="David" w:hint="cs"/>
          <w:b/>
          <w:bCs/>
          <w:rtl/>
        </w:rPr>
        <w:t>. קרי</w:t>
      </w:r>
      <w:r w:rsidRPr="0090208E">
        <w:rPr>
          <w:rFonts w:ascii="David" w:hAnsi="David" w:cs="David"/>
          <w:b/>
          <w:bCs/>
          <w:rtl/>
        </w:rPr>
        <w:t xml:space="preserve"> יש לייחס למועד המימוש בו היא התהוותה – היתר הבניה</w:t>
      </w:r>
      <w:r w:rsidRPr="0090208E">
        <w:rPr>
          <w:rFonts w:ascii="David" w:hAnsi="David" w:cs="David" w:hint="cs"/>
          <w:b/>
          <w:bCs/>
          <w:rtl/>
        </w:rPr>
        <w:t xml:space="preserve"> בגינו קיימת זכאות לפטור.</w:t>
      </w:r>
    </w:p>
    <w:p w:rsidR="00C24538" w:rsidRPr="0090208E" w:rsidRDefault="00C24538" w:rsidP="00C24538">
      <w:pPr>
        <w:pStyle w:val="a9"/>
        <w:numPr>
          <w:ilvl w:val="0"/>
          <w:numId w:val="1"/>
        </w:numPr>
        <w:tabs>
          <w:tab w:val="left" w:pos="425"/>
        </w:tabs>
        <w:spacing w:line="360" w:lineRule="auto"/>
        <w:contextualSpacing w:val="0"/>
        <w:jc w:val="both"/>
        <w:rPr>
          <w:rFonts w:ascii="David" w:hAnsi="David" w:cs="David"/>
        </w:rPr>
      </w:pPr>
      <w:r w:rsidRPr="0090208E">
        <w:rPr>
          <w:rFonts w:ascii="David" w:hAnsi="David" w:cs="David" w:hint="cs"/>
          <w:rtl/>
        </w:rPr>
        <w:t>לסיכום האמור עד כה קביעתנו בשאלת הזכאות לפטור מממ"דים הינה כדלקמן:</w:t>
      </w:r>
    </w:p>
    <w:p w:rsidR="00C24538" w:rsidRPr="0090208E" w:rsidRDefault="00C24538" w:rsidP="00C24538">
      <w:pPr>
        <w:pStyle w:val="a9"/>
        <w:tabs>
          <w:tab w:val="left" w:pos="425"/>
        </w:tabs>
        <w:spacing w:line="360" w:lineRule="auto"/>
        <w:ind w:left="360"/>
        <w:contextualSpacing w:val="0"/>
        <w:jc w:val="both"/>
        <w:rPr>
          <w:rFonts w:ascii="David" w:hAnsi="David" w:cs="David"/>
          <w:rtl/>
        </w:rPr>
      </w:pPr>
      <w:r w:rsidRPr="0090208E">
        <w:rPr>
          <w:rFonts w:ascii="David" w:hAnsi="David" w:cs="David" w:hint="cs"/>
          <w:rtl/>
        </w:rPr>
        <w:t xml:space="preserve">הסכמי הפינוי בינוי שנחתמו </w:t>
      </w:r>
      <w:r w:rsidRPr="0090208E">
        <w:rPr>
          <w:rFonts w:ascii="David" w:hAnsi="David" w:cs="David" w:hint="cs"/>
          <w:b/>
          <w:bCs/>
          <w:rtl/>
        </w:rPr>
        <w:t>בטרם</w:t>
      </w:r>
      <w:r w:rsidRPr="0090208E">
        <w:rPr>
          <w:rFonts w:ascii="David" w:hAnsi="David" w:cs="David" w:hint="cs"/>
          <w:rtl/>
        </w:rPr>
        <w:t xml:space="preserve"> אושרה תכנית בי/517</w:t>
      </w:r>
      <w:r>
        <w:rPr>
          <w:rFonts w:ascii="David" w:hAnsi="David" w:cs="David" w:hint="cs"/>
          <w:rtl/>
        </w:rPr>
        <w:t>,</w:t>
      </w:r>
      <w:r w:rsidRPr="0090208E">
        <w:rPr>
          <w:rFonts w:ascii="David" w:hAnsi="David" w:cs="David" w:hint="cs"/>
          <w:rtl/>
        </w:rPr>
        <w:t xml:space="preserve"> וכן </w:t>
      </w:r>
      <w:r w:rsidRPr="005F3F1F">
        <w:rPr>
          <w:rFonts w:ascii="David" w:hAnsi="David" w:cs="David" w:hint="cs"/>
          <w:b/>
          <w:bCs/>
          <w:rtl/>
        </w:rPr>
        <w:t>יח"ד שאושרו בהקלה</w:t>
      </w:r>
      <w:r w:rsidRPr="0090208E">
        <w:rPr>
          <w:rFonts w:ascii="David" w:hAnsi="David" w:cs="David"/>
          <w:rtl/>
        </w:rPr>
        <w:t>–</w:t>
      </w:r>
      <w:r w:rsidRPr="0090208E">
        <w:rPr>
          <w:rFonts w:ascii="David" w:hAnsi="David" w:cs="David" w:hint="cs"/>
          <w:rtl/>
        </w:rPr>
        <w:t xml:space="preserve"> </w:t>
      </w:r>
      <w:r w:rsidRPr="005F3F1F">
        <w:rPr>
          <w:rFonts w:ascii="David" w:hAnsi="David" w:cs="David" w:hint="cs"/>
          <w:b/>
          <w:bCs/>
          <w:rtl/>
        </w:rPr>
        <w:t>זכאים לפטור.</w:t>
      </w:r>
    </w:p>
    <w:p w:rsidR="00C24538" w:rsidRPr="0090208E" w:rsidRDefault="00C24538" w:rsidP="00C24538">
      <w:pPr>
        <w:pStyle w:val="a9"/>
        <w:tabs>
          <w:tab w:val="left" w:pos="1244"/>
        </w:tabs>
        <w:spacing w:line="360" w:lineRule="auto"/>
        <w:ind w:left="360"/>
        <w:contextualSpacing w:val="0"/>
        <w:jc w:val="both"/>
        <w:rPr>
          <w:rFonts w:ascii="David" w:hAnsi="David" w:cs="David"/>
          <w:rtl/>
        </w:rPr>
      </w:pPr>
      <w:r w:rsidRPr="0090208E">
        <w:rPr>
          <w:rFonts w:ascii="David" w:hAnsi="David" w:cs="David" w:hint="cs"/>
          <w:rtl/>
        </w:rPr>
        <w:t xml:space="preserve">הסכמי פינוי בינוי שנחתמו </w:t>
      </w:r>
      <w:r w:rsidRPr="0090208E">
        <w:rPr>
          <w:rFonts w:ascii="David" w:hAnsi="David" w:cs="David" w:hint="cs"/>
          <w:u w:val="single"/>
          <w:rtl/>
        </w:rPr>
        <w:t xml:space="preserve">לאחר </w:t>
      </w:r>
      <w:r w:rsidRPr="0090208E">
        <w:rPr>
          <w:rFonts w:ascii="David" w:hAnsi="David" w:cs="David" w:hint="cs"/>
          <w:rtl/>
        </w:rPr>
        <w:t xml:space="preserve">אישור תכנית בי/517 - </w:t>
      </w:r>
      <w:r w:rsidRPr="0090208E">
        <w:rPr>
          <w:rFonts w:ascii="David" w:hAnsi="David" w:cs="David" w:hint="cs"/>
          <w:u w:val="single"/>
          <w:rtl/>
        </w:rPr>
        <w:t>לא יהיו זכאים לפטור</w:t>
      </w:r>
      <w:r w:rsidRPr="0090208E">
        <w:rPr>
          <w:rFonts w:ascii="David" w:hAnsi="David" w:cs="David" w:hint="cs"/>
          <w:rtl/>
        </w:rPr>
        <w:t>.</w:t>
      </w:r>
    </w:p>
    <w:p w:rsidR="00C24538" w:rsidRDefault="00C24538" w:rsidP="00C24538">
      <w:pPr>
        <w:pStyle w:val="a9"/>
        <w:tabs>
          <w:tab w:val="left" w:pos="425"/>
        </w:tabs>
        <w:spacing w:line="360" w:lineRule="auto"/>
        <w:ind w:left="360"/>
        <w:contextualSpacing w:val="0"/>
        <w:jc w:val="both"/>
        <w:rPr>
          <w:rFonts w:ascii="David" w:hAnsi="David" w:cs="David"/>
          <w:color w:val="000000" w:themeColor="text1"/>
          <w:rtl/>
        </w:rPr>
      </w:pPr>
      <w:r w:rsidRPr="00231F7D">
        <w:rPr>
          <w:rFonts w:ascii="David" w:hAnsi="David" w:cs="David" w:hint="cs"/>
          <w:color w:val="000000" w:themeColor="text1"/>
          <w:rtl/>
        </w:rPr>
        <w:t xml:space="preserve">הואיל ובשומות המכריעות נתנו שתי חלופות אחת עם פטור ואחת ללא פטור, יש לקבוע כי החלופות הקובעת פטור בגין הממ"דים היא החלופה הנכונה </w:t>
      </w:r>
      <w:r w:rsidR="0052342E" w:rsidRPr="00231F7D">
        <w:rPr>
          <w:rFonts w:ascii="David" w:hAnsi="David" w:cs="David" w:hint="eastAsia"/>
          <w:color w:val="000000" w:themeColor="text1"/>
          <w:u w:val="single"/>
          <w:rtl/>
        </w:rPr>
        <w:t>זאת</w:t>
      </w:r>
      <w:r w:rsidR="0052342E" w:rsidRPr="00231F7D">
        <w:rPr>
          <w:rFonts w:ascii="David" w:hAnsi="David" w:cs="David"/>
          <w:color w:val="000000" w:themeColor="text1"/>
          <w:u w:val="single"/>
          <w:rtl/>
        </w:rPr>
        <w:t xml:space="preserve"> למעט</w:t>
      </w:r>
      <w:r w:rsidRPr="00231F7D">
        <w:rPr>
          <w:rFonts w:ascii="David" w:hAnsi="David" w:cs="David" w:hint="cs"/>
          <w:color w:val="000000" w:themeColor="text1"/>
          <w:rtl/>
        </w:rPr>
        <w:t xml:space="preserve"> תיקון הפטור ביחס להסכמי הפינוי בינוי שנחתמו על ידי בעלי זכויות </w:t>
      </w:r>
      <w:r w:rsidRPr="00231F7D">
        <w:rPr>
          <w:rFonts w:ascii="David" w:hAnsi="David" w:cs="David" w:hint="cs"/>
          <w:color w:val="000000" w:themeColor="text1"/>
          <w:u w:val="single"/>
          <w:rtl/>
        </w:rPr>
        <w:t>לאחר</w:t>
      </w:r>
      <w:r w:rsidRPr="005F3F1F">
        <w:rPr>
          <w:rFonts w:ascii="David" w:hAnsi="David" w:cs="David" w:hint="cs"/>
          <w:color w:val="000000" w:themeColor="text1"/>
          <w:rtl/>
        </w:rPr>
        <w:t xml:space="preserve"> </w:t>
      </w:r>
      <w:r w:rsidRPr="00231F7D">
        <w:rPr>
          <w:rFonts w:ascii="David" w:hAnsi="David" w:cs="David" w:hint="cs"/>
          <w:color w:val="000000" w:themeColor="text1"/>
          <w:rtl/>
        </w:rPr>
        <w:t>אישור תכנית בי/517</w:t>
      </w:r>
      <w:r>
        <w:rPr>
          <w:rFonts w:ascii="David" w:hAnsi="David" w:cs="David" w:hint="cs"/>
          <w:color w:val="000000" w:themeColor="text1"/>
          <w:rtl/>
        </w:rPr>
        <w:t xml:space="preserve"> </w:t>
      </w:r>
      <w:r w:rsidRPr="00231F7D">
        <w:rPr>
          <w:rFonts w:ascii="David" w:hAnsi="David" w:cs="David" w:hint="cs"/>
          <w:color w:val="000000" w:themeColor="text1"/>
          <w:rtl/>
        </w:rPr>
        <w:t>לגביהן לא יחול הפטור</w:t>
      </w:r>
      <w:r>
        <w:rPr>
          <w:rFonts w:ascii="David" w:hAnsi="David" w:cs="David" w:hint="cs"/>
          <w:color w:val="000000" w:themeColor="text1"/>
          <w:rtl/>
        </w:rPr>
        <w:t xml:space="preserve"> ולנוכח האמור אנו משיבים את התיק לשמאית המכריעה על מנת שתבצע תיקון בהתאם</w:t>
      </w:r>
      <w:r w:rsidRPr="00231F7D">
        <w:rPr>
          <w:rFonts w:ascii="David" w:hAnsi="David" w:cs="David" w:hint="cs"/>
          <w:color w:val="000000" w:themeColor="text1"/>
          <w:rtl/>
        </w:rPr>
        <w:t>.</w:t>
      </w:r>
    </w:p>
    <w:p w:rsidR="004874AA" w:rsidRDefault="004874AA" w:rsidP="00C24538">
      <w:pPr>
        <w:pStyle w:val="a9"/>
        <w:tabs>
          <w:tab w:val="left" w:pos="425"/>
        </w:tabs>
        <w:spacing w:line="360" w:lineRule="auto"/>
        <w:ind w:left="360"/>
        <w:contextualSpacing w:val="0"/>
        <w:jc w:val="both"/>
        <w:rPr>
          <w:rFonts w:ascii="David" w:hAnsi="David" w:cs="David"/>
          <w:color w:val="000000" w:themeColor="text1"/>
          <w:rtl/>
        </w:rPr>
      </w:pPr>
    </w:p>
    <w:p w:rsidR="004874AA" w:rsidRPr="00CD4258" w:rsidRDefault="004874AA" w:rsidP="00C24538">
      <w:pPr>
        <w:pStyle w:val="a9"/>
        <w:tabs>
          <w:tab w:val="left" w:pos="425"/>
        </w:tabs>
        <w:spacing w:line="360" w:lineRule="auto"/>
        <w:ind w:left="360"/>
        <w:contextualSpacing w:val="0"/>
        <w:jc w:val="both"/>
        <w:rPr>
          <w:rFonts w:ascii="David" w:hAnsi="David" w:cs="David"/>
          <w:b/>
          <w:bCs/>
          <w:color w:val="000000" w:themeColor="text1"/>
          <w:sz w:val="28"/>
          <w:szCs w:val="28"/>
          <w:u w:val="single"/>
          <w:rtl/>
        </w:rPr>
      </w:pPr>
      <w:r w:rsidRPr="00CD4258">
        <w:rPr>
          <w:rFonts w:ascii="David" w:hAnsi="David" w:cs="David" w:hint="eastAsia"/>
          <w:b/>
          <w:bCs/>
          <w:color w:val="000000" w:themeColor="text1"/>
          <w:sz w:val="28"/>
          <w:szCs w:val="28"/>
          <w:u w:val="single"/>
          <w:rtl/>
        </w:rPr>
        <w:t>הרהור</w:t>
      </w:r>
      <w:r w:rsidRPr="00CD4258">
        <w:rPr>
          <w:rFonts w:ascii="David" w:hAnsi="David" w:cs="David"/>
          <w:b/>
          <w:bCs/>
          <w:color w:val="000000" w:themeColor="text1"/>
          <w:sz w:val="28"/>
          <w:szCs w:val="28"/>
          <w:u w:val="single"/>
          <w:rtl/>
        </w:rPr>
        <w:t xml:space="preserve"> משפטי</w:t>
      </w:r>
    </w:p>
    <w:p w:rsidR="00C24538" w:rsidRDefault="00C24538" w:rsidP="00415A22">
      <w:pPr>
        <w:pStyle w:val="a9"/>
        <w:numPr>
          <w:ilvl w:val="0"/>
          <w:numId w:val="1"/>
        </w:numPr>
        <w:tabs>
          <w:tab w:val="left" w:pos="425"/>
        </w:tabs>
        <w:spacing w:line="360" w:lineRule="auto"/>
        <w:ind w:left="357"/>
        <w:contextualSpacing w:val="0"/>
        <w:jc w:val="both"/>
        <w:rPr>
          <w:rFonts w:ascii="David" w:hAnsi="David" w:cs="David"/>
        </w:rPr>
      </w:pPr>
      <w:r w:rsidRPr="003A1155">
        <w:rPr>
          <w:rFonts w:ascii="David" w:hAnsi="David" w:cs="David" w:hint="cs"/>
          <w:rtl/>
        </w:rPr>
        <w:t>בשולי הדברים</w:t>
      </w:r>
      <w:r>
        <w:rPr>
          <w:rFonts w:ascii="David" w:hAnsi="David" w:cs="David" w:hint="cs"/>
          <w:rtl/>
        </w:rPr>
        <w:t xml:space="preserve">, </w:t>
      </w:r>
      <w:r w:rsidRPr="003A1155">
        <w:rPr>
          <w:rFonts w:ascii="David" w:hAnsi="David" w:cs="David" w:hint="cs"/>
          <w:b/>
          <w:bCs/>
          <w:rtl/>
        </w:rPr>
        <w:t>אך לא בחשיבותם</w:t>
      </w:r>
      <w:r>
        <w:rPr>
          <w:rFonts w:ascii="David" w:hAnsi="David" w:cs="David" w:hint="cs"/>
          <w:rtl/>
        </w:rPr>
        <w:t xml:space="preserve"> ראינו לנכון להביא את הקשיים עימם התמודדנו והעיוותים אותם אנו חווים בתיק זה ובתיקים אחרים בהיטלי השבחה בפרויקטים מסוג פינוי בינוי, נוכח א</w:t>
      </w:r>
      <w:r w:rsidR="00B96FBC">
        <w:rPr>
          <w:rFonts w:ascii="David" w:hAnsi="David" w:cs="David" w:hint="cs"/>
          <w:rtl/>
        </w:rPr>
        <w:t>ופיי</w:t>
      </w:r>
      <w:r>
        <w:rPr>
          <w:rFonts w:ascii="David" w:hAnsi="David" w:cs="David" w:hint="cs"/>
          <w:rtl/>
        </w:rPr>
        <w:t>ם ומטרתם של פרויקטים מסוג זה ובין היתר עידוד התחדשות עירונית לרבות ובעיקר בדרך של בניית מרחבים מוגנים בדירות</w:t>
      </w:r>
      <w:r w:rsidR="00BE0DD4">
        <w:rPr>
          <w:rFonts w:ascii="David" w:hAnsi="David" w:cs="David" w:hint="cs"/>
          <w:rtl/>
        </w:rPr>
        <w:t>,</w:t>
      </w:r>
      <w:r>
        <w:rPr>
          <w:rFonts w:ascii="David" w:hAnsi="David" w:cs="David" w:hint="cs"/>
          <w:rtl/>
        </w:rPr>
        <w:t xml:space="preserve"> אינטרס ציבורי חשוב וודאי בתקופה אנו שרויים (מלחמת חרבות ברזל ועם כלביא), לצד התכליות העומדות בבסיס החיוב בהיטל השבחה כמתבטא בהרחבה בפסיקות מחייבות ובהוראות התוספת השלישית לחוק.</w:t>
      </w:r>
    </w:p>
    <w:p w:rsidR="00C24538" w:rsidRPr="001F2946" w:rsidRDefault="00C24538" w:rsidP="00415A22">
      <w:pPr>
        <w:pStyle w:val="a9"/>
        <w:numPr>
          <w:ilvl w:val="0"/>
          <w:numId w:val="1"/>
        </w:numPr>
        <w:tabs>
          <w:tab w:val="left" w:pos="425"/>
        </w:tabs>
        <w:spacing w:line="360" w:lineRule="auto"/>
        <w:ind w:left="357"/>
        <w:contextualSpacing w:val="0"/>
        <w:jc w:val="both"/>
        <w:rPr>
          <w:rFonts w:ascii="David" w:hAnsi="David" w:cs="David"/>
        </w:rPr>
      </w:pPr>
      <w:bookmarkStart w:id="24" w:name="_Hlk203896061"/>
      <w:r w:rsidRPr="001F2946">
        <w:rPr>
          <w:rFonts w:ascii="David" w:hAnsi="David" w:cs="David" w:hint="cs"/>
          <w:rtl/>
        </w:rPr>
        <w:t xml:space="preserve">כידוע, </w:t>
      </w:r>
      <w:r>
        <w:rPr>
          <w:rFonts w:ascii="David" w:hAnsi="David" w:cs="David" w:hint="cs"/>
          <w:rtl/>
        </w:rPr>
        <w:t>מטרת</w:t>
      </w:r>
      <w:r w:rsidRPr="001F2946">
        <w:rPr>
          <w:rFonts w:ascii="David" w:hAnsi="David" w:cs="David" w:hint="cs"/>
          <w:rtl/>
        </w:rPr>
        <w:t xml:space="preserve"> הסכם הפינוי בינוי הינו מימוש הזכויות בדרך של היתר בניה ובעניין זה</w:t>
      </w:r>
      <w:r>
        <w:rPr>
          <w:rFonts w:ascii="David" w:hAnsi="David" w:cs="David" w:hint="cs"/>
          <w:rtl/>
        </w:rPr>
        <w:t>,</w:t>
      </w:r>
      <w:r w:rsidRPr="001F2946">
        <w:rPr>
          <w:rFonts w:ascii="David" w:hAnsi="David" w:cs="David" w:hint="cs"/>
          <w:rtl/>
        </w:rPr>
        <w:t xml:space="preserve"> אמירותיה של השמאית המכריעה בתיק דנא שסברה כי יש להכיר בפטור לממ"דים</w:t>
      </w:r>
      <w:r>
        <w:rPr>
          <w:rFonts w:ascii="David" w:hAnsi="David" w:cs="David" w:hint="cs"/>
          <w:rtl/>
        </w:rPr>
        <w:t xml:space="preserve"> לא רק שאינה משוללת היגיון אלא מאוד מובנת לנו.</w:t>
      </w:r>
      <w:r w:rsidRPr="001F2946">
        <w:rPr>
          <w:rFonts w:ascii="David" w:hAnsi="David" w:cs="David" w:hint="cs"/>
          <w:rtl/>
        </w:rPr>
        <w:t xml:space="preserve"> כלומר, הסכמי המכר מסוג פינוי בינוי הנחתמים בין בעלי הדירות ליזם תלויים אפוא בהוצא</w:t>
      </w:r>
      <w:r w:rsidR="00BE0DD4">
        <w:rPr>
          <w:rFonts w:ascii="David" w:hAnsi="David" w:cs="David" w:hint="cs"/>
          <w:rtl/>
        </w:rPr>
        <w:t>ה</w:t>
      </w:r>
      <w:r w:rsidRPr="001F2946">
        <w:rPr>
          <w:rFonts w:ascii="David" w:hAnsi="David" w:cs="David" w:hint="cs"/>
          <w:rtl/>
        </w:rPr>
        <w:t xml:space="preserve"> לפועל של היתרי בניה הכוללים את </w:t>
      </w:r>
      <w:r>
        <w:rPr>
          <w:rFonts w:ascii="David" w:hAnsi="David" w:cs="David" w:hint="cs"/>
          <w:rtl/>
        </w:rPr>
        <w:t xml:space="preserve">בניית </w:t>
      </w:r>
      <w:r w:rsidRPr="001F2946">
        <w:rPr>
          <w:rFonts w:ascii="David" w:hAnsi="David" w:cs="David" w:hint="cs"/>
          <w:rtl/>
        </w:rPr>
        <w:t xml:space="preserve">מלוא שטחי הממ"דים, </w:t>
      </w:r>
      <w:r w:rsidRPr="00C24538">
        <w:rPr>
          <w:rFonts w:ascii="David" w:hAnsi="David" w:cs="David" w:hint="cs"/>
          <w:b/>
          <w:bCs/>
          <w:rtl/>
        </w:rPr>
        <w:t>ובאין היתר אין פרויקט</w:t>
      </w:r>
      <w:r>
        <w:rPr>
          <w:rFonts w:ascii="David" w:hAnsi="David" w:cs="David" w:hint="cs"/>
          <w:rtl/>
        </w:rPr>
        <w:t xml:space="preserve"> ולכן במצב דברים כגון דא המצב המשפטי צריך היה לטעמנו להוביל להענקת פטור מהיטל השבחה לממ"דים. </w:t>
      </w:r>
      <w:r w:rsidRPr="001F2946">
        <w:rPr>
          <w:rFonts w:ascii="David" w:hAnsi="David" w:cs="David" w:hint="cs"/>
          <w:rtl/>
        </w:rPr>
        <w:t xml:space="preserve">  </w:t>
      </w:r>
    </w:p>
    <w:bookmarkEnd w:id="24"/>
    <w:p w:rsidR="00C24538" w:rsidRDefault="00C24538" w:rsidP="00415A22">
      <w:pPr>
        <w:pStyle w:val="a9"/>
        <w:numPr>
          <w:ilvl w:val="0"/>
          <w:numId w:val="1"/>
        </w:numPr>
        <w:tabs>
          <w:tab w:val="left" w:pos="425"/>
        </w:tabs>
        <w:spacing w:line="360" w:lineRule="auto"/>
        <w:ind w:left="357"/>
        <w:contextualSpacing w:val="0"/>
        <w:jc w:val="both"/>
        <w:rPr>
          <w:rFonts w:ascii="David" w:hAnsi="David" w:cs="David"/>
        </w:rPr>
      </w:pPr>
      <w:r>
        <w:rPr>
          <w:rFonts w:ascii="David" w:hAnsi="David" w:cs="David" w:hint="cs"/>
          <w:rtl/>
        </w:rPr>
        <w:t>אי לכך ובשים לב לחשיבות קידומם ועידודם של פרויקטים מסוג זה, בשילוב התכליות העומדות בבסיס החיוב בהיטל השבחה לפיהן מועד המימוש אמור להיות מועד ההתעשרות בפועל, סבורים אנו כי יש לעשות "</w:t>
      </w:r>
      <w:r w:rsidRPr="00963497">
        <w:rPr>
          <w:rFonts w:ascii="David" w:hAnsi="David" w:cs="David" w:hint="cs"/>
          <w:b/>
          <w:bCs/>
          <w:rtl/>
        </w:rPr>
        <w:t>חישוב מסלול מחדש</w:t>
      </w:r>
      <w:r>
        <w:rPr>
          <w:rFonts w:ascii="David" w:hAnsi="David" w:cs="David" w:hint="cs"/>
          <w:rtl/>
        </w:rPr>
        <w:t xml:space="preserve">" בהקשרם של פרויקטים מסוג פינוי בינוי ביחס להיטל השבחה ונראה כי נכון יהא זה לשנות את מועד המימוש בתכניות פינוי בינוי </w:t>
      </w:r>
      <w:r w:rsidRPr="00963497">
        <w:rPr>
          <w:rFonts w:ascii="David" w:hAnsi="David" w:cs="David" w:hint="cs"/>
          <w:u w:val="single"/>
          <w:rtl/>
        </w:rPr>
        <w:t>למועד הוצאת ההיתר</w:t>
      </w:r>
      <w:r>
        <w:rPr>
          <w:rFonts w:ascii="David" w:hAnsi="David" w:cs="David" w:hint="cs"/>
          <w:rtl/>
        </w:rPr>
        <w:t xml:space="preserve">, היינו שחתימה על הסכמי פינוי בינוי בין בעלי דירות ליזם (להבדיל מבעלי דירות שמוכרים דירתם ויוצאים מהשכונה) לא יהוו "מימוש" בהיטל השבחה כהגדרתו בסעיף 1 לתוספת השלישית בפרויקטים מסוג זה. </w:t>
      </w:r>
    </w:p>
    <w:p w:rsidR="00C24538" w:rsidRDefault="00C24538" w:rsidP="00415A22">
      <w:pPr>
        <w:pStyle w:val="a9"/>
        <w:tabs>
          <w:tab w:val="left" w:pos="425"/>
        </w:tabs>
        <w:spacing w:line="360" w:lineRule="auto"/>
        <w:ind w:left="357"/>
        <w:contextualSpacing w:val="0"/>
        <w:jc w:val="both"/>
        <w:rPr>
          <w:rFonts w:ascii="David" w:hAnsi="David" w:cs="David"/>
        </w:rPr>
      </w:pPr>
      <w:r>
        <w:rPr>
          <w:rFonts w:ascii="David" w:hAnsi="David" w:cs="David" w:hint="cs"/>
          <w:rtl/>
        </w:rPr>
        <w:t xml:space="preserve">בדרך </w:t>
      </w:r>
      <w:r w:rsidR="00C26755">
        <w:rPr>
          <w:rFonts w:ascii="David" w:hAnsi="David" w:cs="David" w:hint="cs"/>
          <w:rtl/>
        </w:rPr>
        <w:t xml:space="preserve">זו </w:t>
      </w:r>
      <w:r w:rsidR="00F9006A">
        <w:rPr>
          <w:rFonts w:ascii="David" w:hAnsi="David" w:cs="David" w:hint="cs"/>
          <w:rtl/>
        </w:rPr>
        <w:t>יינתן</w:t>
      </w:r>
      <w:r>
        <w:rPr>
          <w:rFonts w:ascii="David" w:hAnsi="David" w:cs="David" w:hint="cs"/>
          <w:rtl/>
        </w:rPr>
        <w:t xml:space="preserve"> מענה ופתרון למצבים </w:t>
      </w:r>
      <w:r w:rsidR="00C26755">
        <w:rPr>
          <w:rFonts w:ascii="David" w:hAnsi="David" w:cs="David" w:hint="cs"/>
          <w:rtl/>
        </w:rPr>
        <w:t xml:space="preserve">אשר </w:t>
      </w:r>
      <w:r>
        <w:rPr>
          <w:rFonts w:ascii="David" w:hAnsi="David" w:cs="David" w:hint="cs"/>
          <w:rtl/>
        </w:rPr>
        <w:t xml:space="preserve">בדין </w:t>
      </w:r>
      <w:r w:rsidR="0052342E">
        <w:rPr>
          <w:rFonts w:ascii="David" w:hAnsi="David" w:cs="David" w:hint="eastAsia"/>
          <w:rtl/>
        </w:rPr>
        <w:t>הקיים</w:t>
      </w:r>
      <w:r w:rsidR="0052342E">
        <w:rPr>
          <w:rFonts w:ascii="David" w:hAnsi="David" w:cs="David"/>
          <w:rtl/>
        </w:rPr>
        <w:t xml:space="preserve"> </w:t>
      </w:r>
      <w:r w:rsidR="0052342E">
        <w:rPr>
          <w:rFonts w:ascii="David" w:hAnsi="David" w:cs="David" w:hint="eastAsia"/>
          <w:rtl/>
        </w:rPr>
        <w:t>כך</w:t>
      </w:r>
      <w:r>
        <w:rPr>
          <w:rFonts w:ascii="David" w:hAnsi="David" w:cs="David" w:hint="cs"/>
          <w:rtl/>
        </w:rPr>
        <w:t xml:space="preserve"> נראה, </w:t>
      </w:r>
      <w:r w:rsidR="00C26755">
        <w:rPr>
          <w:rFonts w:ascii="David" w:hAnsi="David" w:cs="David" w:hint="cs"/>
          <w:rtl/>
        </w:rPr>
        <w:t xml:space="preserve">אינם </w:t>
      </w:r>
      <w:r>
        <w:rPr>
          <w:rFonts w:ascii="David" w:hAnsi="David" w:cs="David" w:hint="cs"/>
          <w:rtl/>
        </w:rPr>
        <w:t xml:space="preserve">מותאמים למציאות המתחדשת ולתכליות העומדות ביסודם של פרויקטים אלה. </w:t>
      </w:r>
    </w:p>
    <w:p w:rsidR="00C24538" w:rsidRDefault="00C24538" w:rsidP="00415A22">
      <w:pPr>
        <w:pStyle w:val="a9"/>
        <w:numPr>
          <w:ilvl w:val="0"/>
          <w:numId w:val="1"/>
        </w:numPr>
        <w:tabs>
          <w:tab w:val="left" w:pos="425"/>
        </w:tabs>
        <w:spacing w:line="360" w:lineRule="auto"/>
        <w:ind w:left="357"/>
        <w:contextualSpacing w:val="0"/>
        <w:jc w:val="both"/>
        <w:rPr>
          <w:rFonts w:ascii="David" w:hAnsi="David" w:cs="David"/>
        </w:rPr>
      </w:pPr>
      <w:r>
        <w:rPr>
          <w:rFonts w:ascii="David" w:hAnsi="David" w:cs="David" w:hint="cs"/>
          <w:rtl/>
        </w:rPr>
        <w:t xml:space="preserve">כך למשל בהתאם לדין והפסיקה החלה והמחייבת התקשרות צדדים בהסכם הכולל תנאי מתלה מביאה לאירוע מס כבר במועד הכריתה וככלל אירוע המס </w:t>
      </w:r>
      <w:r w:rsidR="008757F3">
        <w:rPr>
          <w:rFonts w:ascii="David" w:hAnsi="David" w:cs="David" w:hint="cs"/>
          <w:rtl/>
        </w:rPr>
        <w:t xml:space="preserve">לא </w:t>
      </w:r>
      <w:r>
        <w:rPr>
          <w:rFonts w:ascii="David" w:hAnsi="David" w:cs="David" w:hint="cs"/>
          <w:rtl/>
        </w:rPr>
        <w:t xml:space="preserve">נדחה לעת קיום התנאי המתלה. כלומר </w:t>
      </w:r>
      <w:r w:rsidRPr="00963497">
        <w:rPr>
          <w:rFonts w:ascii="David" w:hAnsi="David" w:cs="David" w:hint="cs"/>
          <w:u w:val="single"/>
          <w:rtl/>
        </w:rPr>
        <w:t>מועד המימוש</w:t>
      </w:r>
      <w:r>
        <w:rPr>
          <w:rFonts w:ascii="David" w:hAnsi="David" w:cs="David" w:hint="cs"/>
          <w:rtl/>
        </w:rPr>
        <w:t xml:space="preserve"> בהסכם מכר אף אם הוא כולל תנאי </w:t>
      </w:r>
      <w:r w:rsidR="0052342E">
        <w:rPr>
          <w:rFonts w:ascii="David" w:hAnsi="David" w:cs="David" w:hint="eastAsia"/>
          <w:rtl/>
        </w:rPr>
        <w:t>מתלה</w:t>
      </w:r>
      <w:r w:rsidR="0052342E">
        <w:rPr>
          <w:rFonts w:ascii="David" w:hAnsi="David" w:cs="David"/>
          <w:rtl/>
        </w:rPr>
        <w:t xml:space="preserve">, </w:t>
      </w:r>
      <w:r w:rsidR="0052342E">
        <w:rPr>
          <w:rFonts w:ascii="David" w:hAnsi="David" w:cs="David" w:hint="eastAsia"/>
          <w:rtl/>
        </w:rPr>
        <w:t>יהיה</w:t>
      </w:r>
      <w:r>
        <w:rPr>
          <w:rFonts w:ascii="David" w:hAnsi="David" w:cs="David" w:hint="cs"/>
          <w:rtl/>
        </w:rPr>
        <w:t xml:space="preserve"> </w:t>
      </w:r>
      <w:r w:rsidR="003B45AF">
        <w:rPr>
          <w:rFonts w:ascii="David" w:hAnsi="David" w:cs="David" w:hint="cs"/>
          <w:rtl/>
        </w:rPr>
        <w:t xml:space="preserve">במצב הקיים, </w:t>
      </w:r>
      <w:r>
        <w:rPr>
          <w:rFonts w:ascii="David" w:hAnsi="David" w:cs="David" w:hint="cs"/>
          <w:rtl/>
        </w:rPr>
        <w:t>מועד חתימת ההסכם</w:t>
      </w:r>
      <w:r>
        <w:rPr>
          <w:rStyle w:val="af9"/>
          <w:rFonts w:ascii="David" w:hAnsi="David" w:cs="David"/>
          <w:rtl/>
        </w:rPr>
        <w:footnoteReference w:id="5"/>
      </w:r>
      <w:r>
        <w:rPr>
          <w:rFonts w:ascii="David" w:hAnsi="David" w:cs="David" w:hint="cs"/>
          <w:rtl/>
        </w:rPr>
        <w:t xml:space="preserve">. </w:t>
      </w:r>
    </w:p>
    <w:p w:rsidR="00C24538" w:rsidRPr="008B0D69" w:rsidRDefault="00C24538" w:rsidP="002A5269">
      <w:pPr>
        <w:pStyle w:val="a9"/>
        <w:numPr>
          <w:ilvl w:val="0"/>
          <w:numId w:val="1"/>
        </w:numPr>
        <w:tabs>
          <w:tab w:val="left" w:pos="425"/>
        </w:tabs>
        <w:spacing w:line="360" w:lineRule="auto"/>
        <w:ind w:left="357"/>
        <w:contextualSpacing w:val="0"/>
        <w:jc w:val="both"/>
        <w:rPr>
          <w:rFonts w:ascii="David" w:hAnsi="David" w:cs="David"/>
          <w:rtl/>
        </w:rPr>
      </w:pPr>
      <w:r w:rsidRPr="008B0D69">
        <w:rPr>
          <w:rFonts w:ascii="David" w:hAnsi="David" w:cs="David" w:hint="cs"/>
          <w:rtl/>
        </w:rPr>
        <w:t xml:space="preserve"> ברי כי פרויקט פינוי בינוי עשוי </w:t>
      </w:r>
      <w:proofErr w:type="spellStart"/>
      <w:r w:rsidRPr="008B0D69">
        <w:rPr>
          <w:rFonts w:ascii="David" w:hAnsi="David" w:cs="David" w:hint="cs"/>
          <w:rtl/>
        </w:rPr>
        <w:t>ליקח</w:t>
      </w:r>
      <w:proofErr w:type="spellEnd"/>
      <w:r w:rsidRPr="008B0D69">
        <w:rPr>
          <w:rFonts w:ascii="David" w:hAnsi="David" w:cs="David" w:hint="cs"/>
          <w:rtl/>
        </w:rPr>
        <w:t xml:space="preserve"> שנים רבות </w:t>
      </w:r>
      <w:r w:rsidR="003B45AF">
        <w:rPr>
          <w:rFonts w:ascii="David" w:hAnsi="David" w:cs="David" w:hint="cs"/>
          <w:rtl/>
        </w:rPr>
        <w:t xml:space="preserve">וחתימת בעלי </w:t>
      </w:r>
      <w:r w:rsidR="0052342E">
        <w:rPr>
          <w:rFonts w:ascii="David" w:hAnsi="David" w:cs="David" w:hint="eastAsia"/>
          <w:rtl/>
        </w:rPr>
        <w:t>הדירות</w:t>
      </w:r>
      <w:r w:rsidR="0052342E">
        <w:rPr>
          <w:rFonts w:ascii="David" w:hAnsi="David" w:cs="David"/>
          <w:rtl/>
        </w:rPr>
        <w:t xml:space="preserve"> על</w:t>
      </w:r>
      <w:r w:rsidR="003B45AF">
        <w:rPr>
          <w:rFonts w:ascii="David" w:hAnsi="David" w:cs="David" w:hint="cs"/>
          <w:rtl/>
        </w:rPr>
        <w:t xml:space="preserve"> הסכם פינוי בינוי מול היזם, עשויה להיות בפערי זמן של שנים זה מזה ו</w:t>
      </w:r>
      <w:r w:rsidRPr="008B0D69">
        <w:rPr>
          <w:rFonts w:ascii="David" w:hAnsi="David" w:cs="David" w:hint="cs"/>
          <w:rtl/>
        </w:rPr>
        <w:t xml:space="preserve">עד שמאגד </w:t>
      </w:r>
      <w:r w:rsidR="003B45AF">
        <w:rPr>
          <w:rFonts w:ascii="David" w:hAnsi="David" w:cs="David" w:hint="cs"/>
          <w:rtl/>
        </w:rPr>
        <w:t xml:space="preserve">היזם </w:t>
      </w:r>
      <w:r w:rsidRPr="008B0D69">
        <w:rPr>
          <w:rFonts w:ascii="David" w:hAnsi="David" w:cs="David" w:hint="cs"/>
          <w:rtl/>
        </w:rPr>
        <w:t xml:space="preserve">את </w:t>
      </w:r>
      <w:r w:rsidR="003B45AF">
        <w:rPr>
          <w:rFonts w:ascii="David" w:hAnsi="David" w:cs="David" w:hint="cs"/>
          <w:rtl/>
        </w:rPr>
        <w:t xml:space="preserve">הבעלים </w:t>
      </w:r>
      <w:r w:rsidRPr="008B0D69">
        <w:rPr>
          <w:rFonts w:ascii="David" w:hAnsi="David" w:cs="David" w:hint="cs"/>
          <w:rtl/>
        </w:rPr>
        <w:t>כולם. לכאורה לפי המצב החוקי הקיים ובהנחה שצמד המילים "בשל בניית מרחב מוגן" כקבוע בסעיף הפטור 9 (א) לתוספת השלישית לחוק מכוון אך ורק לבניה בפועל ולא לחתימת הסכם בטרם הוצאת הפרויקט</w:t>
      </w:r>
      <w:r>
        <w:rPr>
          <w:rStyle w:val="af9"/>
          <w:rFonts w:ascii="David" w:hAnsi="David" w:cs="David"/>
          <w:rtl/>
        </w:rPr>
        <w:footnoteReference w:id="6"/>
      </w:r>
      <w:r w:rsidRPr="008B0D69">
        <w:rPr>
          <w:rFonts w:ascii="David" w:hAnsi="David" w:cs="David" w:hint="cs"/>
          <w:rtl/>
        </w:rPr>
        <w:t>- הבחינה אם להעניק את הפטור כפי שקורה בעניינינו מייצר</w:t>
      </w:r>
      <w:r w:rsidR="003B45AF">
        <w:rPr>
          <w:rFonts w:ascii="David" w:hAnsi="David" w:cs="David" w:hint="cs"/>
          <w:rtl/>
        </w:rPr>
        <w:t>ת</w:t>
      </w:r>
      <w:r w:rsidRPr="008B0D69">
        <w:rPr>
          <w:rFonts w:ascii="David" w:hAnsi="David" w:cs="David" w:hint="cs"/>
          <w:rtl/>
        </w:rPr>
        <w:t xml:space="preserve"> מעין "אבחנה מלאכותית" בין בעלי דירות בפינוי בינוי שחתמו לפני אישור התכנית לכאלה שחתמו אחרי, </w:t>
      </w:r>
      <w:r w:rsidR="003B45AF">
        <w:rPr>
          <w:rFonts w:ascii="David" w:hAnsi="David" w:cs="David" w:hint="cs"/>
          <w:rtl/>
        </w:rPr>
        <w:t>ו</w:t>
      </w:r>
      <w:r w:rsidRPr="008B0D69">
        <w:rPr>
          <w:rFonts w:ascii="David" w:hAnsi="David" w:cs="David" w:hint="cs"/>
          <w:rtl/>
        </w:rPr>
        <w:t>הלא לגבי שני סוגי בעלי הדירות - הוצאת ההיתר היא קריטית ומהווה תנאי בלעדיו אין ליישום והוצאתו לפועל של הפרויקט פינוי בינוי</w:t>
      </w:r>
      <w:r>
        <w:rPr>
          <w:rFonts w:ascii="David" w:hAnsi="David" w:cs="David" w:hint="cs"/>
          <w:rtl/>
        </w:rPr>
        <w:t xml:space="preserve">, </w:t>
      </w:r>
      <w:r w:rsidRPr="008B0D69">
        <w:rPr>
          <w:rFonts w:ascii="David" w:hAnsi="David" w:cs="David" w:hint="cs"/>
          <w:rtl/>
        </w:rPr>
        <w:t xml:space="preserve">ולפיכך עולה השאלה במקרה זה האם אין מקום לבחון מחדש האם חתימה </w:t>
      </w:r>
      <w:r>
        <w:rPr>
          <w:rFonts w:ascii="David" w:hAnsi="David" w:cs="David" w:hint="cs"/>
          <w:rtl/>
        </w:rPr>
        <w:t xml:space="preserve">של בעלי דירות </w:t>
      </w:r>
      <w:r w:rsidRPr="008B0D69">
        <w:rPr>
          <w:rFonts w:ascii="David" w:hAnsi="David" w:cs="David" w:hint="cs"/>
          <w:rtl/>
        </w:rPr>
        <w:t>עם יזם על הסכם פינוי בינוי אכן נחשבת מימוש ב</w:t>
      </w:r>
      <w:r>
        <w:rPr>
          <w:rFonts w:ascii="David" w:hAnsi="David" w:cs="David" w:hint="cs"/>
          <w:rtl/>
        </w:rPr>
        <w:t>"</w:t>
      </w:r>
      <w:r w:rsidRPr="008B0D69">
        <w:rPr>
          <w:rFonts w:ascii="David" w:hAnsi="David" w:cs="David" w:hint="cs"/>
          <w:rtl/>
        </w:rPr>
        <w:t>מכר</w:t>
      </w:r>
      <w:r>
        <w:rPr>
          <w:rFonts w:ascii="David" w:hAnsi="David" w:cs="David" w:hint="cs"/>
          <w:rtl/>
        </w:rPr>
        <w:t>" המקים חבות בהיטל השבחה</w:t>
      </w:r>
      <w:r w:rsidRPr="008B0D69">
        <w:rPr>
          <w:rFonts w:ascii="David" w:hAnsi="David" w:cs="David" w:hint="cs"/>
          <w:rtl/>
        </w:rPr>
        <w:t>.</w:t>
      </w:r>
    </w:p>
    <w:p w:rsidR="00C24538" w:rsidRDefault="00C24538" w:rsidP="002A5269">
      <w:pPr>
        <w:pStyle w:val="a9"/>
        <w:numPr>
          <w:ilvl w:val="0"/>
          <w:numId w:val="1"/>
        </w:numPr>
        <w:tabs>
          <w:tab w:val="left" w:pos="425"/>
        </w:tabs>
        <w:spacing w:line="360" w:lineRule="auto"/>
        <w:ind w:left="357"/>
        <w:contextualSpacing w:val="0"/>
        <w:jc w:val="both"/>
        <w:rPr>
          <w:rFonts w:ascii="David" w:hAnsi="David" w:cs="David"/>
        </w:rPr>
      </w:pPr>
      <w:r>
        <w:rPr>
          <w:rFonts w:ascii="David" w:hAnsi="David" w:cs="David" w:hint="cs"/>
          <w:rtl/>
        </w:rPr>
        <w:t>יתרה מכך, מה קורה במצבים בהם מדובר ב"מסלול רשויות" מסוג התחדשות עירונית כלומר במסלול כזה שבו הרשות המקומית היא זו שמקדמת תכנית פינוי בינוי ולאחר מכן נכנס יזם לתמונה, כך שכל בעלי הדירות חותמים בהכרח רק לאחר אישור התכנית, במצב דברים זה המשמעות של יישום הוראות החוק, הוא שלילת פטור לממ"דים כליל הגם שאין מחלוקת כי מדובר בפרויקט פינוי בינוי ש</w:t>
      </w:r>
      <w:r w:rsidRPr="001F2946">
        <w:rPr>
          <w:rFonts w:ascii="David" w:hAnsi="David" w:cs="David" w:hint="cs"/>
          <w:rtl/>
        </w:rPr>
        <w:t>מבחינת תכלית החקיקה מטרת הפטור לעודד מימושם של פרויקטים של פינוי בינוי בשל עלותם ומורכבותם והאינטרס הציבורי במימושם.</w:t>
      </w:r>
    </w:p>
    <w:p w:rsidR="00C24538" w:rsidRDefault="00C24538" w:rsidP="00415A22">
      <w:pPr>
        <w:pStyle w:val="a9"/>
        <w:numPr>
          <w:ilvl w:val="0"/>
          <w:numId w:val="1"/>
        </w:numPr>
        <w:tabs>
          <w:tab w:val="left" w:pos="425"/>
        </w:tabs>
        <w:spacing w:line="360" w:lineRule="auto"/>
        <w:ind w:left="357"/>
        <w:contextualSpacing w:val="0"/>
        <w:jc w:val="both"/>
        <w:rPr>
          <w:rFonts w:ascii="David" w:hAnsi="David" w:cs="David"/>
        </w:rPr>
      </w:pPr>
      <w:r>
        <w:rPr>
          <w:rFonts w:ascii="David" w:hAnsi="David" w:cs="David" w:hint="cs"/>
          <w:rtl/>
        </w:rPr>
        <w:t xml:space="preserve">אלו דוגמאות למצבי אבסורד מיני רבות שמעסיקות את שוק התחדשות העירונית ונראה כי הנכון הוא שמהחוקק ייתן דעתו בסוגיות השונות הקשורות בהיטל השבחה במסגרת עסקאות פינוי בינוי- מועד הדיווח, ריביות, פטור לממ"דים, שיטות חישוב </w:t>
      </w:r>
      <w:proofErr w:type="spellStart"/>
      <w:r>
        <w:rPr>
          <w:rFonts w:ascii="David" w:hAnsi="David" w:cs="David" w:hint="cs"/>
          <w:rtl/>
        </w:rPr>
        <w:t>וכיוצ"ב</w:t>
      </w:r>
      <w:proofErr w:type="spellEnd"/>
      <w:r>
        <w:rPr>
          <w:rFonts w:ascii="David" w:hAnsi="David" w:cs="David" w:hint="cs"/>
          <w:rtl/>
        </w:rPr>
        <w:t xml:space="preserve">. </w:t>
      </w:r>
    </w:p>
    <w:p w:rsidR="00C24538" w:rsidRDefault="00C24538" w:rsidP="00415A22">
      <w:pPr>
        <w:pStyle w:val="a9"/>
        <w:numPr>
          <w:ilvl w:val="0"/>
          <w:numId w:val="1"/>
        </w:numPr>
        <w:tabs>
          <w:tab w:val="left" w:pos="425"/>
        </w:tabs>
        <w:spacing w:line="360" w:lineRule="auto"/>
        <w:ind w:left="357"/>
        <w:contextualSpacing w:val="0"/>
        <w:jc w:val="both"/>
        <w:rPr>
          <w:rFonts w:ascii="David" w:hAnsi="David" w:cs="David"/>
        </w:rPr>
      </w:pPr>
      <w:r>
        <w:rPr>
          <w:rFonts w:ascii="David" w:hAnsi="David" w:cs="David" w:hint="cs"/>
          <w:rtl/>
        </w:rPr>
        <w:t xml:space="preserve">לסיום, כאמור לעיל את הסוגיה של </w:t>
      </w:r>
      <w:r w:rsidR="0052342E">
        <w:rPr>
          <w:rFonts w:ascii="David" w:hAnsi="David" w:cs="David" w:hint="eastAsia"/>
          <w:rtl/>
        </w:rPr>
        <w:t>פטור</w:t>
      </w:r>
      <w:r w:rsidR="0052342E">
        <w:rPr>
          <w:rFonts w:ascii="David" w:hAnsi="David" w:cs="David"/>
          <w:rtl/>
        </w:rPr>
        <w:t xml:space="preserve"> מהיטל</w:t>
      </w:r>
      <w:r>
        <w:rPr>
          <w:rFonts w:ascii="David" w:hAnsi="David" w:cs="David" w:hint="cs"/>
          <w:rtl/>
        </w:rPr>
        <w:t xml:space="preserve"> השבחה בעניין ממ"דים התחלנו בהפניה ואימוץ קביעותיה של ועדת הערר בעניין "</w:t>
      </w:r>
      <w:proofErr w:type="spellStart"/>
      <w:r>
        <w:rPr>
          <w:rFonts w:ascii="David" w:hAnsi="David" w:cs="David" w:hint="cs"/>
          <w:rtl/>
        </w:rPr>
        <w:t>בובליל</w:t>
      </w:r>
      <w:proofErr w:type="spellEnd"/>
      <w:r>
        <w:rPr>
          <w:rFonts w:ascii="David" w:hAnsi="David" w:cs="David" w:hint="cs"/>
          <w:rtl/>
        </w:rPr>
        <w:t xml:space="preserve">" וכך גם נסיים בהצטרפותנו </w:t>
      </w:r>
      <w:r w:rsidRPr="003A1155">
        <w:rPr>
          <w:rFonts w:ascii="David" w:hAnsi="David" w:cs="David" w:hint="cs"/>
          <w:rtl/>
        </w:rPr>
        <w:t xml:space="preserve">לקריאה </w:t>
      </w:r>
      <w:r>
        <w:rPr>
          <w:rFonts w:ascii="David" w:hAnsi="David" w:cs="David" w:hint="cs"/>
          <w:rtl/>
        </w:rPr>
        <w:t xml:space="preserve">למחוקק </w:t>
      </w:r>
      <w:r w:rsidRPr="003A1155">
        <w:rPr>
          <w:rFonts w:ascii="David" w:hAnsi="David" w:cs="David" w:hint="cs"/>
          <w:rtl/>
        </w:rPr>
        <w:t>כפי שבוטאה ב</w:t>
      </w:r>
      <w:r>
        <w:rPr>
          <w:rFonts w:ascii="David" w:hAnsi="David" w:cs="David" w:hint="cs"/>
          <w:rtl/>
        </w:rPr>
        <w:t>"</w:t>
      </w:r>
      <w:r w:rsidRPr="003A1155">
        <w:rPr>
          <w:rFonts w:ascii="David" w:hAnsi="David" w:cs="David" w:hint="cs"/>
          <w:rtl/>
        </w:rPr>
        <w:t>הערה טרם סיום</w:t>
      </w:r>
      <w:r>
        <w:rPr>
          <w:rFonts w:ascii="David" w:hAnsi="David" w:cs="David" w:hint="cs"/>
          <w:rtl/>
        </w:rPr>
        <w:t>"</w:t>
      </w:r>
      <w:r w:rsidRPr="003A1155">
        <w:rPr>
          <w:rFonts w:ascii="David" w:hAnsi="David" w:cs="David" w:hint="cs"/>
          <w:rtl/>
        </w:rPr>
        <w:t xml:space="preserve"> </w:t>
      </w:r>
      <w:r>
        <w:rPr>
          <w:rFonts w:ascii="David" w:hAnsi="David" w:cs="David" w:hint="cs"/>
          <w:rtl/>
        </w:rPr>
        <w:t xml:space="preserve">בעמ' </w:t>
      </w:r>
      <w:r w:rsidR="0052342E">
        <w:rPr>
          <w:rFonts w:ascii="David" w:hAnsi="David" w:cs="David"/>
          <w:rtl/>
        </w:rPr>
        <w:t>28 להחלטה</w:t>
      </w:r>
      <w:r>
        <w:rPr>
          <w:rFonts w:ascii="David" w:hAnsi="David" w:cs="David" w:hint="cs"/>
          <w:rtl/>
        </w:rPr>
        <w:t xml:space="preserve"> בעניין "</w:t>
      </w:r>
      <w:proofErr w:type="spellStart"/>
      <w:r>
        <w:rPr>
          <w:rFonts w:ascii="David" w:hAnsi="David" w:cs="David" w:hint="cs"/>
          <w:rtl/>
        </w:rPr>
        <w:t>בובליל</w:t>
      </w:r>
      <w:proofErr w:type="spellEnd"/>
      <w:r>
        <w:rPr>
          <w:rFonts w:ascii="David" w:hAnsi="David" w:cs="David" w:hint="cs"/>
          <w:rtl/>
        </w:rPr>
        <w:t xml:space="preserve">" </w:t>
      </w:r>
      <w:r w:rsidRPr="003A1155">
        <w:rPr>
          <w:rFonts w:ascii="David" w:hAnsi="David" w:cs="David" w:hint="cs"/>
          <w:rtl/>
        </w:rPr>
        <w:t>ו</w:t>
      </w:r>
      <w:r>
        <w:rPr>
          <w:rFonts w:ascii="David" w:hAnsi="David" w:cs="David" w:hint="cs"/>
          <w:rtl/>
        </w:rPr>
        <w:t>שם</w:t>
      </w:r>
      <w:r w:rsidRPr="003A1155">
        <w:rPr>
          <w:rFonts w:ascii="David" w:hAnsi="David" w:cs="David" w:hint="cs"/>
          <w:rtl/>
        </w:rPr>
        <w:t xml:space="preserve"> צוין בין היתר "</w:t>
      </w:r>
      <w:r w:rsidRPr="00A229F3">
        <w:rPr>
          <w:rFonts w:ascii="David" w:hAnsi="David" w:cs="David" w:hint="cs"/>
          <w:b/>
          <w:bCs/>
          <w:i/>
          <w:iCs/>
          <w:rtl/>
        </w:rPr>
        <w:t>שומה עלינו לציין כי דרך המלך לפתרון המחלוקות שמעלות סוגיות בהיטל השבחה במסגרת הסכמי פינוי בינוי, היא שינוי חקיקתי לפיו המימוש לתכנית פינוי בינוי יהיה במסגרת היתר בניה ולא במסגרת מכר. שינוי זה יביא לפתרון הוליסטי ביחס לבעיות שונות העולות מעת לעת ונדרש פתרון נקודתי על מנת להביא לתוצאה ראויה</w:t>
      </w:r>
      <w:r>
        <w:rPr>
          <w:rFonts w:ascii="David" w:hAnsi="David" w:cs="David" w:hint="cs"/>
          <w:rtl/>
        </w:rPr>
        <w:t xml:space="preserve">". </w:t>
      </w:r>
    </w:p>
    <w:p w:rsidR="008757F3" w:rsidRDefault="00C24538" w:rsidP="00415A22">
      <w:pPr>
        <w:pStyle w:val="a9"/>
        <w:numPr>
          <w:ilvl w:val="0"/>
          <w:numId w:val="1"/>
        </w:numPr>
        <w:tabs>
          <w:tab w:val="left" w:pos="425"/>
        </w:tabs>
        <w:spacing w:line="360" w:lineRule="auto"/>
        <w:ind w:left="357"/>
        <w:contextualSpacing w:val="0"/>
        <w:jc w:val="both"/>
        <w:rPr>
          <w:rFonts w:ascii="David" w:hAnsi="David" w:cs="David"/>
        </w:rPr>
      </w:pPr>
      <w:r>
        <w:rPr>
          <w:rFonts w:ascii="David" w:hAnsi="David" w:cs="David" w:hint="cs"/>
          <w:rtl/>
        </w:rPr>
        <w:t>ואנו נוסיף - יפה שעה אחת קודם!</w:t>
      </w:r>
    </w:p>
    <w:p w:rsidR="00B96FBC" w:rsidRDefault="00B96FBC" w:rsidP="00B96FBC">
      <w:pPr>
        <w:pStyle w:val="a9"/>
        <w:tabs>
          <w:tab w:val="left" w:pos="425"/>
        </w:tabs>
        <w:spacing w:line="360" w:lineRule="auto"/>
        <w:ind w:left="357"/>
        <w:contextualSpacing w:val="0"/>
        <w:jc w:val="both"/>
        <w:rPr>
          <w:rFonts w:ascii="David" w:hAnsi="David" w:cs="David"/>
          <w:rtl/>
        </w:rPr>
      </w:pPr>
    </w:p>
    <w:p w:rsidR="00B96FBC" w:rsidRPr="003A1155" w:rsidRDefault="00B96FBC" w:rsidP="00B96FBC">
      <w:pPr>
        <w:pStyle w:val="a9"/>
        <w:tabs>
          <w:tab w:val="left" w:pos="425"/>
        </w:tabs>
        <w:spacing w:line="360" w:lineRule="auto"/>
        <w:ind w:left="357"/>
        <w:contextualSpacing w:val="0"/>
        <w:jc w:val="both"/>
        <w:rPr>
          <w:rFonts w:ascii="David" w:hAnsi="David" w:cs="David"/>
          <w:rtl/>
        </w:rPr>
      </w:pPr>
    </w:p>
    <w:p w:rsidR="00232DBC" w:rsidRDefault="005E4144" w:rsidP="00A038F8">
      <w:pPr>
        <w:pStyle w:val="1"/>
        <w:rPr>
          <w:rtl/>
        </w:rPr>
      </w:pPr>
      <w:bookmarkStart w:id="25" w:name="_Toc203992512"/>
      <w:bookmarkStart w:id="26" w:name="_Toc204504394"/>
      <w:r>
        <w:rPr>
          <w:rFonts w:hint="cs"/>
          <w:rtl/>
        </w:rPr>
        <w:t>ע</w:t>
      </w:r>
      <w:r w:rsidR="00232DBC" w:rsidRPr="004B30C1">
        <w:rPr>
          <w:rFonts w:hint="cs"/>
          <w:rtl/>
        </w:rPr>
        <w:t>ררי</w:t>
      </w:r>
      <w:r w:rsidR="00232DBC" w:rsidRPr="004B30C1">
        <w:rPr>
          <w:rtl/>
        </w:rPr>
        <w:t xml:space="preserve"> הועדה המקומית </w:t>
      </w:r>
      <w:r w:rsidR="00232DBC" w:rsidRPr="004B30C1">
        <w:rPr>
          <w:rFonts w:hint="cs"/>
          <w:rtl/>
        </w:rPr>
        <w:t>86007/0223+86008/0223</w:t>
      </w:r>
      <w:bookmarkEnd w:id="25"/>
      <w:bookmarkEnd w:id="26"/>
    </w:p>
    <w:p w:rsidR="003D0997" w:rsidRPr="0008237A" w:rsidRDefault="00232DBC" w:rsidP="00A038F8">
      <w:pPr>
        <w:pStyle w:val="2"/>
      </w:pPr>
      <w:bookmarkStart w:id="27" w:name="_Toc203992513"/>
      <w:bookmarkStart w:id="28" w:name="_Toc204504395"/>
      <w:r>
        <w:rPr>
          <w:rFonts w:hint="cs"/>
          <w:rtl/>
        </w:rPr>
        <w:t>א</w:t>
      </w:r>
      <w:r w:rsidR="00B125E8" w:rsidRPr="0008237A">
        <w:rPr>
          <w:rFonts w:hint="cs"/>
          <w:rtl/>
        </w:rPr>
        <w:t xml:space="preserve">. </w:t>
      </w:r>
      <w:r w:rsidR="003D0997" w:rsidRPr="0008237A">
        <w:rPr>
          <w:rFonts w:hint="cs"/>
          <w:rtl/>
        </w:rPr>
        <w:t>טעות במתן פטור מהיטל השבחה בגין תכנית בי/319</w:t>
      </w:r>
      <w:bookmarkEnd w:id="27"/>
      <w:bookmarkEnd w:id="28"/>
    </w:p>
    <w:p w:rsidR="00332D35" w:rsidRPr="004B30C1" w:rsidRDefault="00332D35" w:rsidP="006C64A1">
      <w:pPr>
        <w:spacing w:line="360" w:lineRule="auto"/>
        <w:jc w:val="both"/>
        <w:rPr>
          <w:rFonts w:ascii="David" w:hAnsi="David" w:cs="David"/>
          <w:u w:val="thick"/>
        </w:rPr>
      </w:pPr>
      <w:r w:rsidRPr="004B30C1">
        <w:rPr>
          <w:rFonts w:ascii="David" w:hAnsi="David" w:cs="David" w:hint="cs"/>
          <w:u w:val="thick"/>
          <w:rtl/>
        </w:rPr>
        <w:t xml:space="preserve">טיעון הועדה המקומית </w:t>
      </w:r>
    </w:p>
    <w:p w:rsidR="0032773A" w:rsidRDefault="0032773A" w:rsidP="00294D93">
      <w:pPr>
        <w:pStyle w:val="a9"/>
        <w:numPr>
          <w:ilvl w:val="0"/>
          <w:numId w:val="1"/>
        </w:numPr>
        <w:tabs>
          <w:tab w:val="left" w:pos="425"/>
        </w:tabs>
        <w:spacing w:line="360" w:lineRule="auto"/>
        <w:contextualSpacing w:val="0"/>
        <w:jc w:val="both"/>
        <w:rPr>
          <w:rFonts w:ascii="David" w:hAnsi="David" w:cs="David"/>
        </w:rPr>
      </w:pPr>
      <w:r w:rsidRPr="00BF03C9">
        <w:rPr>
          <w:rFonts w:ascii="David" w:hAnsi="David" w:cs="David"/>
          <w:rtl/>
        </w:rPr>
        <w:t>תכנית בי/</w:t>
      </w:r>
      <w:r>
        <w:rPr>
          <w:rFonts w:ascii="David" w:hAnsi="David" w:cs="David" w:hint="cs"/>
          <w:rtl/>
        </w:rPr>
        <w:t>319</w:t>
      </w:r>
      <w:r>
        <w:rPr>
          <w:rFonts w:ascii="David" w:hAnsi="David" w:cs="David"/>
        </w:rPr>
        <w:t xml:space="preserve"> </w:t>
      </w:r>
      <w:r>
        <w:rPr>
          <w:rFonts w:ascii="David" w:hAnsi="David" w:cs="David" w:hint="cs"/>
          <w:rtl/>
        </w:rPr>
        <w:t xml:space="preserve">הינה תכנית הרחבות המתירה להרחיב את הדירות הקיימות עד לשטח של 75.54 מ"ר/ליח"ד (להלן </w:t>
      </w:r>
      <w:r>
        <w:rPr>
          <w:rFonts w:ascii="David" w:hAnsi="David" w:cs="David"/>
          <w:rtl/>
        </w:rPr>
        <w:t>–</w:t>
      </w:r>
      <w:r>
        <w:rPr>
          <w:rFonts w:ascii="David" w:hAnsi="David" w:cs="David" w:hint="cs"/>
          <w:rtl/>
        </w:rPr>
        <w:t xml:space="preserve"> "</w:t>
      </w:r>
      <w:r w:rsidRPr="00D42843">
        <w:rPr>
          <w:rFonts w:ascii="David" w:hAnsi="David" w:cs="David" w:hint="cs"/>
          <w:b/>
          <w:bCs/>
          <w:rtl/>
        </w:rPr>
        <w:t>תכנית ההרחבות</w:t>
      </w:r>
      <w:r>
        <w:rPr>
          <w:rFonts w:ascii="David" w:hAnsi="David" w:cs="David" w:hint="cs"/>
          <w:rtl/>
        </w:rPr>
        <w:t>").</w:t>
      </w:r>
    </w:p>
    <w:p w:rsidR="0032773A" w:rsidRDefault="0032773A" w:rsidP="00294D93">
      <w:pPr>
        <w:pStyle w:val="a9"/>
        <w:numPr>
          <w:ilvl w:val="0"/>
          <w:numId w:val="1"/>
        </w:numPr>
        <w:tabs>
          <w:tab w:val="left" w:pos="425"/>
          <w:tab w:val="left" w:pos="567"/>
        </w:tabs>
        <w:spacing w:line="360" w:lineRule="auto"/>
        <w:contextualSpacing w:val="0"/>
        <w:jc w:val="both"/>
        <w:rPr>
          <w:rFonts w:ascii="David" w:hAnsi="David" w:cs="David"/>
        </w:rPr>
      </w:pPr>
      <w:r>
        <w:rPr>
          <w:rFonts w:ascii="David" w:hAnsi="David" w:cs="David" w:hint="cs"/>
          <w:rtl/>
        </w:rPr>
        <w:t xml:space="preserve">השמאית המכריעה קבעה כי מאחר והשכונה שבתחומה ממוקם הנכס, מוכרזת כשכונת שיקום, הרי שתכנית ההרחבות פטורה מהיטל השבחה. </w:t>
      </w:r>
    </w:p>
    <w:p w:rsidR="0032773A" w:rsidRDefault="0032773A" w:rsidP="00294D93">
      <w:pPr>
        <w:pStyle w:val="a9"/>
        <w:numPr>
          <w:ilvl w:val="0"/>
          <w:numId w:val="1"/>
        </w:numPr>
        <w:tabs>
          <w:tab w:val="left" w:pos="425"/>
        </w:tabs>
        <w:spacing w:line="360" w:lineRule="auto"/>
        <w:contextualSpacing w:val="0"/>
        <w:jc w:val="both"/>
        <w:rPr>
          <w:rFonts w:ascii="David" w:hAnsi="David" w:cs="David"/>
        </w:rPr>
      </w:pPr>
      <w:r>
        <w:rPr>
          <w:rFonts w:ascii="David" w:hAnsi="David" w:cs="David" w:hint="cs"/>
          <w:rtl/>
        </w:rPr>
        <w:t>הועדה המקומית טוענת כי נפלה שגיאה בשומות המכריעות עת הובאה תכנית בי/</w:t>
      </w:r>
      <w:r w:rsidR="0052342E">
        <w:rPr>
          <w:rFonts w:ascii="David" w:hAnsi="David" w:cs="David"/>
          <w:rtl/>
        </w:rPr>
        <w:t>319 כחלק</w:t>
      </w:r>
      <w:r>
        <w:rPr>
          <w:rFonts w:ascii="David" w:hAnsi="David" w:cs="David" w:hint="cs"/>
          <w:rtl/>
        </w:rPr>
        <w:t xml:space="preserve"> ממצב קודם, שכן, המשמעות הינה מתן פטור לתכנית שלא מומשה.</w:t>
      </w:r>
    </w:p>
    <w:p w:rsidR="0032773A" w:rsidRPr="0032773A" w:rsidRDefault="0032773A" w:rsidP="00294D93">
      <w:pPr>
        <w:pStyle w:val="a9"/>
        <w:numPr>
          <w:ilvl w:val="0"/>
          <w:numId w:val="1"/>
        </w:numPr>
        <w:tabs>
          <w:tab w:val="left" w:pos="425"/>
        </w:tabs>
        <w:spacing w:line="360" w:lineRule="auto"/>
        <w:contextualSpacing w:val="0"/>
        <w:jc w:val="both"/>
        <w:rPr>
          <w:rFonts w:ascii="David" w:hAnsi="David" w:cs="David"/>
        </w:rPr>
      </w:pPr>
      <w:r>
        <w:rPr>
          <w:rFonts w:ascii="David" w:hAnsi="David" w:cs="David" w:hint="cs"/>
          <w:rtl/>
        </w:rPr>
        <w:t>כלומר,</w:t>
      </w:r>
      <w:r w:rsidRPr="0032773A">
        <w:rPr>
          <w:rFonts w:ascii="David" w:hAnsi="David" w:cs="David" w:hint="cs"/>
          <w:rtl/>
        </w:rPr>
        <w:t xml:space="preserve"> הזכויות שנוספו מכוחה ולא נוצלו </w:t>
      </w:r>
      <w:r w:rsidRPr="0032773A">
        <w:rPr>
          <w:rFonts w:ascii="David" w:hAnsi="David" w:cs="David"/>
          <w:rtl/>
        </w:rPr>
        <w:t>–</w:t>
      </w:r>
      <w:r w:rsidRPr="0032773A">
        <w:rPr>
          <w:rFonts w:ascii="David" w:hAnsi="David" w:cs="David" w:hint="cs"/>
          <w:rtl/>
        </w:rPr>
        <w:t xml:space="preserve"> נכללו באומדן שווי מצב קודם, ובדרך זו לא חויבו בהיטל השבחה. לשון אחר, שווי מצב קודם הוגדל ע"י הכללת שווי הזכויות </w:t>
      </w:r>
      <w:proofErr w:type="spellStart"/>
      <w:r w:rsidRPr="0032773A">
        <w:rPr>
          <w:rFonts w:ascii="David" w:hAnsi="David" w:cs="David" w:hint="cs"/>
          <w:rtl/>
        </w:rPr>
        <w:t>מכח</w:t>
      </w:r>
      <w:proofErr w:type="spellEnd"/>
      <w:r w:rsidRPr="0032773A">
        <w:rPr>
          <w:rFonts w:ascii="David" w:hAnsi="David" w:cs="David" w:hint="cs"/>
          <w:rtl/>
        </w:rPr>
        <w:t xml:space="preserve"> תכנית ההרחבות, וע"י כך הוקטנה ההשבחה בגין התכנית המאוחרת יותר בי/517, המהווה </w:t>
      </w:r>
      <w:r>
        <w:rPr>
          <w:rFonts w:ascii="David" w:hAnsi="David" w:cs="David" w:hint="cs"/>
          <w:rtl/>
        </w:rPr>
        <w:t xml:space="preserve">אפוא </w:t>
      </w:r>
      <w:r w:rsidRPr="0032773A">
        <w:rPr>
          <w:rFonts w:ascii="David" w:hAnsi="David" w:cs="David" w:hint="cs"/>
          <w:rtl/>
        </w:rPr>
        <w:t>מדרגת השבחה ראשונה בשומות המכריעות</w:t>
      </w:r>
      <w:r w:rsidR="008757F3">
        <w:rPr>
          <w:rFonts w:ascii="David" w:hAnsi="David" w:cs="David" w:hint="cs"/>
          <w:rtl/>
        </w:rPr>
        <w:t>.</w:t>
      </w:r>
      <w:r w:rsidRPr="0032773A">
        <w:rPr>
          <w:rFonts w:ascii="David" w:hAnsi="David" w:cs="David" w:hint="cs"/>
          <w:rtl/>
        </w:rPr>
        <w:t xml:space="preserve"> </w:t>
      </w:r>
    </w:p>
    <w:p w:rsidR="0032773A" w:rsidRPr="00EA625A" w:rsidRDefault="0032773A" w:rsidP="00576BF1">
      <w:pPr>
        <w:pStyle w:val="a9"/>
        <w:tabs>
          <w:tab w:val="left" w:pos="283"/>
          <w:tab w:val="left" w:pos="425"/>
        </w:tabs>
        <w:spacing w:line="360" w:lineRule="auto"/>
        <w:ind w:left="360"/>
        <w:contextualSpacing w:val="0"/>
        <w:jc w:val="both"/>
        <w:rPr>
          <w:rFonts w:ascii="David" w:hAnsi="David" w:cs="David"/>
        </w:rPr>
      </w:pPr>
      <w:r w:rsidRPr="00EA625A">
        <w:rPr>
          <w:rFonts w:ascii="David" w:hAnsi="David" w:cs="David" w:hint="cs"/>
          <w:rtl/>
        </w:rPr>
        <w:t xml:space="preserve">הוועדה המקומית טענה כי גישה זו בה נקטה השמאית המכריעה הינה שגויה ממספר טעמים: </w:t>
      </w:r>
      <w:r w:rsidRPr="00EA625A">
        <w:rPr>
          <w:rFonts w:ascii="David" w:hAnsi="David" w:cs="David" w:hint="cs"/>
          <w:u w:val="single"/>
          <w:rtl/>
        </w:rPr>
        <w:t>ראשית,</w:t>
      </w:r>
      <w:r w:rsidRPr="00EA625A">
        <w:rPr>
          <w:rFonts w:ascii="David" w:hAnsi="David" w:cs="David" w:hint="cs"/>
          <w:rtl/>
        </w:rPr>
        <w:t xml:space="preserve"> לא ניתן להביא בחשבון את הפטור של "שיקום שכונות",</w:t>
      </w:r>
      <w:r w:rsidR="00EA625A" w:rsidRPr="00EA625A">
        <w:rPr>
          <w:rFonts w:ascii="David" w:hAnsi="David" w:cs="David" w:hint="cs"/>
          <w:rtl/>
        </w:rPr>
        <w:t xml:space="preserve"> שעה שהתכנית לא מומשה</w:t>
      </w:r>
      <w:r w:rsidR="00EA625A">
        <w:rPr>
          <w:rFonts w:ascii="David" w:hAnsi="David" w:cs="David" w:hint="cs"/>
          <w:rtl/>
        </w:rPr>
        <w:t xml:space="preserve"> ואת הפטור יש ליישם רק על תכניות משביחות שמומשו</w:t>
      </w:r>
      <w:r w:rsidR="00EA625A" w:rsidRPr="00EA625A">
        <w:rPr>
          <w:rFonts w:ascii="David" w:hAnsi="David" w:cs="David" w:hint="cs"/>
          <w:rtl/>
        </w:rPr>
        <w:t>.</w:t>
      </w:r>
      <w:r w:rsidRPr="00EA625A">
        <w:rPr>
          <w:rFonts w:ascii="David" w:hAnsi="David" w:cs="David" w:hint="cs"/>
          <w:rtl/>
        </w:rPr>
        <w:t xml:space="preserve"> </w:t>
      </w:r>
      <w:r w:rsidRPr="00EA625A">
        <w:rPr>
          <w:rFonts w:ascii="David" w:hAnsi="David" w:cs="David" w:hint="cs"/>
          <w:u w:val="single"/>
          <w:rtl/>
        </w:rPr>
        <w:t>שנית</w:t>
      </w:r>
      <w:r w:rsidRPr="00EA625A">
        <w:rPr>
          <w:rFonts w:ascii="David" w:hAnsi="David" w:cs="David" w:hint="cs"/>
          <w:rtl/>
        </w:rPr>
        <w:t xml:space="preserve">, בגין התכניות המשביחות נקבעה בשומות המכריעות פטור נוסף מהיטל השבחה בגין שיקום שכונות ואין מקום ל"כפל" פטור. </w:t>
      </w:r>
    </w:p>
    <w:p w:rsidR="0032773A" w:rsidRDefault="0032773A" w:rsidP="000458FF">
      <w:pPr>
        <w:pStyle w:val="a9"/>
        <w:numPr>
          <w:ilvl w:val="0"/>
          <w:numId w:val="1"/>
        </w:numPr>
        <w:tabs>
          <w:tab w:val="left" w:pos="425"/>
        </w:tabs>
        <w:spacing w:line="360" w:lineRule="auto"/>
        <w:contextualSpacing w:val="0"/>
        <w:jc w:val="both"/>
        <w:rPr>
          <w:rFonts w:ascii="David" w:hAnsi="David" w:cs="David"/>
        </w:rPr>
      </w:pPr>
      <w:r>
        <w:rPr>
          <w:rFonts w:ascii="David" w:hAnsi="David" w:cs="David" w:hint="cs"/>
          <w:rtl/>
        </w:rPr>
        <w:t xml:space="preserve">לאור האמור לעיל, טענה הועדה המקומית כי לא ניתן להעניק פטור בגין תכנית ההרחבות שלא מומשה, ובהתאם גם לא ניתן להביא בחשבון את תכנית בי/319 כחלק ממצב קודם ויש לשום אותה כמדרגת מס נוספת. </w:t>
      </w:r>
    </w:p>
    <w:p w:rsidR="0032773A" w:rsidRPr="0032773A" w:rsidRDefault="0032773A" w:rsidP="006C64A1">
      <w:pPr>
        <w:pStyle w:val="a9"/>
        <w:spacing w:line="360" w:lineRule="auto"/>
        <w:ind w:left="360"/>
        <w:contextualSpacing w:val="0"/>
        <w:jc w:val="both"/>
        <w:rPr>
          <w:rFonts w:ascii="David" w:hAnsi="David" w:cs="David"/>
        </w:rPr>
      </w:pPr>
    </w:p>
    <w:p w:rsidR="00332D35" w:rsidRPr="004B30C1" w:rsidRDefault="00332D35" w:rsidP="006C64A1">
      <w:pPr>
        <w:spacing w:line="360" w:lineRule="auto"/>
        <w:jc w:val="both"/>
        <w:rPr>
          <w:rFonts w:ascii="David" w:hAnsi="David" w:cs="David"/>
          <w:u w:val="thick"/>
          <w:rtl/>
        </w:rPr>
      </w:pPr>
      <w:r w:rsidRPr="004B30C1">
        <w:rPr>
          <w:rFonts w:ascii="David" w:hAnsi="David" w:cs="David" w:hint="cs"/>
          <w:u w:val="thick"/>
          <w:rtl/>
        </w:rPr>
        <w:t xml:space="preserve">תשובת החברה </w:t>
      </w:r>
    </w:p>
    <w:p w:rsidR="00332D35" w:rsidRDefault="008B053E" w:rsidP="000458FF">
      <w:pPr>
        <w:pStyle w:val="a9"/>
        <w:numPr>
          <w:ilvl w:val="0"/>
          <w:numId w:val="1"/>
        </w:numPr>
        <w:tabs>
          <w:tab w:val="left" w:pos="425"/>
        </w:tabs>
        <w:spacing w:line="360" w:lineRule="auto"/>
        <w:contextualSpacing w:val="0"/>
        <w:jc w:val="both"/>
        <w:rPr>
          <w:rFonts w:ascii="David" w:hAnsi="David" w:cs="David"/>
        </w:rPr>
      </w:pPr>
      <w:r>
        <w:rPr>
          <w:rFonts w:ascii="David" w:hAnsi="David" w:cs="David" w:hint="cs"/>
          <w:rtl/>
        </w:rPr>
        <w:t xml:space="preserve">אין בסיס לטענת הועדה המקומית ומדובר בכותרת מטעה שגם סותרת את שומת הועדה המקומית עצמה. </w:t>
      </w:r>
    </w:p>
    <w:p w:rsidR="008B053E" w:rsidRPr="0040533A" w:rsidRDefault="008B053E" w:rsidP="00576BF1">
      <w:pPr>
        <w:pStyle w:val="a9"/>
        <w:numPr>
          <w:ilvl w:val="0"/>
          <w:numId w:val="1"/>
        </w:numPr>
        <w:tabs>
          <w:tab w:val="left" w:pos="425"/>
          <w:tab w:val="left" w:pos="1244"/>
        </w:tabs>
        <w:spacing w:line="360" w:lineRule="auto"/>
        <w:contextualSpacing w:val="0"/>
        <w:jc w:val="both"/>
        <w:rPr>
          <w:rFonts w:ascii="David" w:hAnsi="David" w:cs="David"/>
          <w:rtl/>
        </w:rPr>
      </w:pPr>
      <w:r w:rsidRPr="0040533A">
        <w:rPr>
          <w:rFonts w:ascii="David" w:hAnsi="David" w:cs="David" w:hint="cs"/>
          <w:rtl/>
        </w:rPr>
        <w:t xml:space="preserve"> בשומות מטעם שני הצדדים</w:t>
      </w:r>
      <w:r w:rsidR="0040533A">
        <w:rPr>
          <w:rFonts w:ascii="David" w:hAnsi="David" w:cs="David" w:hint="cs"/>
          <w:rtl/>
        </w:rPr>
        <w:t>, גם שומת הוועדה המקומית,</w:t>
      </w:r>
      <w:r w:rsidRPr="0040533A">
        <w:rPr>
          <w:rFonts w:ascii="David" w:hAnsi="David" w:cs="David" w:hint="cs"/>
          <w:rtl/>
        </w:rPr>
        <w:t xml:space="preserve"> נכללו בשווי המצב הקודם לתכנית בי/517 גם שווי הזכויות הבלתי ממומשות מכוח תכנית בי/319. בהתאם לכך נקבע בשומות המכריעות</w:t>
      </w:r>
      <w:r w:rsidR="00241F36" w:rsidRPr="0040533A">
        <w:rPr>
          <w:rFonts w:ascii="David" w:hAnsi="David" w:cs="David" w:hint="cs"/>
          <w:rtl/>
        </w:rPr>
        <w:t>,</w:t>
      </w:r>
      <w:r w:rsidRPr="0040533A">
        <w:rPr>
          <w:rFonts w:ascii="David" w:hAnsi="David" w:cs="David" w:hint="cs"/>
          <w:rtl/>
        </w:rPr>
        <w:t xml:space="preserve"> כי "בשומות הצדדים לא קיימת מחלוקת כי שווי במצב הקודם הוא שווי הדירות הקיימות בתוספת שווי זכויות הבניה הבלתי מנוצלות". </w:t>
      </w:r>
    </w:p>
    <w:p w:rsidR="008B053E" w:rsidRDefault="008B053E" w:rsidP="000458FF">
      <w:pPr>
        <w:pStyle w:val="a9"/>
        <w:numPr>
          <w:ilvl w:val="0"/>
          <w:numId w:val="1"/>
        </w:numPr>
        <w:tabs>
          <w:tab w:val="left" w:pos="425"/>
        </w:tabs>
        <w:spacing w:line="360" w:lineRule="auto"/>
        <w:contextualSpacing w:val="0"/>
        <w:jc w:val="both"/>
        <w:rPr>
          <w:rFonts w:ascii="David" w:hAnsi="David" w:cs="David"/>
        </w:rPr>
      </w:pPr>
      <w:r>
        <w:rPr>
          <w:rFonts w:ascii="David" w:hAnsi="David" w:cs="David" w:hint="cs"/>
          <w:rtl/>
        </w:rPr>
        <w:t>בתגובת שמא</w:t>
      </w:r>
      <w:r w:rsidR="00241F36">
        <w:rPr>
          <w:rFonts w:ascii="David" w:hAnsi="David" w:cs="David" w:hint="cs"/>
          <w:rtl/>
        </w:rPr>
        <w:t>י</w:t>
      </w:r>
      <w:r>
        <w:rPr>
          <w:rFonts w:ascii="David" w:hAnsi="David" w:cs="David" w:hint="cs"/>
          <w:rtl/>
        </w:rPr>
        <w:t xml:space="preserve"> הועדה המקומית לשומת החברה ובניגוד לאמור בשומתו המקורית טען לראשונה כי בשומתו "נפלה טעות בכך שהוכללו בשווי מצב קודם זכויות בניה בשטח של 2,244.19 מ"ר עיקרי בלתי מנוצלים שהוקנו לראשונה בתכנית חדשה בי/319 ולכן</w:t>
      </w:r>
      <w:r w:rsidR="00241F36">
        <w:rPr>
          <w:rFonts w:ascii="David" w:hAnsi="David" w:cs="David" w:hint="cs"/>
          <w:rtl/>
        </w:rPr>
        <w:t>,</w:t>
      </w:r>
      <w:r>
        <w:rPr>
          <w:rFonts w:ascii="David" w:hAnsi="David" w:cs="David" w:hint="cs"/>
          <w:rtl/>
        </w:rPr>
        <w:t xml:space="preserve"> אינן מהווים חלק מהמצב הקודם", אלא חלק מהמצב החדש. אלא</w:t>
      </w:r>
      <w:r w:rsidR="00241F36">
        <w:rPr>
          <w:rFonts w:ascii="David" w:hAnsi="David" w:cs="David" w:hint="cs"/>
          <w:rtl/>
        </w:rPr>
        <w:t xml:space="preserve">, </w:t>
      </w:r>
      <w:r>
        <w:rPr>
          <w:rFonts w:ascii="David" w:hAnsi="David" w:cs="David" w:hint="cs"/>
          <w:rtl/>
        </w:rPr>
        <w:t>ששמאי החברה התנגדו לשינוי חזית אסור זה והבהירו</w:t>
      </w:r>
      <w:r w:rsidR="00241F36">
        <w:rPr>
          <w:rFonts w:ascii="David" w:hAnsi="David" w:cs="David" w:hint="cs"/>
          <w:rtl/>
        </w:rPr>
        <w:t>,</w:t>
      </w:r>
      <w:r>
        <w:rPr>
          <w:rFonts w:ascii="David" w:hAnsi="David" w:cs="David" w:hint="cs"/>
          <w:rtl/>
        </w:rPr>
        <w:t xml:space="preserve"> כי </w:t>
      </w:r>
      <w:r w:rsidR="00DC57BC">
        <w:rPr>
          <w:rFonts w:ascii="David" w:hAnsi="David" w:cs="David" w:hint="cs"/>
          <w:rtl/>
        </w:rPr>
        <w:t>לא ניתן</w:t>
      </w:r>
      <w:r>
        <w:rPr>
          <w:rFonts w:ascii="David" w:hAnsi="David" w:cs="David" w:hint="cs"/>
          <w:rtl/>
        </w:rPr>
        <w:t xml:space="preserve"> בשלב זה של ההליך לטעון כי ישנן תכניות נוספות המהוות את המצב החדש. שמאי החברה שבו והדגישו כי תכנית בי/31</w:t>
      </w:r>
      <w:r w:rsidR="00241F36">
        <w:rPr>
          <w:rFonts w:ascii="David" w:hAnsi="David" w:cs="David" w:hint="cs"/>
          <w:rtl/>
        </w:rPr>
        <w:t>9</w:t>
      </w:r>
      <w:r>
        <w:rPr>
          <w:rFonts w:ascii="David" w:hAnsi="David" w:cs="David" w:hint="cs"/>
          <w:rtl/>
        </w:rPr>
        <w:t xml:space="preserve"> מהווה חלק מהמצב הקודם. השמאית המכריעה קבלה את טענת החברה. </w:t>
      </w:r>
    </w:p>
    <w:p w:rsidR="00864C76" w:rsidRPr="00241F36" w:rsidRDefault="00DC57BC" w:rsidP="00DC57BC">
      <w:pPr>
        <w:pStyle w:val="a9"/>
        <w:numPr>
          <w:ilvl w:val="0"/>
          <w:numId w:val="1"/>
        </w:numPr>
        <w:tabs>
          <w:tab w:val="left" w:pos="425"/>
        </w:tabs>
        <w:spacing w:line="360" w:lineRule="auto"/>
        <w:contextualSpacing w:val="0"/>
        <w:jc w:val="both"/>
        <w:rPr>
          <w:rFonts w:ascii="David" w:hAnsi="David" w:cs="David"/>
        </w:rPr>
      </w:pPr>
      <w:r>
        <w:rPr>
          <w:rFonts w:ascii="David" w:hAnsi="David" w:cs="David" w:hint="cs"/>
          <w:rtl/>
        </w:rPr>
        <w:t xml:space="preserve">בהקשר זה עוד טענה החברה כי </w:t>
      </w:r>
      <w:r w:rsidR="008B053E" w:rsidRPr="00241F36">
        <w:rPr>
          <w:rFonts w:ascii="David" w:hAnsi="David" w:cs="David" w:hint="cs"/>
          <w:rtl/>
        </w:rPr>
        <w:t>לא זו בלבד שאין זה סביר ששמאי הועדה המקומית יעלה טענות חדשות ואף ינסה לתקן את שומתו במסגרת תגובה לשומת החברה</w:t>
      </w:r>
      <w:r w:rsidR="00241F36" w:rsidRPr="00241F36">
        <w:rPr>
          <w:rFonts w:ascii="David" w:hAnsi="David" w:cs="David" w:hint="cs"/>
          <w:rtl/>
        </w:rPr>
        <w:t>,</w:t>
      </w:r>
      <w:r w:rsidR="008B053E" w:rsidRPr="00241F36">
        <w:rPr>
          <w:rFonts w:ascii="David" w:hAnsi="David" w:cs="David" w:hint="cs"/>
          <w:rtl/>
        </w:rPr>
        <w:t xml:space="preserve"> אלא שהדבר כלל אינו אפשרי ואין כל בסיס חוקי לתיקון שומה ולהכללת טענות חדשות במסגרת הליך שמאות מכרעת. לתמיכה בטענתה מפנה החברה לערר </w:t>
      </w:r>
      <w:proofErr w:type="spellStart"/>
      <w:r w:rsidR="008B053E" w:rsidRPr="00241F36">
        <w:rPr>
          <w:rFonts w:ascii="David" w:hAnsi="David" w:cs="David" w:hint="cs"/>
          <w:rtl/>
        </w:rPr>
        <w:t>קטה</w:t>
      </w:r>
      <w:proofErr w:type="spellEnd"/>
      <w:r w:rsidR="008B053E" w:rsidRPr="00241F36">
        <w:rPr>
          <w:rFonts w:ascii="David" w:hAnsi="David" w:cs="David" w:hint="cs"/>
          <w:rtl/>
        </w:rPr>
        <w:t xml:space="preserve"> אחזקות (ערר 8005-01-23)</w:t>
      </w:r>
      <w:r w:rsidR="00864C76" w:rsidRPr="00241F36">
        <w:rPr>
          <w:rFonts w:ascii="David" w:hAnsi="David" w:cs="David" w:hint="cs"/>
          <w:rtl/>
        </w:rPr>
        <w:t>.</w:t>
      </w:r>
      <w:r>
        <w:rPr>
          <w:rFonts w:ascii="David" w:hAnsi="David" w:cs="David" w:hint="cs"/>
          <w:rtl/>
        </w:rPr>
        <w:t xml:space="preserve"> </w:t>
      </w:r>
    </w:p>
    <w:p w:rsidR="00A03911" w:rsidRPr="00241F36" w:rsidRDefault="00864C76" w:rsidP="000458FF">
      <w:pPr>
        <w:pStyle w:val="a9"/>
        <w:numPr>
          <w:ilvl w:val="0"/>
          <w:numId w:val="1"/>
        </w:numPr>
        <w:tabs>
          <w:tab w:val="left" w:pos="425"/>
        </w:tabs>
        <w:spacing w:line="360" w:lineRule="auto"/>
        <w:contextualSpacing w:val="0"/>
        <w:jc w:val="both"/>
        <w:rPr>
          <w:rFonts w:ascii="David" w:hAnsi="David" w:cs="David"/>
          <w:rtl/>
        </w:rPr>
      </w:pPr>
      <w:r w:rsidRPr="00241F36">
        <w:rPr>
          <w:rFonts w:ascii="David" w:hAnsi="David" w:cs="David" w:hint="cs"/>
          <w:rtl/>
        </w:rPr>
        <w:t>גם לגופו של עניין, ביחס לטענ</w:t>
      </w:r>
      <w:r w:rsidR="00DC57BC">
        <w:rPr>
          <w:rFonts w:ascii="David" w:hAnsi="David" w:cs="David" w:hint="cs"/>
          <w:rtl/>
        </w:rPr>
        <w:t>ה</w:t>
      </w:r>
      <w:r w:rsidRPr="00241F36">
        <w:rPr>
          <w:rFonts w:ascii="David" w:hAnsi="David" w:cs="David" w:hint="cs"/>
          <w:rtl/>
        </w:rPr>
        <w:t xml:space="preserve"> </w:t>
      </w:r>
      <w:r w:rsidR="00DC57BC">
        <w:rPr>
          <w:rFonts w:ascii="David" w:hAnsi="David" w:cs="David" w:hint="cs"/>
          <w:rtl/>
        </w:rPr>
        <w:t xml:space="preserve">בעניין אי מימוש </w:t>
      </w:r>
      <w:r w:rsidRPr="00241F36">
        <w:rPr>
          <w:rFonts w:ascii="David" w:hAnsi="David" w:cs="David" w:hint="cs"/>
          <w:rtl/>
        </w:rPr>
        <w:t>תכנית בי/319</w:t>
      </w:r>
      <w:r w:rsidR="00576BF1">
        <w:rPr>
          <w:rFonts w:ascii="David" w:hAnsi="David" w:cs="David" w:hint="cs"/>
          <w:rtl/>
        </w:rPr>
        <w:t xml:space="preserve"> </w:t>
      </w:r>
      <w:r w:rsidR="00DC57BC">
        <w:rPr>
          <w:rFonts w:ascii="David" w:hAnsi="David" w:cs="David" w:hint="cs"/>
          <w:rtl/>
        </w:rPr>
        <w:t>ומשכך</w:t>
      </w:r>
      <w:r w:rsidR="00241F36" w:rsidRPr="00241F36">
        <w:rPr>
          <w:rFonts w:ascii="David" w:hAnsi="David" w:cs="David" w:hint="cs"/>
          <w:rtl/>
        </w:rPr>
        <w:t>,</w:t>
      </w:r>
      <w:r w:rsidRPr="00241F36">
        <w:rPr>
          <w:rFonts w:ascii="David" w:hAnsi="David" w:cs="David" w:hint="cs"/>
          <w:rtl/>
        </w:rPr>
        <w:t xml:space="preserve"> לא ניתן להביא אותה בחשבון בשומת ההשבחה</w:t>
      </w:r>
      <w:r w:rsidR="00241F36" w:rsidRPr="00241F36">
        <w:rPr>
          <w:rFonts w:ascii="David" w:hAnsi="David" w:cs="David" w:hint="cs"/>
          <w:rtl/>
        </w:rPr>
        <w:t xml:space="preserve"> מציינת החברה כי </w:t>
      </w:r>
      <w:r w:rsidR="00A01894" w:rsidRPr="00241F36">
        <w:rPr>
          <w:rFonts w:ascii="David" w:hAnsi="David" w:cs="David" w:hint="cs"/>
          <w:rtl/>
        </w:rPr>
        <w:t xml:space="preserve">המצב הקודם </w:t>
      </w:r>
      <w:r w:rsidR="00A03911" w:rsidRPr="00241F36">
        <w:rPr>
          <w:rFonts w:ascii="David" w:hAnsi="David" w:cs="David" w:hint="cs"/>
          <w:rtl/>
        </w:rPr>
        <w:t xml:space="preserve">נקבע בהתאם לכלל התכניות שקדמו למדרגות ההשבחה הרלוונטיות. העובדה שתכנית בי/319 לא נוצלה על ידי בעלים שונים אינה מעידה על העדר ישימותה או העדר שווי שוק לזכויות שהיא מקנה. ברור שלזכויות בניה בלתי מנוצלות יש שווי שוק ובהתאם הן נלקחו בחשבון במצב הקודם הן בשומות הצדדים והן בשומות המכריעות. </w:t>
      </w:r>
    </w:p>
    <w:p w:rsidR="00E905B1" w:rsidRPr="00241F36" w:rsidRDefault="00DC57BC" w:rsidP="000458FF">
      <w:pPr>
        <w:pStyle w:val="a9"/>
        <w:numPr>
          <w:ilvl w:val="0"/>
          <w:numId w:val="1"/>
        </w:numPr>
        <w:tabs>
          <w:tab w:val="left" w:pos="425"/>
        </w:tabs>
        <w:spacing w:line="360" w:lineRule="auto"/>
        <w:contextualSpacing w:val="0"/>
        <w:jc w:val="both"/>
        <w:rPr>
          <w:rFonts w:ascii="David" w:hAnsi="David" w:cs="David"/>
          <w:rtl/>
        </w:rPr>
      </w:pPr>
      <w:r>
        <w:rPr>
          <w:rFonts w:ascii="David" w:hAnsi="David" w:cs="David" w:hint="cs"/>
          <w:rtl/>
        </w:rPr>
        <w:t>עוד נטען ש</w:t>
      </w:r>
      <w:r w:rsidR="00A03911" w:rsidRPr="00241F36">
        <w:rPr>
          <w:rFonts w:ascii="David" w:hAnsi="David" w:cs="David" w:hint="cs"/>
          <w:rtl/>
        </w:rPr>
        <w:t xml:space="preserve">אין בסיס גם לניסיון הועדה המקומית לטעון שהכללת הזכויות מכוח תכנית בי/319 משמעה מתן פטור כפול בגין שיקום שכונות. </w:t>
      </w:r>
      <w:r w:rsidR="00E905B1" w:rsidRPr="00241F36">
        <w:rPr>
          <w:rFonts w:ascii="David" w:hAnsi="David" w:cs="David" w:hint="cs"/>
          <w:rtl/>
        </w:rPr>
        <w:t xml:space="preserve">השמאית המכריעה ציינה כי לאור קיומו של פטור שיקום שכונות ומאחר </w:t>
      </w:r>
      <w:proofErr w:type="spellStart"/>
      <w:r w:rsidR="00E905B1" w:rsidRPr="00241F36">
        <w:rPr>
          <w:rFonts w:ascii="David" w:hAnsi="David" w:cs="David" w:hint="cs"/>
          <w:rtl/>
        </w:rPr>
        <w:t>שהסוגי</w:t>
      </w:r>
      <w:r w:rsidR="00A532E6">
        <w:rPr>
          <w:rFonts w:ascii="David" w:hAnsi="David" w:cs="David" w:hint="cs"/>
          <w:rtl/>
        </w:rPr>
        <w:t>י</w:t>
      </w:r>
      <w:r w:rsidR="00E905B1" w:rsidRPr="00241F36">
        <w:rPr>
          <w:rFonts w:ascii="David" w:hAnsi="David" w:cs="David" w:hint="cs"/>
          <w:rtl/>
        </w:rPr>
        <w:t>ה</w:t>
      </w:r>
      <w:proofErr w:type="spellEnd"/>
      <w:r w:rsidR="00E905B1" w:rsidRPr="00241F36">
        <w:rPr>
          <w:rFonts w:ascii="David" w:hAnsi="David" w:cs="David" w:hint="cs"/>
          <w:rtl/>
        </w:rPr>
        <w:t xml:space="preserve"> של השבחה </w:t>
      </w:r>
      <w:proofErr w:type="spellStart"/>
      <w:r w:rsidR="00E905B1" w:rsidRPr="00241F36">
        <w:rPr>
          <w:rFonts w:ascii="David" w:hAnsi="David" w:cs="David" w:hint="cs"/>
          <w:rtl/>
        </w:rPr>
        <w:t>מכח</w:t>
      </w:r>
      <w:proofErr w:type="spellEnd"/>
      <w:r w:rsidR="00E905B1" w:rsidRPr="00241F36">
        <w:rPr>
          <w:rFonts w:ascii="David" w:hAnsi="David" w:cs="David" w:hint="cs"/>
          <w:rtl/>
        </w:rPr>
        <w:t xml:space="preserve"> תכנית בי/319 לא הובאה לפתחה היא אינה בוחנת את ההשבחה מכוח תכנית בי/319. כמפורט לעיל</w:t>
      </w:r>
      <w:r w:rsidR="00241F36" w:rsidRPr="00241F36">
        <w:rPr>
          <w:rFonts w:ascii="David" w:hAnsi="David" w:cs="David" w:hint="cs"/>
          <w:rtl/>
        </w:rPr>
        <w:t>,</w:t>
      </w:r>
      <w:r w:rsidR="00E905B1" w:rsidRPr="00241F36">
        <w:rPr>
          <w:rFonts w:ascii="David" w:hAnsi="David" w:cs="David" w:hint="cs"/>
          <w:rtl/>
        </w:rPr>
        <w:t xml:space="preserve"> ביחס להשבחה מכוח תכנית בי/517 (שנדונה בפניה) קבעה השמאית המכריעה כי הזכויות הבלתי מנוצלות מכוח תכנית בי/319 מהוות חלק מהמצב הקודם. עצם השימוש במונח "כפילות במתן פטור" יש בו כדי להטעות. הפטור של שיקום שכונות אינו מוגבל בתחולתו לתכנית אחת או להיקף </w:t>
      </w:r>
      <w:proofErr w:type="spellStart"/>
      <w:r w:rsidR="00E905B1" w:rsidRPr="00241F36">
        <w:rPr>
          <w:rFonts w:ascii="David" w:hAnsi="David" w:cs="David" w:hint="cs"/>
          <w:rtl/>
        </w:rPr>
        <w:t>מסויים</w:t>
      </w:r>
      <w:proofErr w:type="spellEnd"/>
      <w:r w:rsidR="00E905B1" w:rsidRPr="00241F36">
        <w:rPr>
          <w:rFonts w:ascii="David" w:hAnsi="David" w:cs="David" w:hint="cs"/>
          <w:rtl/>
        </w:rPr>
        <w:t xml:space="preserve"> של זכויות בניה. הפטור חל בכל </w:t>
      </w:r>
      <w:r w:rsidR="00241F36">
        <w:rPr>
          <w:rFonts w:ascii="David" w:hAnsi="David" w:cs="David" w:hint="cs"/>
          <w:rtl/>
        </w:rPr>
        <w:t>מ</w:t>
      </w:r>
      <w:r w:rsidR="00E905B1" w:rsidRPr="00241F36">
        <w:rPr>
          <w:rFonts w:ascii="David" w:hAnsi="David" w:cs="David" w:hint="cs"/>
          <w:rtl/>
        </w:rPr>
        <w:t xml:space="preserve">קרה בו מתקיימים תנאיו. אין בכך כפילות אלא הגשמת תכליתו של הפטור, שיפור ושיקום השכונות הכלולות באזור שהוכרז כפרויקט שיקום שכונות. </w:t>
      </w:r>
    </w:p>
    <w:p w:rsidR="00576BF1" w:rsidRDefault="00376110" w:rsidP="00576BF1">
      <w:pPr>
        <w:pStyle w:val="a9"/>
        <w:numPr>
          <w:ilvl w:val="0"/>
          <w:numId w:val="1"/>
        </w:numPr>
        <w:tabs>
          <w:tab w:val="left" w:pos="425"/>
        </w:tabs>
        <w:spacing w:line="360" w:lineRule="auto"/>
        <w:contextualSpacing w:val="0"/>
        <w:jc w:val="both"/>
        <w:rPr>
          <w:rFonts w:ascii="David" w:hAnsi="David" w:cs="David"/>
        </w:rPr>
      </w:pPr>
      <w:r>
        <w:rPr>
          <w:rFonts w:ascii="David" w:hAnsi="David" w:cs="David" w:hint="cs"/>
          <w:rtl/>
        </w:rPr>
        <w:t xml:space="preserve">בהתאם כפי שמציינת השמאית המכריעה, לא גבתה הועדה </w:t>
      </w:r>
      <w:r w:rsidR="00241F36">
        <w:rPr>
          <w:rFonts w:ascii="David" w:hAnsi="David" w:cs="David" w:hint="cs"/>
          <w:rtl/>
        </w:rPr>
        <w:t xml:space="preserve">המקומית </w:t>
      </w:r>
      <w:r>
        <w:rPr>
          <w:rFonts w:ascii="David" w:hAnsi="David" w:cs="David" w:hint="cs"/>
          <w:rtl/>
        </w:rPr>
        <w:t xml:space="preserve">היטל השבחה </w:t>
      </w:r>
      <w:r w:rsidR="006F500F">
        <w:rPr>
          <w:rFonts w:ascii="David" w:hAnsi="David" w:cs="David" w:hint="cs"/>
          <w:rtl/>
        </w:rPr>
        <w:t>בגין תכנית ההרחבות</w:t>
      </w:r>
      <w:r w:rsidR="00A86B7A">
        <w:rPr>
          <w:rFonts w:ascii="David" w:hAnsi="David" w:cs="David" w:hint="cs"/>
          <w:rtl/>
        </w:rPr>
        <w:t>.</w:t>
      </w:r>
    </w:p>
    <w:p w:rsidR="00376110" w:rsidRPr="00576BF1" w:rsidRDefault="00376110" w:rsidP="00576BF1">
      <w:pPr>
        <w:pStyle w:val="a9"/>
        <w:numPr>
          <w:ilvl w:val="0"/>
          <w:numId w:val="1"/>
        </w:numPr>
        <w:tabs>
          <w:tab w:val="left" w:pos="425"/>
        </w:tabs>
        <w:spacing w:line="360" w:lineRule="auto"/>
        <w:contextualSpacing w:val="0"/>
        <w:jc w:val="both"/>
        <w:rPr>
          <w:rFonts w:ascii="David" w:hAnsi="David" w:cs="David"/>
          <w:rtl/>
        </w:rPr>
      </w:pPr>
      <w:r w:rsidRPr="00576BF1">
        <w:rPr>
          <w:rFonts w:ascii="David" w:hAnsi="David" w:cs="David" w:hint="cs"/>
          <w:rtl/>
        </w:rPr>
        <w:t xml:space="preserve">לאור כל האמור יש לדחות את טענות הועדה המקומית בנוגע לתכנית בי/319 הן על </w:t>
      </w:r>
      <w:r w:rsidR="00E20EEE" w:rsidRPr="00576BF1">
        <w:rPr>
          <w:rFonts w:ascii="David" w:hAnsi="David" w:cs="David" w:hint="cs"/>
          <w:rtl/>
        </w:rPr>
        <w:t>ה</w:t>
      </w:r>
      <w:r w:rsidRPr="00576BF1">
        <w:rPr>
          <w:rFonts w:ascii="David" w:hAnsi="David" w:cs="David" w:hint="cs"/>
          <w:rtl/>
        </w:rPr>
        <w:t>סף והן לגופו.</w:t>
      </w:r>
    </w:p>
    <w:p w:rsidR="00376110" w:rsidRDefault="00376110" w:rsidP="006C64A1">
      <w:pPr>
        <w:pStyle w:val="a9"/>
        <w:tabs>
          <w:tab w:val="left" w:pos="1244"/>
        </w:tabs>
        <w:spacing w:line="360" w:lineRule="auto"/>
        <w:ind w:left="360"/>
        <w:contextualSpacing w:val="0"/>
        <w:jc w:val="both"/>
        <w:rPr>
          <w:rFonts w:ascii="David" w:hAnsi="David" w:cs="David"/>
          <w:rtl/>
        </w:rPr>
      </w:pPr>
    </w:p>
    <w:p w:rsidR="00B96FBC" w:rsidRPr="00A03911" w:rsidRDefault="00B96FBC" w:rsidP="006C64A1">
      <w:pPr>
        <w:pStyle w:val="a9"/>
        <w:tabs>
          <w:tab w:val="left" w:pos="1244"/>
        </w:tabs>
        <w:spacing w:line="360" w:lineRule="auto"/>
        <w:ind w:left="360"/>
        <w:contextualSpacing w:val="0"/>
        <w:jc w:val="both"/>
        <w:rPr>
          <w:rFonts w:ascii="David" w:hAnsi="David" w:cs="David"/>
          <w:rtl/>
        </w:rPr>
      </w:pPr>
    </w:p>
    <w:p w:rsidR="00332D35" w:rsidRDefault="00332D35" w:rsidP="006C64A1">
      <w:pPr>
        <w:tabs>
          <w:tab w:val="left" w:pos="1244"/>
        </w:tabs>
        <w:spacing w:line="360" w:lineRule="auto"/>
        <w:jc w:val="both"/>
        <w:rPr>
          <w:rFonts w:ascii="David" w:hAnsi="David" w:cs="David"/>
          <w:b/>
          <w:bCs/>
          <w:u w:val="thick"/>
          <w:rtl/>
        </w:rPr>
      </w:pPr>
      <w:r w:rsidRPr="004B30C1">
        <w:rPr>
          <w:rFonts w:ascii="David" w:hAnsi="David" w:cs="David" w:hint="cs"/>
          <w:b/>
          <w:bCs/>
          <w:u w:val="thick"/>
          <w:rtl/>
        </w:rPr>
        <w:t xml:space="preserve">דיון והכרעה </w:t>
      </w:r>
    </w:p>
    <w:p w:rsidR="007E5672" w:rsidRDefault="00DC0F12" w:rsidP="007E5672">
      <w:pPr>
        <w:pStyle w:val="a9"/>
        <w:numPr>
          <w:ilvl w:val="0"/>
          <w:numId w:val="1"/>
        </w:numPr>
        <w:tabs>
          <w:tab w:val="left" w:pos="425"/>
        </w:tabs>
        <w:spacing w:line="360" w:lineRule="auto"/>
        <w:contextualSpacing w:val="0"/>
        <w:jc w:val="both"/>
        <w:rPr>
          <w:rFonts w:ascii="David" w:hAnsi="David" w:cs="David"/>
        </w:rPr>
      </w:pPr>
      <w:r>
        <w:rPr>
          <w:rFonts w:ascii="David" w:hAnsi="David" w:cs="David" w:hint="cs"/>
          <w:rtl/>
        </w:rPr>
        <w:t>נקדים את המאוחר ונציין כי לטעמנו דינה של טענת הועדה המקומית להידחות. וביתר פירוט:</w:t>
      </w:r>
    </w:p>
    <w:p w:rsidR="007E5672" w:rsidRPr="007E5672" w:rsidRDefault="00DC0F12" w:rsidP="007E5672">
      <w:pPr>
        <w:pStyle w:val="a9"/>
        <w:numPr>
          <w:ilvl w:val="0"/>
          <w:numId w:val="1"/>
        </w:numPr>
        <w:tabs>
          <w:tab w:val="left" w:pos="425"/>
        </w:tabs>
        <w:spacing w:line="360" w:lineRule="auto"/>
        <w:contextualSpacing w:val="0"/>
        <w:jc w:val="both"/>
        <w:rPr>
          <w:rFonts w:ascii="David" w:hAnsi="David" w:cs="David"/>
        </w:rPr>
      </w:pPr>
      <w:r w:rsidRPr="007E5672">
        <w:rPr>
          <w:rFonts w:ascii="David" w:hAnsi="David" w:cs="David" w:hint="cs"/>
          <w:rtl/>
        </w:rPr>
        <w:t>בשומות המכריעות בהקשר לאמור נקבע כי "</w:t>
      </w:r>
      <w:r w:rsidRPr="007E5672">
        <w:rPr>
          <w:rFonts w:ascii="David" w:hAnsi="David" w:cs="David" w:hint="cs"/>
          <w:b/>
          <w:bCs/>
          <w:i/>
          <w:iCs/>
          <w:rtl/>
        </w:rPr>
        <w:t>בשווי המצב הקודם למדרגת ההשבחה דנן יכללו זכויות מכוח תכנית ההרחבות בהתחשב בגיל המבנה והאפשרות ההנדסית להרחבת הדירות כפי שנקטו שמאי הצדדים בשומתם</w:t>
      </w:r>
      <w:r w:rsidRPr="007E5672">
        <w:rPr>
          <w:rFonts w:ascii="David" w:hAnsi="David" w:cs="David" w:hint="cs"/>
          <w:i/>
          <w:iCs/>
          <w:rtl/>
        </w:rPr>
        <w:t xml:space="preserve">". </w:t>
      </w:r>
    </w:p>
    <w:p w:rsidR="006D0D7C" w:rsidRDefault="00DC0F12" w:rsidP="006D0D7C">
      <w:pPr>
        <w:pStyle w:val="a9"/>
        <w:numPr>
          <w:ilvl w:val="0"/>
          <w:numId w:val="1"/>
        </w:numPr>
        <w:tabs>
          <w:tab w:val="left" w:pos="425"/>
        </w:tabs>
        <w:spacing w:line="360" w:lineRule="auto"/>
        <w:contextualSpacing w:val="0"/>
        <w:jc w:val="both"/>
        <w:rPr>
          <w:rFonts w:ascii="David" w:hAnsi="David" w:cs="David"/>
        </w:rPr>
      </w:pPr>
      <w:r w:rsidRPr="007E5672">
        <w:rPr>
          <w:rFonts w:ascii="David" w:hAnsi="David" w:cs="David" w:hint="cs"/>
          <w:rtl/>
        </w:rPr>
        <w:t xml:space="preserve">גם שומות הצדדים לרבות שומת הועדה המקומית כללו את תכנית ההרחבות בי/319 כחלק ממצב קודם לתכנית בי/517. </w:t>
      </w:r>
    </w:p>
    <w:p w:rsidR="00DC0F12" w:rsidRPr="006D0D7C" w:rsidRDefault="00DC0F12" w:rsidP="006D0D7C">
      <w:pPr>
        <w:pStyle w:val="a9"/>
        <w:numPr>
          <w:ilvl w:val="0"/>
          <w:numId w:val="1"/>
        </w:numPr>
        <w:tabs>
          <w:tab w:val="left" w:pos="425"/>
        </w:tabs>
        <w:spacing w:line="360" w:lineRule="auto"/>
        <w:contextualSpacing w:val="0"/>
        <w:jc w:val="both"/>
        <w:rPr>
          <w:rFonts w:ascii="David" w:hAnsi="David" w:cs="David"/>
          <w:rtl/>
        </w:rPr>
      </w:pPr>
      <w:r w:rsidRPr="006D0D7C">
        <w:rPr>
          <w:rFonts w:ascii="David" w:hAnsi="David" w:cs="David" w:hint="cs"/>
          <w:rtl/>
        </w:rPr>
        <w:t>רק במסגרת תגובת לשומת החברה טען שמאי הועדה המקומית כי נפלה אצלו טעות, וכי יש לחייב בגין התכנית האמורה ולא לראותה כחלק ממצב קודם אליה התנגדה החברה, ובעניין זה קבעה השמאית המכריעה בעמ' 56 לשומותיה כי: "</w:t>
      </w:r>
      <w:r w:rsidRPr="006D0D7C">
        <w:rPr>
          <w:rFonts w:ascii="David" w:hAnsi="David" w:cs="David" w:hint="cs"/>
          <w:b/>
          <w:bCs/>
          <w:i/>
          <w:iCs/>
          <w:rtl/>
        </w:rPr>
        <w:t>מקבלת את טענת שמאי המבקשת לכך ששמאי המשיבה נהג באופן שאינו ראוי במסגרת ההליך שבנדון שכן אין זה סביר להעלות טענות חדשות במסגרת מסמכי ההשלמה כדוגמת דרישה לחייב הנישומים בהיטל השבחה מכוח תכניות נוספות שאינן נכללו כחלק ממסגרת החיוב בשומתו המקורית של שמאי המשיבה</w:t>
      </w:r>
      <w:r w:rsidRPr="006D0D7C">
        <w:rPr>
          <w:rFonts w:ascii="David" w:hAnsi="David" w:cs="David" w:hint="cs"/>
          <w:rtl/>
        </w:rPr>
        <w:t xml:space="preserve">". </w:t>
      </w:r>
    </w:p>
    <w:p w:rsidR="00DC0F12" w:rsidRDefault="00DC0F12" w:rsidP="006D0D7C">
      <w:pPr>
        <w:pStyle w:val="a9"/>
        <w:numPr>
          <w:ilvl w:val="0"/>
          <w:numId w:val="1"/>
        </w:numPr>
        <w:tabs>
          <w:tab w:val="left" w:pos="425"/>
        </w:tabs>
        <w:spacing w:line="360" w:lineRule="auto"/>
        <w:contextualSpacing w:val="0"/>
        <w:jc w:val="both"/>
        <w:rPr>
          <w:rFonts w:ascii="David" w:hAnsi="David" w:cs="David"/>
        </w:rPr>
      </w:pPr>
      <w:r>
        <w:rPr>
          <w:rFonts w:ascii="David" w:hAnsi="David" w:cs="David" w:hint="cs"/>
          <w:rtl/>
        </w:rPr>
        <w:t>כידוע סעיף 14 (ו) לתוספת השלישית לחוק שעניינו "תיקון שומה" קובע כדלקמן:</w:t>
      </w:r>
    </w:p>
    <w:p w:rsidR="00DC0F12" w:rsidRPr="00BC510E" w:rsidRDefault="00DC0F12" w:rsidP="006C64A1">
      <w:pPr>
        <w:pStyle w:val="a9"/>
        <w:spacing w:line="360" w:lineRule="auto"/>
        <w:ind w:left="992" w:right="1134"/>
        <w:contextualSpacing w:val="0"/>
        <w:jc w:val="both"/>
        <w:rPr>
          <w:rFonts w:ascii="David" w:hAnsi="David" w:cs="David"/>
          <w:b/>
          <w:bCs/>
        </w:rPr>
      </w:pPr>
      <w:r w:rsidRPr="00BC510E">
        <w:rPr>
          <w:rStyle w:val="default"/>
          <w:rFonts w:ascii="David" w:eastAsiaTheme="majorEastAsia" w:hAnsi="David" w:cs="David"/>
          <w:b/>
          <w:bCs/>
          <w:color w:val="000000"/>
          <w:rtl/>
        </w:rPr>
        <w:t xml:space="preserve">"הוועדה המקומית רשאית לשנות את השומה רק מנימוקים שעניינם </w:t>
      </w:r>
      <w:r w:rsidRPr="00BC510E">
        <w:rPr>
          <w:rStyle w:val="default"/>
          <w:rFonts w:ascii="David" w:eastAsiaTheme="majorEastAsia" w:hAnsi="David" w:cs="David"/>
          <w:b/>
          <w:bCs/>
          <w:color w:val="000000"/>
          <w:u w:val="single"/>
          <w:rtl/>
        </w:rPr>
        <w:t>טעות בפרטי המקרקעין</w:t>
      </w:r>
      <w:r w:rsidRPr="00BC510E">
        <w:rPr>
          <w:rStyle w:val="default"/>
          <w:rFonts w:ascii="David" w:eastAsiaTheme="majorEastAsia" w:hAnsi="David" w:cs="David"/>
          <w:b/>
          <w:bCs/>
          <w:color w:val="000000"/>
          <w:rtl/>
        </w:rPr>
        <w:t xml:space="preserve">, </w:t>
      </w:r>
      <w:r w:rsidRPr="00BC510E">
        <w:rPr>
          <w:rStyle w:val="default"/>
          <w:rFonts w:ascii="David" w:eastAsiaTheme="majorEastAsia" w:hAnsi="David" w:cs="David"/>
          <w:b/>
          <w:bCs/>
          <w:color w:val="000000"/>
          <w:u w:val="single"/>
          <w:rtl/>
        </w:rPr>
        <w:t>הנתונים הפיזיים של המקרקעין</w:t>
      </w:r>
      <w:r w:rsidRPr="00BC510E">
        <w:rPr>
          <w:rStyle w:val="default"/>
          <w:rFonts w:ascii="David" w:eastAsiaTheme="majorEastAsia" w:hAnsi="David" w:cs="David"/>
          <w:b/>
          <w:bCs/>
          <w:color w:val="000000"/>
          <w:rtl/>
        </w:rPr>
        <w:t xml:space="preserve">, </w:t>
      </w:r>
      <w:r w:rsidRPr="00BC510E">
        <w:rPr>
          <w:rStyle w:val="default"/>
          <w:rFonts w:ascii="David" w:eastAsiaTheme="majorEastAsia" w:hAnsi="David" w:cs="David"/>
          <w:b/>
          <w:bCs/>
          <w:color w:val="000000"/>
          <w:u w:val="thick"/>
          <w:rtl/>
        </w:rPr>
        <w:t>התכניות החלות על המקרקעין</w:t>
      </w:r>
      <w:r w:rsidRPr="00BC510E">
        <w:rPr>
          <w:rStyle w:val="default"/>
          <w:rFonts w:ascii="David" w:eastAsiaTheme="majorEastAsia" w:hAnsi="David" w:cs="David"/>
          <w:b/>
          <w:bCs/>
          <w:color w:val="000000"/>
          <w:rtl/>
        </w:rPr>
        <w:t xml:space="preserve"> או </w:t>
      </w:r>
      <w:r w:rsidRPr="00BC510E">
        <w:rPr>
          <w:rStyle w:val="default"/>
          <w:rFonts w:ascii="David" w:eastAsiaTheme="majorEastAsia" w:hAnsi="David" w:cs="David"/>
          <w:b/>
          <w:bCs/>
          <w:color w:val="000000"/>
          <w:u w:val="single"/>
          <w:rtl/>
        </w:rPr>
        <w:t>הזכויות שיש לחייב במקרקעין</w:t>
      </w:r>
      <w:r w:rsidRPr="00BC510E">
        <w:rPr>
          <w:rStyle w:val="default"/>
          <w:rFonts w:ascii="David" w:eastAsiaTheme="majorEastAsia" w:hAnsi="David" w:cs="David"/>
          <w:b/>
          <w:bCs/>
          <w:color w:val="000000"/>
          <w:rtl/>
        </w:rPr>
        <w:t>".</w:t>
      </w:r>
    </w:p>
    <w:p w:rsidR="00EF3FC6" w:rsidRDefault="00EF3FC6" w:rsidP="006D0D7C">
      <w:pPr>
        <w:pStyle w:val="a9"/>
        <w:numPr>
          <w:ilvl w:val="0"/>
          <w:numId w:val="1"/>
        </w:numPr>
        <w:tabs>
          <w:tab w:val="left" w:pos="425"/>
        </w:tabs>
        <w:spacing w:line="360" w:lineRule="auto"/>
        <w:contextualSpacing w:val="0"/>
        <w:jc w:val="both"/>
        <w:rPr>
          <w:rFonts w:ascii="David" w:hAnsi="David" w:cs="David"/>
        </w:rPr>
      </w:pPr>
      <w:r w:rsidRPr="00EF3FC6">
        <w:rPr>
          <w:rFonts w:ascii="David" w:hAnsi="David" w:cs="David" w:hint="cs"/>
          <w:rtl/>
        </w:rPr>
        <w:t>פרשנותו של סעיף  14 (</w:t>
      </w:r>
      <w:r w:rsidR="007E69B7">
        <w:rPr>
          <w:rFonts w:ascii="David" w:hAnsi="David" w:cs="David" w:hint="cs"/>
          <w:rtl/>
        </w:rPr>
        <w:t>ו</w:t>
      </w:r>
      <w:r w:rsidRPr="00EF3FC6">
        <w:rPr>
          <w:rFonts w:ascii="David" w:hAnsi="David" w:cs="David" w:hint="cs"/>
          <w:rtl/>
        </w:rPr>
        <w:t xml:space="preserve">) נדונה על ידי בית המשפט המחוזי בחיפה מפי כב' </w:t>
      </w:r>
      <w:proofErr w:type="spellStart"/>
      <w:r w:rsidRPr="00EF3FC6">
        <w:rPr>
          <w:rFonts w:ascii="David" w:hAnsi="David" w:cs="David" w:hint="cs"/>
          <w:rtl/>
        </w:rPr>
        <w:t>הש</w:t>
      </w:r>
      <w:proofErr w:type="spellEnd"/>
      <w:r w:rsidRPr="00EF3FC6">
        <w:rPr>
          <w:rFonts w:ascii="David" w:hAnsi="David" w:cs="David" w:hint="cs"/>
          <w:rtl/>
        </w:rPr>
        <w:t xml:space="preserve">' </w:t>
      </w:r>
      <w:proofErr w:type="spellStart"/>
      <w:r w:rsidRPr="00EF3FC6">
        <w:rPr>
          <w:rFonts w:ascii="David" w:hAnsi="David" w:cs="David" w:hint="cs"/>
          <w:rtl/>
        </w:rPr>
        <w:t>אברהים</w:t>
      </w:r>
      <w:proofErr w:type="spellEnd"/>
      <w:r w:rsidRPr="00EF3FC6">
        <w:rPr>
          <w:rFonts w:ascii="David" w:hAnsi="David" w:cs="David" w:hint="cs"/>
          <w:rtl/>
        </w:rPr>
        <w:t xml:space="preserve"> </w:t>
      </w:r>
      <w:proofErr w:type="spellStart"/>
      <w:r w:rsidRPr="00EF3FC6">
        <w:rPr>
          <w:rFonts w:ascii="David" w:hAnsi="David" w:cs="David" w:hint="cs"/>
          <w:rtl/>
        </w:rPr>
        <w:t>בולוס</w:t>
      </w:r>
      <w:proofErr w:type="spellEnd"/>
      <w:r w:rsidRPr="00EF3FC6">
        <w:rPr>
          <w:rFonts w:ascii="David" w:hAnsi="David" w:cs="David" w:hint="cs"/>
          <w:rtl/>
        </w:rPr>
        <w:t xml:space="preserve"> בפרשת בר יהודה </w:t>
      </w:r>
      <w:proofErr w:type="spellStart"/>
      <w:r w:rsidRPr="00EF3FC6">
        <w:rPr>
          <w:rFonts w:ascii="David" w:hAnsi="David" w:cs="David" w:hint="cs"/>
          <w:rtl/>
        </w:rPr>
        <w:t>עמ"נ</w:t>
      </w:r>
      <w:proofErr w:type="spellEnd"/>
      <w:r w:rsidRPr="00EF3FC6">
        <w:rPr>
          <w:rFonts w:ascii="David" w:hAnsi="David" w:cs="David" w:hint="cs"/>
          <w:rtl/>
        </w:rPr>
        <w:t xml:space="preserve"> 57165-09-22 </w:t>
      </w:r>
      <w:r w:rsidRPr="00EF3FC6">
        <w:rPr>
          <w:rFonts w:ascii="David" w:hAnsi="David" w:cs="David" w:hint="cs"/>
          <w:b/>
          <w:bCs/>
          <w:u w:val="single"/>
          <w:rtl/>
        </w:rPr>
        <w:t>אינג' בר יהודה בע"מ נ' הועדה המקומית לתכנון ולבניה יישובי הברון</w:t>
      </w:r>
      <w:r w:rsidRPr="00EF3FC6">
        <w:rPr>
          <w:rFonts w:ascii="David" w:hAnsi="David" w:cs="David" w:hint="cs"/>
          <w:rtl/>
        </w:rPr>
        <w:t xml:space="preserve"> (</w:t>
      </w:r>
      <w:r>
        <w:rPr>
          <w:rFonts w:ascii="David" w:hAnsi="David" w:cs="David" w:hint="cs"/>
          <w:rtl/>
        </w:rPr>
        <w:t xml:space="preserve">נבו 23.10.23) שם </w:t>
      </w:r>
      <w:r w:rsidR="00782B02">
        <w:rPr>
          <w:rFonts w:ascii="David" w:hAnsi="David" w:cs="David" w:hint="cs"/>
          <w:rtl/>
        </w:rPr>
        <w:t>הגיע בית המשפט למסקנה כי תיקון שומה מהווה רשימה סגורה שתכליתה לאפשר תיקון טכניים בלבד שלא מיועדת להתמודד עם טעויות שנפלו בעבודתו המקצועית של השמאי שערך את השומה המקורית וכך נדון ונקבע</w:t>
      </w:r>
      <w:r>
        <w:rPr>
          <w:rFonts w:ascii="David" w:hAnsi="David" w:cs="David" w:hint="cs"/>
          <w:rtl/>
        </w:rPr>
        <w:t>:</w:t>
      </w:r>
    </w:p>
    <w:p w:rsidR="00EF3FC6" w:rsidRPr="00A038F8" w:rsidRDefault="00EF3FC6" w:rsidP="006C64A1">
      <w:pPr>
        <w:pStyle w:val="a9"/>
        <w:spacing w:line="360" w:lineRule="auto"/>
        <w:ind w:left="992" w:right="851"/>
        <w:contextualSpacing w:val="0"/>
        <w:jc w:val="both"/>
        <w:rPr>
          <w:rFonts w:ascii="David" w:hAnsi="David" w:cs="David"/>
          <w:i/>
          <w:iCs/>
          <w:sz w:val="22"/>
          <w:szCs w:val="22"/>
          <w:rtl/>
        </w:rPr>
      </w:pPr>
      <w:r w:rsidRPr="00A038F8">
        <w:rPr>
          <w:rFonts w:ascii="David" w:hAnsi="David" w:cs="David"/>
          <w:i/>
          <w:iCs/>
          <w:sz w:val="22"/>
          <w:szCs w:val="22"/>
          <w:rtl/>
        </w:rPr>
        <w:t xml:space="preserve">"27. עוד טענה הוועדה המקומית, כי היא כן מוסמכת לתקן את השומה </w:t>
      </w:r>
      <w:proofErr w:type="spellStart"/>
      <w:r w:rsidRPr="00A038F8">
        <w:rPr>
          <w:rFonts w:ascii="David" w:hAnsi="David" w:cs="David"/>
          <w:i/>
          <w:iCs/>
          <w:sz w:val="22"/>
          <w:szCs w:val="22"/>
          <w:rtl/>
        </w:rPr>
        <w:t>מכח</w:t>
      </w:r>
      <w:proofErr w:type="spellEnd"/>
      <w:r w:rsidRPr="00A038F8">
        <w:rPr>
          <w:rFonts w:ascii="David" w:hAnsi="David" w:cs="David"/>
          <w:i/>
          <w:iCs/>
          <w:sz w:val="22"/>
          <w:szCs w:val="22"/>
          <w:rtl/>
        </w:rPr>
        <w:t xml:space="preserve"> סמכותה לפי </w:t>
      </w:r>
      <w:hyperlink r:id="rId23" w:history="1">
        <w:r w:rsidRPr="00A038F8">
          <w:rPr>
            <w:rStyle w:val="Hyperlink"/>
            <w:rFonts w:ascii="David" w:hAnsi="David" w:cs="David"/>
            <w:i/>
            <w:iCs/>
            <w:sz w:val="22"/>
            <w:szCs w:val="22"/>
            <w:rtl/>
          </w:rPr>
          <w:t>סע' 14(ו)</w:t>
        </w:r>
      </w:hyperlink>
      <w:r w:rsidRPr="00A038F8">
        <w:rPr>
          <w:rFonts w:ascii="David" w:hAnsi="David" w:cs="David"/>
          <w:i/>
          <w:iCs/>
          <w:sz w:val="22"/>
          <w:szCs w:val="22"/>
          <w:rtl/>
        </w:rPr>
        <w:t xml:space="preserve"> לתוספת השלישית...</w:t>
      </w:r>
    </w:p>
    <w:p w:rsidR="00EF3FC6" w:rsidRPr="00A038F8" w:rsidRDefault="00EF3FC6" w:rsidP="006C64A1">
      <w:pPr>
        <w:pStyle w:val="a9"/>
        <w:spacing w:line="360" w:lineRule="auto"/>
        <w:ind w:left="992" w:right="851"/>
        <w:contextualSpacing w:val="0"/>
        <w:jc w:val="both"/>
        <w:rPr>
          <w:rFonts w:ascii="David" w:hAnsi="David" w:cs="David"/>
          <w:i/>
          <w:iCs/>
          <w:sz w:val="22"/>
          <w:szCs w:val="22"/>
          <w:rtl/>
        </w:rPr>
      </w:pPr>
      <w:r w:rsidRPr="00A038F8">
        <w:rPr>
          <w:rFonts w:ascii="David" w:hAnsi="David" w:cs="David"/>
          <w:i/>
          <w:iCs/>
          <w:sz w:val="22"/>
          <w:szCs w:val="22"/>
          <w:rtl/>
        </w:rPr>
        <w:t xml:space="preserve">סמכות גם קיימת, כך נטען, לנוכח העובדה שבשומה המקורית אין התייחסות לכל הזכויות שהעניקה התוכנית המשביחה, כמו באשר לשטחי השירות, שטחי חניה והקשר התכנוני עם המגרש הדרומי, ומכאן נפל פגם בשומה זו ביחס  למצב התכנוני המצדיק תיקון. עוד סבורה הוועדה המקומית, כי היא רשאית להפעיל את סמכות התיקון מהטעם שבשומה המקורית לא נלקחו בחשבון מלוא הנתונים הפיזיים של המגרש הצפוני, כמו אלה הנגזרים מזכויות במגרשים סמוכים והקשר הפיסי בבנייה עם המגרש הדרומי. מה גם, כך נטען, כי התקיימות אחת החלופות הקבוע </w:t>
      </w:r>
      <w:proofErr w:type="spellStart"/>
      <w:r w:rsidRPr="00A038F8">
        <w:rPr>
          <w:rFonts w:ascii="David" w:hAnsi="David" w:cs="David"/>
          <w:i/>
          <w:iCs/>
          <w:sz w:val="22"/>
          <w:szCs w:val="22"/>
          <w:rtl/>
        </w:rPr>
        <w:t>בסע</w:t>
      </w:r>
      <w:proofErr w:type="spellEnd"/>
      <w:r w:rsidRPr="00A038F8">
        <w:rPr>
          <w:rFonts w:ascii="David" w:hAnsi="David" w:cs="David"/>
          <w:i/>
          <w:iCs/>
          <w:sz w:val="22"/>
          <w:szCs w:val="22"/>
          <w:rtl/>
        </w:rPr>
        <w:t>' 14(ו) ראוי כי תיבחן תחילה על-ידי שמאי מייעץ, שיעיין בשומות ויחליט האם קיים פגם המצדיק תיקון.</w:t>
      </w:r>
    </w:p>
    <w:p w:rsidR="00EF3FC6" w:rsidRPr="00A038F8" w:rsidRDefault="00EF3FC6" w:rsidP="006C64A1">
      <w:pPr>
        <w:pStyle w:val="a9"/>
        <w:spacing w:line="360" w:lineRule="auto"/>
        <w:ind w:left="992" w:right="851"/>
        <w:contextualSpacing w:val="0"/>
        <w:jc w:val="both"/>
        <w:rPr>
          <w:rFonts w:ascii="David" w:hAnsi="David" w:cs="David"/>
          <w:i/>
          <w:iCs/>
          <w:sz w:val="22"/>
          <w:szCs w:val="22"/>
          <w:rtl/>
        </w:rPr>
      </w:pPr>
      <w:r w:rsidRPr="00A038F8">
        <w:rPr>
          <w:rFonts w:ascii="David" w:hAnsi="David" w:cs="David"/>
          <w:i/>
          <w:iCs/>
          <w:sz w:val="22"/>
          <w:szCs w:val="22"/>
          <w:rtl/>
        </w:rPr>
        <w:t xml:space="preserve">הוועדה המקומית הוסיפה, כי היא מוסמכת לתקון את השומה שנפל בה פגם חמור </w:t>
      </w:r>
      <w:proofErr w:type="spellStart"/>
      <w:r w:rsidRPr="00A038F8">
        <w:rPr>
          <w:rFonts w:ascii="David" w:hAnsi="David" w:cs="David"/>
          <w:i/>
          <w:iCs/>
          <w:sz w:val="22"/>
          <w:szCs w:val="22"/>
          <w:rtl/>
        </w:rPr>
        <w:t>מכח</w:t>
      </w:r>
      <w:proofErr w:type="spellEnd"/>
      <w:r w:rsidRPr="00A038F8">
        <w:rPr>
          <w:rFonts w:ascii="David" w:hAnsi="David" w:cs="David"/>
          <w:i/>
          <w:iCs/>
          <w:sz w:val="22"/>
          <w:szCs w:val="22"/>
          <w:rtl/>
        </w:rPr>
        <w:t xml:space="preserve"> העיקרון של גביית מס אמת, עיקרון הוודאות ואף הצדק החלוקתי. </w:t>
      </w:r>
      <w:proofErr w:type="spellStart"/>
      <w:r w:rsidRPr="00A038F8">
        <w:rPr>
          <w:rFonts w:ascii="David" w:hAnsi="David" w:cs="David"/>
          <w:i/>
          <w:iCs/>
          <w:sz w:val="22"/>
          <w:szCs w:val="22"/>
          <w:rtl/>
        </w:rPr>
        <w:t>מכח</w:t>
      </w:r>
      <w:proofErr w:type="spellEnd"/>
      <w:r w:rsidRPr="00A038F8">
        <w:rPr>
          <w:rFonts w:ascii="David" w:hAnsi="David" w:cs="David"/>
          <w:i/>
          <w:iCs/>
          <w:sz w:val="22"/>
          <w:szCs w:val="22"/>
          <w:rtl/>
        </w:rPr>
        <w:t xml:space="preserve"> עיקרון זה, נתונה לוועדה הזכות לתקון השומה המקורית גם אם המקרה לא נמנה על החלופות שקיבלו ביטוי </w:t>
      </w:r>
      <w:hyperlink r:id="rId24" w:history="1">
        <w:proofErr w:type="spellStart"/>
        <w:r w:rsidRPr="00A038F8">
          <w:rPr>
            <w:rStyle w:val="Hyperlink"/>
            <w:rFonts w:ascii="David" w:hAnsi="David" w:cs="David"/>
            <w:i/>
            <w:iCs/>
            <w:sz w:val="22"/>
            <w:szCs w:val="22"/>
            <w:rtl/>
          </w:rPr>
          <w:t>בסע</w:t>
        </w:r>
        <w:proofErr w:type="spellEnd"/>
        <w:r w:rsidRPr="00A038F8">
          <w:rPr>
            <w:rStyle w:val="Hyperlink"/>
            <w:rFonts w:ascii="David" w:hAnsi="David" w:cs="David"/>
            <w:i/>
            <w:iCs/>
            <w:sz w:val="22"/>
            <w:szCs w:val="22"/>
            <w:rtl/>
          </w:rPr>
          <w:t>' 14(ו)</w:t>
        </w:r>
      </w:hyperlink>
      <w:r w:rsidRPr="00A038F8">
        <w:rPr>
          <w:rFonts w:ascii="David" w:hAnsi="David" w:cs="David"/>
          <w:i/>
          <w:iCs/>
          <w:sz w:val="22"/>
          <w:szCs w:val="22"/>
          <w:rtl/>
        </w:rPr>
        <w:t xml:space="preserve"> לתוספת השלישית.</w:t>
      </w:r>
    </w:p>
    <w:p w:rsidR="00EF3FC6" w:rsidRPr="00A038F8" w:rsidRDefault="00EF3FC6" w:rsidP="006C64A1">
      <w:pPr>
        <w:pStyle w:val="a9"/>
        <w:spacing w:line="360" w:lineRule="auto"/>
        <w:ind w:left="992" w:right="851"/>
        <w:contextualSpacing w:val="0"/>
        <w:jc w:val="both"/>
        <w:rPr>
          <w:rFonts w:ascii="David" w:hAnsi="David" w:cs="David"/>
          <w:i/>
          <w:iCs/>
          <w:sz w:val="22"/>
          <w:szCs w:val="22"/>
          <w:rtl/>
        </w:rPr>
      </w:pPr>
      <w:r w:rsidRPr="00A038F8">
        <w:rPr>
          <w:rFonts w:ascii="David" w:hAnsi="David" w:cs="David"/>
          <w:i/>
          <w:iCs/>
          <w:sz w:val="22"/>
          <w:szCs w:val="22"/>
          <w:rtl/>
        </w:rPr>
        <w:t>...</w:t>
      </w:r>
    </w:p>
    <w:p w:rsidR="00EF3FC6" w:rsidRPr="00A038F8" w:rsidRDefault="00EF3FC6" w:rsidP="006C64A1">
      <w:pPr>
        <w:spacing w:before="120" w:line="360" w:lineRule="auto"/>
        <w:ind w:left="992" w:right="851"/>
        <w:jc w:val="both"/>
        <w:rPr>
          <w:rFonts w:ascii="David" w:hAnsi="David" w:cs="David"/>
          <w:i/>
          <w:iCs/>
          <w:sz w:val="22"/>
          <w:szCs w:val="22"/>
          <w:u w:val="single"/>
          <w:rtl/>
        </w:rPr>
      </w:pPr>
      <w:r w:rsidRPr="00A038F8">
        <w:rPr>
          <w:rFonts w:ascii="David" w:hAnsi="David" w:cs="David"/>
          <w:i/>
          <w:iCs/>
          <w:sz w:val="22"/>
          <w:szCs w:val="22"/>
          <w:u w:val="single"/>
          <w:rtl/>
        </w:rPr>
        <w:t>דיון והכרעה</w:t>
      </w:r>
    </w:p>
    <w:p w:rsidR="00EF3FC6" w:rsidRPr="00A038F8" w:rsidRDefault="00EF3FC6" w:rsidP="006C64A1">
      <w:pPr>
        <w:spacing w:before="120" w:line="360" w:lineRule="auto"/>
        <w:ind w:left="992" w:right="851"/>
        <w:jc w:val="both"/>
        <w:rPr>
          <w:rFonts w:ascii="David" w:hAnsi="David" w:cs="David"/>
          <w:i/>
          <w:iCs/>
          <w:sz w:val="22"/>
          <w:szCs w:val="22"/>
          <w:u w:val="single"/>
          <w:rtl/>
        </w:rPr>
      </w:pPr>
    </w:p>
    <w:p w:rsidR="00EF3FC6" w:rsidRPr="00A038F8" w:rsidRDefault="00EF3FC6" w:rsidP="006C64A1">
      <w:pPr>
        <w:spacing w:before="120" w:line="360" w:lineRule="auto"/>
        <w:ind w:left="992" w:right="851"/>
        <w:jc w:val="both"/>
        <w:rPr>
          <w:rFonts w:ascii="David" w:hAnsi="David" w:cs="David"/>
          <w:i/>
          <w:iCs/>
          <w:sz w:val="22"/>
          <w:szCs w:val="22"/>
          <w:rtl/>
        </w:rPr>
      </w:pPr>
      <w:r w:rsidRPr="00A038F8">
        <w:rPr>
          <w:rFonts w:ascii="David" w:hAnsi="David" w:cs="David"/>
          <w:i/>
          <w:iCs/>
          <w:sz w:val="22"/>
          <w:szCs w:val="22"/>
          <w:rtl/>
        </w:rPr>
        <w:t>29.</w:t>
      </w:r>
      <w:r w:rsidRPr="00A038F8">
        <w:rPr>
          <w:rFonts w:ascii="David" w:hAnsi="David" w:cs="David"/>
          <w:i/>
          <w:iCs/>
          <w:sz w:val="22"/>
          <w:szCs w:val="22"/>
          <w:rtl/>
        </w:rPr>
        <w:tab/>
        <w:t xml:space="preserve">בניגוד לדעתה של הוועדה המקומית העיקרון של תשלום מס אמת על אף חשיבותו לא מקנה לה סמכות גורפת לתיקונה של שומה. גם בהתעלם מהמתווה שקיבל ביטוי </w:t>
      </w:r>
      <w:hyperlink r:id="rId25" w:history="1">
        <w:proofErr w:type="spellStart"/>
        <w:r w:rsidRPr="00A038F8">
          <w:rPr>
            <w:rStyle w:val="Hyperlink"/>
            <w:rFonts w:ascii="David" w:hAnsi="David" w:cs="David"/>
            <w:i/>
            <w:iCs/>
            <w:sz w:val="22"/>
            <w:szCs w:val="22"/>
            <w:rtl/>
          </w:rPr>
          <w:t>בסע</w:t>
        </w:r>
        <w:proofErr w:type="spellEnd"/>
        <w:r w:rsidRPr="00A038F8">
          <w:rPr>
            <w:rStyle w:val="Hyperlink"/>
            <w:rFonts w:ascii="David" w:hAnsi="David" w:cs="David"/>
            <w:i/>
            <w:iCs/>
            <w:sz w:val="22"/>
            <w:szCs w:val="22"/>
            <w:rtl/>
          </w:rPr>
          <w:t>' 14(ו)</w:t>
        </w:r>
      </w:hyperlink>
      <w:r w:rsidRPr="00A038F8">
        <w:rPr>
          <w:rFonts w:ascii="David" w:hAnsi="David" w:cs="David"/>
          <w:i/>
          <w:iCs/>
          <w:sz w:val="22"/>
          <w:szCs w:val="22"/>
          <w:rtl/>
        </w:rPr>
        <w:t xml:space="preserve"> לתוספת השלישית הרי סמכות התיקון הכללית הנתונה בידי הרשות לא משוחררת מכל מגבלה:</w:t>
      </w:r>
    </w:p>
    <w:p w:rsidR="00EF3FC6" w:rsidRPr="00A038F8" w:rsidRDefault="00EF3FC6" w:rsidP="006C64A1">
      <w:pPr>
        <w:spacing w:before="120" w:line="360" w:lineRule="auto"/>
        <w:ind w:left="1134" w:right="851"/>
        <w:jc w:val="both"/>
        <w:rPr>
          <w:rFonts w:ascii="David" w:hAnsi="David" w:cs="David"/>
          <w:i/>
          <w:iCs/>
          <w:sz w:val="22"/>
          <w:szCs w:val="22"/>
          <w:rtl/>
        </w:rPr>
      </w:pPr>
      <w:r w:rsidRPr="00A038F8">
        <w:rPr>
          <w:rFonts w:ascii="David" w:hAnsi="David" w:cs="David"/>
          <w:i/>
          <w:iCs/>
          <w:sz w:val="22"/>
          <w:szCs w:val="22"/>
          <w:rtl/>
        </w:rPr>
        <w:t>"</w:t>
      </w:r>
      <w:r w:rsidRPr="00A038F8">
        <w:rPr>
          <w:rFonts w:ascii="David" w:hAnsi="David" w:cs="David"/>
          <w:b/>
          <w:bCs/>
          <w:i/>
          <w:iCs/>
          <w:sz w:val="22"/>
          <w:szCs w:val="22"/>
          <w:rtl/>
        </w:rPr>
        <w:t xml:space="preserve">רשות מקומית השוקלת לשנות באופן רטרואקטיבי את חיובי הארנונה חייבת להביא בחשבון, לצד האינטרס הציבורי בגביית מס אמת, גם את האינטרס של הפרט. עם השיקולים שיבואו בחשבון בקבלת ההחלטה ניתן למנות את משך הזמן שלגביו מבוצעת התחולה הרטרואקטיבית, מידת ההסתמכות מצד האזרח ומידת היעילות והצדק שבחיוב למפרע. חשיבות לא מבוטלת נודעת גם לשאלה אם קיימת כיום אפשרות לברר את העובדות </w:t>
      </w:r>
      <w:proofErr w:type="spellStart"/>
      <w:r w:rsidRPr="00A038F8">
        <w:rPr>
          <w:rFonts w:ascii="David" w:hAnsi="David" w:cs="David"/>
          <w:b/>
          <w:bCs/>
          <w:i/>
          <w:iCs/>
          <w:sz w:val="22"/>
          <w:szCs w:val="22"/>
          <w:rtl/>
        </w:rPr>
        <w:t>לאשורן</w:t>
      </w:r>
      <w:proofErr w:type="spellEnd"/>
      <w:r w:rsidRPr="00A038F8">
        <w:rPr>
          <w:rFonts w:ascii="David" w:hAnsi="David" w:cs="David"/>
          <w:b/>
          <w:bCs/>
          <w:i/>
          <w:iCs/>
          <w:sz w:val="22"/>
          <w:szCs w:val="22"/>
          <w:rtl/>
        </w:rPr>
        <w:t xml:space="preserve"> ואם הטעות נגרמה בשל הטעיה מצד האזרח. לדעתי, ככלל, רק במקרים מיוחדים יש הצדקה לערוך שינוי רטרואקטיבי של חיוב ארנונה. מן הראוי ששומת הארנונה תהיה קבועה ויציבה בהקדם האפשרי</w:t>
      </w:r>
      <w:r w:rsidRPr="00A038F8">
        <w:rPr>
          <w:rFonts w:ascii="David" w:hAnsi="David" w:cs="David"/>
          <w:i/>
          <w:iCs/>
          <w:sz w:val="22"/>
          <w:szCs w:val="22"/>
          <w:rtl/>
        </w:rPr>
        <w:t>"</w:t>
      </w:r>
      <w:r w:rsidRPr="00A038F8">
        <w:rPr>
          <w:rFonts w:ascii="David" w:eastAsia="Calibri" w:hAnsi="David" w:cs="David"/>
          <w:i/>
          <w:iCs/>
          <w:sz w:val="22"/>
          <w:szCs w:val="22"/>
          <w:rtl/>
        </w:rPr>
        <w:t xml:space="preserve"> </w:t>
      </w:r>
      <w:r w:rsidRPr="00A038F8">
        <w:rPr>
          <w:rFonts w:ascii="David" w:hAnsi="David" w:cs="David"/>
          <w:i/>
          <w:iCs/>
          <w:sz w:val="22"/>
          <w:szCs w:val="22"/>
          <w:rtl/>
        </w:rPr>
        <w:t>(</w:t>
      </w:r>
      <w:hyperlink r:id="rId26" w:history="1">
        <w:r w:rsidRPr="00A038F8">
          <w:rPr>
            <w:rFonts w:ascii="David" w:hAnsi="David" w:cs="David"/>
            <w:i/>
            <w:iCs/>
            <w:color w:val="0000FF"/>
            <w:sz w:val="22"/>
            <w:szCs w:val="22"/>
            <w:u w:val="single"/>
            <w:rtl/>
          </w:rPr>
          <w:t>ע"א 4452/00</w:t>
        </w:r>
      </w:hyperlink>
      <w:r w:rsidRPr="00A038F8">
        <w:rPr>
          <w:rFonts w:ascii="David" w:hAnsi="David" w:cs="David"/>
          <w:i/>
          <w:iCs/>
          <w:sz w:val="22"/>
          <w:szCs w:val="22"/>
          <w:rtl/>
        </w:rPr>
        <w:t xml:space="preserve"> </w:t>
      </w:r>
      <w:r w:rsidRPr="00A038F8">
        <w:rPr>
          <w:rFonts w:ascii="David" w:hAnsi="David" w:cs="David"/>
          <w:b/>
          <w:bCs/>
          <w:i/>
          <w:iCs/>
          <w:sz w:val="22"/>
          <w:szCs w:val="22"/>
          <w:rtl/>
        </w:rPr>
        <w:t>ט.ט. טכנולוגיה מתקדמת בע"מ נ' עיריית טירת הכרמל</w:t>
      </w:r>
      <w:r w:rsidRPr="00A038F8">
        <w:rPr>
          <w:rFonts w:ascii="David" w:hAnsi="David" w:cs="David"/>
          <w:i/>
          <w:iCs/>
          <w:sz w:val="22"/>
          <w:szCs w:val="22"/>
          <w:rtl/>
        </w:rPr>
        <w:t xml:space="preserve">, פסקה 22 לפס"ד כב' השופט </w:t>
      </w:r>
      <w:proofErr w:type="spellStart"/>
      <w:r w:rsidRPr="00A038F8">
        <w:rPr>
          <w:rFonts w:ascii="David" w:hAnsi="David" w:cs="David"/>
          <w:i/>
          <w:iCs/>
          <w:sz w:val="22"/>
          <w:szCs w:val="22"/>
          <w:rtl/>
        </w:rPr>
        <w:t>אינגלרד</w:t>
      </w:r>
      <w:proofErr w:type="spellEnd"/>
      <w:r w:rsidRPr="00A038F8">
        <w:rPr>
          <w:rFonts w:ascii="David" w:hAnsi="David" w:cs="David"/>
          <w:i/>
          <w:iCs/>
          <w:sz w:val="22"/>
          <w:szCs w:val="22"/>
          <w:rtl/>
        </w:rPr>
        <w:t xml:space="preserve"> נו(2) 773 (2002)); ראו גם : </w:t>
      </w:r>
      <w:hyperlink r:id="rId27" w:history="1">
        <w:proofErr w:type="spellStart"/>
        <w:r w:rsidRPr="00A038F8">
          <w:rPr>
            <w:rFonts w:ascii="David" w:hAnsi="David" w:cs="David"/>
            <w:i/>
            <w:iCs/>
            <w:color w:val="0000FF"/>
            <w:sz w:val="22"/>
            <w:szCs w:val="22"/>
            <w:u w:val="single"/>
            <w:rtl/>
          </w:rPr>
          <w:t>עע"מ</w:t>
        </w:r>
        <w:proofErr w:type="spellEnd"/>
        <w:r w:rsidRPr="00A038F8">
          <w:rPr>
            <w:rFonts w:ascii="David" w:hAnsi="David" w:cs="David"/>
            <w:i/>
            <w:iCs/>
            <w:color w:val="0000FF"/>
            <w:sz w:val="22"/>
            <w:szCs w:val="22"/>
            <w:u w:val="single"/>
            <w:rtl/>
          </w:rPr>
          <w:t xml:space="preserve"> 1164/04</w:t>
        </w:r>
      </w:hyperlink>
      <w:r w:rsidRPr="00A038F8">
        <w:rPr>
          <w:rFonts w:ascii="David" w:hAnsi="David" w:cs="David"/>
          <w:i/>
          <w:iCs/>
          <w:sz w:val="22"/>
          <w:szCs w:val="22"/>
          <w:rtl/>
        </w:rPr>
        <w:t xml:space="preserve"> </w:t>
      </w:r>
      <w:r w:rsidRPr="00A038F8">
        <w:rPr>
          <w:rFonts w:ascii="David" w:hAnsi="David" w:cs="David"/>
          <w:b/>
          <w:bCs/>
          <w:i/>
          <w:iCs/>
          <w:sz w:val="22"/>
          <w:szCs w:val="22"/>
          <w:rtl/>
        </w:rPr>
        <w:t>עיריית הרצליה נ' דניאל יצחקי</w:t>
      </w:r>
      <w:r w:rsidRPr="00A038F8">
        <w:rPr>
          <w:rFonts w:ascii="David" w:hAnsi="David" w:cs="David"/>
          <w:i/>
          <w:iCs/>
          <w:sz w:val="22"/>
          <w:szCs w:val="22"/>
          <w:rtl/>
        </w:rPr>
        <w:t>, פסקה 8 לחו"ד כב' השופט ארבל [פורסם בנבו] (5.12.06)).</w:t>
      </w:r>
    </w:p>
    <w:p w:rsidR="00EF3FC6" w:rsidRPr="00A038F8" w:rsidRDefault="00EF3FC6" w:rsidP="006C64A1">
      <w:pPr>
        <w:spacing w:before="120" w:line="360" w:lineRule="auto"/>
        <w:ind w:left="992" w:right="851"/>
        <w:jc w:val="both"/>
        <w:rPr>
          <w:rFonts w:ascii="David" w:hAnsi="David" w:cs="David"/>
          <w:i/>
          <w:iCs/>
          <w:sz w:val="22"/>
          <w:szCs w:val="22"/>
          <w:rtl/>
        </w:rPr>
      </w:pPr>
      <w:r w:rsidRPr="00A038F8">
        <w:rPr>
          <w:rFonts w:ascii="David" w:hAnsi="David" w:cs="David"/>
          <w:i/>
          <w:iCs/>
          <w:sz w:val="22"/>
          <w:szCs w:val="22"/>
          <w:rtl/>
        </w:rPr>
        <w:t>30.</w:t>
      </w:r>
      <w:r w:rsidRPr="00A038F8">
        <w:rPr>
          <w:rFonts w:ascii="David" w:hAnsi="David" w:cs="David"/>
          <w:i/>
          <w:iCs/>
          <w:sz w:val="22"/>
          <w:szCs w:val="22"/>
          <w:rtl/>
        </w:rPr>
        <w:tab/>
        <w:t xml:space="preserve"> הדבר נכון ביתר שאת שעה שקיים הסדר ספציפי בחוק שמתווה את גבולות סמכותה של הרשות לתיקון החלטתה, כפי ענייננו. במצב דברים זה כאשר עסקינן בהסדר ממצה שתכליתו  לא מתיישבת עם הסמכות הכללית לשנות החלטה מנהלית, נכון לכבד את רצון המחוקק ולבכר מתווה זה על סמכותה הכללית של רשות לתיקון טעות שנפלה בהחלטתה (</w:t>
      </w:r>
      <w:r w:rsidRPr="00A038F8">
        <w:rPr>
          <w:rFonts w:ascii="David" w:hAnsi="David" w:cs="David"/>
          <w:b/>
          <w:bCs/>
          <w:i/>
          <w:iCs/>
          <w:sz w:val="22"/>
          <w:szCs w:val="22"/>
          <w:rtl/>
        </w:rPr>
        <w:t xml:space="preserve">דפנה ברק-ארז, </w:t>
      </w:r>
      <w:hyperlink r:id="rId28" w:history="1">
        <w:r w:rsidRPr="00A038F8">
          <w:rPr>
            <w:rFonts w:ascii="David" w:hAnsi="David" w:cs="David"/>
            <w:b/>
            <w:bCs/>
            <w:i/>
            <w:iCs/>
            <w:color w:val="0000FF"/>
            <w:sz w:val="22"/>
            <w:szCs w:val="22"/>
            <w:u w:val="single"/>
            <w:rtl/>
          </w:rPr>
          <w:t xml:space="preserve">משפט </w:t>
        </w:r>
        <w:proofErr w:type="spellStart"/>
        <w:r w:rsidRPr="00A038F8">
          <w:rPr>
            <w:rFonts w:ascii="David" w:hAnsi="David" w:cs="David"/>
            <w:b/>
            <w:bCs/>
            <w:i/>
            <w:iCs/>
            <w:color w:val="0000FF"/>
            <w:sz w:val="22"/>
            <w:szCs w:val="22"/>
            <w:u w:val="single"/>
            <w:rtl/>
          </w:rPr>
          <w:t>מינהלי</w:t>
        </w:r>
        <w:proofErr w:type="spellEnd"/>
      </w:hyperlink>
      <w:r w:rsidRPr="00A038F8">
        <w:rPr>
          <w:rFonts w:ascii="David" w:hAnsi="David" w:cs="David"/>
          <w:i/>
          <w:iCs/>
          <w:sz w:val="22"/>
          <w:szCs w:val="22"/>
          <w:rtl/>
        </w:rPr>
        <w:t xml:space="preserve"> (כרך א, 2010), עמ' 375-376)).</w:t>
      </w:r>
    </w:p>
    <w:p w:rsidR="00EF3FC6" w:rsidRPr="00A038F8" w:rsidRDefault="00EF3FC6" w:rsidP="006C64A1">
      <w:pPr>
        <w:spacing w:before="120" w:line="360" w:lineRule="auto"/>
        <w:ind w:left="992" w:right="851"/>
        <w:jc w:val="both"/>
        <w:rPr>
          <w:rFonts w:ascii="David" w:hAnsi="David" w:cs="David"/>
          <w:i/>
          <w:iCs/>
          <w:sz w:val="22"/>
          <w:szCs w:val="22"/>
        </w:rPr>
      </w:pPr>
      <w:r w:rsidRPr="00A038F8">
        <w:rPr>
          <w:rFonts w:ascii="David" w:hAnsi="David" w:cs="David"/>
          <w:i/>
          <w:iCs/>
          <w:sz w:val="22"/>
          <w:szCs w:val="22"/>
          <w:rtl/>
        </w:rPr>
        <w:t>31.</w:t>
      </w:r>
      <w:r w:rsidRPr="00A038F8">
        <w:rPr>
          <w:rFonts w:ascii="David" w:hAnsi="David" w:cs="David"/>
          <w:i/>
          <w:iCs/>
          <w:sz w:val="22"/>
          <w:szCs w:val="22"/>
          <w:rtl/>
        </w:rPr>
        <w:tab/>
        <w:t xml:space="preserve">ולעניין פרשנות ויישום </w:t>
      </w:r>
      <w:hyperlink r:id="rId29" w:history="1">
        <w:r w:rsidRPr="00A038F8">
          <w:rPr>
            <w:rStyle w:val="Hyperlink"/>
            <w:rFonts w:ascii="David" w:hAnsi="David" w:cs="David"/>
            <w:i/>
            <w:iCs/>
            <w:sz w:val="22"/>
            <w:szCs w:val="22"/>
            <w:rtl/>
          </w:rPr>
          <w:t>סע' 14(ו)</w:t>
        </w:r>
      </w:hyperlink>
      <w:r w:rsidRPr="00A038F8">
        <w:rPr>
          <w:rFonts w:ascii="David" w:hAnsi="David" w:cs="David"/>
          <w:i/>
          <w:iCs/>
          <w:sz w:val="22"/>
          <w:szCs w:val="22"/>
          <w:rtl/>
        </w:rPr>
        <w:t xml:space="preserve"> לתוספת השלישית, נקבע בזו הלשון: </w:t>
      </w:r>
    </w:p>
    <w:p w:rsidR="00EF3FC6" w:rsidRPr="00A038F8" w:rsidRDefault="00EF3FC6" w:rsidP="006C64A1">
      <w:pPr>
        <w:spacing w:before="120" w:line="360" w:lineRule="auto"/>
        <w:ind w:left="992" w:right="851"/>
        <w:jc w:val="both"/>
        <w:rPr>
          <w:rFonts w:ascii="David" w:hAnsi="David" w:cs="David"/>
          <w:i/>
          <w:iCs/>
          <w:sz w:val="22"/>
          <w:szCs w:val="22"/>
          <w:rtl/>
        </w:rPr>
      </w:pPr>
      <w:r w:rsidRPr="00A038F8">
        <w:rPr>
          <w:rFonts w:ascii="David" w:hAnsi="David" w:cs="David"/>
          <w:i/>
          <w:iCs/>
          <w:sz w:val="22"/>
          <w:szCs w:val="22"/>
          <w:rtl/>
        </w:rPr>
        <w:t>"</w:t>
      </w:r>
      <w:r w:rsidRPr="00A038F8">
        <w:rPr>
          <w:rFonts w:ascii="David" w:hAnsi="David" w:cs="David"/>
          <w:b/>
          <w:bCs/>
          <w:i/>
          <w:iCs/>
          <w:sz w:val="22"/>
          <w:szCs w:val="22"/>
          <w:rtl/>
        </w:rPr>
        <w:t>במאמר מוסגר יצוין כי כיום, לאחר תיקון מס' 84 לחוק, ההסדר המאפשר לוועדה המקומית לתקן שומה קבוע בסעיף 14(ו)</w:t>
      </w:r>
      <w:r w:rsidRPr="00A038F8">
        <w:rPr>
          <w:rFonts w:ascii="David" w:hAnsi="David" w:cs="David"/>
          <w:b/>
          <w:bCs/>
          <w:i/>
          <w:iCs/>
          <w:sz w:val="22"/>
          <w:szCs w:val="22"/>
        </w:rPr>
        <w:t xml:space="preserve"> </w:t>
      </w:r>
      <w:r w:rsidRPr="00A038F8">
        <w:rPr>
          <w:rFonts w:ascii="David" w:hAnsi="David" w:cs="David"/>
          <w:b/>
          <w:bCs/>
          <w:i/>
          <w:iCs/>
          <w:sz w:val="22"/>
          <w:szCs w:val="22"/>
          <w:rtl/>
        </w:rPr>
        <w:t xml:space="preserve">לתוספת השלישית, וקובע כי "הוועדה המקומית רשאית לשנות את השומה רק מנימוקים שעניינם טעות בפרטי המקרקעין, הנתונים הפיזיים של המקרקעין, התכניות החלות על המקרקעין או הזכויות שיש לחייב במקרקעין". סעיף זה נועד להגביל את סמכות התיקון לעילות טכניות באופיין, כאלה שאינן קשורות לעבודתו המקצועית של השמאי (ראו דבריו של עו"ד תומר </w:t>
      </w:r>
      <w:proofErr w:type="spellStart"/>
      <w:r w:rsidRPr="00A038F8">
        <w:rPr>
          <w:rFonts w:ascii="David" w:hAnsi="David" w:cs="David"/>
          <w:b/>
          <w:bCs/>
          <w:i/>
          <w:iCs/>
          <w:sz w:val="22"/>
          <w:szCs w:val="22"/>
          <w:rtl/>
        </w:rPr>
        <w:t>רוזנר</w:t>
      </w:r>
      <w:proofErr w:type="spellEnd"/>
      <w:r w:rsidRPr="00A038F8">
        <w:rPr>
          <w:rFonts w:ascii="David" w:hAnsi="David" w:cs="David"/>
          <w:b/>
          <w:bCs/>
          <w:i/>
          <w:iCs/>
          <w:sz w:val="22"/>
          <w:szCs w:val="22"/>
          <w:rtl/>
        </w:rPr>
        <w:t>, היועץ המשפטי של ועדת הפנים והגנת הסביבה של הכנסת, ודבריה של עו"ד שרית דנה, המשנה ליועץ המשפטי לממשלה (אזרחי), בדיון בהכנת תיקון מס' 84 לקריאה שנייה ושלישית</w:t>
      </w:r>
      <w:r w:rsidRPr="00A038F8">
        <w:rPr>
          <w:rFonts w:ascii="David" w:hAnsi="David" w:cs="David"/>
          <w:b/>
          <w:bCs/>
          <w:i/>
          <w:iCs/>
          <w:sz w:val="22"/>
          <w:szCs w:val="22"/>
        </w:rPr>
        <w:t xml:space="preserve">, </w:t>
      </w:r>
      <w:r w:rsidRPr="00A038F8">
        <w:rPr>
          <w:rFonts w:ascii="David" w:hAnsi="David" w:cs="David"/>
          <w:b/>
          <w:bCs/>
          <w:i/>
          <w:iCs/>
          <w:sz w:val="22"/>
          <w:szCs w:val="22"/>
          <w:rtl/>
        </w:rPr>
        <w:t>פרוטוקול ישיבה מס' 385 של ועדת הפנים והגנת הסביבה, הכנסת ה-17</w:t>
      </w:r>
      <w:r w:rsidRPr="00A038F8">
        <w:rPr>
          <w:rFonts w:ascii="David" w:hAnsi="David" w:cs="David"/>
          <w:b/>
          <w:bCs/>
          <w:i/>
          <w:iCs/>
          <w:sz w:val="22"/>
          <w:szCs w:val="22"/>
        </w:rPr>
        <w:t xml:space="preserve">, 36 (24.6.2008); </w:t>
      </w:r>
      <w:r w:rsidRPr="00A038F8">
        <w:rPr>
          <w:rFonts w:ascii="David" w:hAnsi="David" w:cs="David"/>
          <w:b/>
          <w:bCs/>
          <w:i/>
          <w:iCs/>
          <w:sz w:val="22"/>
          <w:szCs w:val="22"/>
          <w:rtl/>
        </w:rPr>
        <w:t xml:space="preserve">ראו גם </w:t>
      </w:r>
      <w:proofErr w:type="spellStart"/>
      <w:r w:rsidRPr="00A038F8">
        <w:rPr>
          <w:rFonts w:ascii="David" w:hAnsi="David" w:cs="David"/>
          <w:b/>
          <w:bCs/>
          <w:i/>
          <w:iCs/>
          <w:sz w:val="22"/>
          <w:szCs w:val="22"/>
          <w:rtl/>
        </w:rPr>
        <w:t>נמדר</w:t>
      </w:r>
      <w:proofErr w:type="spellEnd"/>
      <w:r w:rsidRPr="00A038F8">
        <w:rPr>
          <w:rFonts w:ascii="David" w:hAnsi="David" w:cs="David"/>
          <w:b/>
          <w:bCs/>
          <w:i/>
          <w:iCs/>
          <w:sz w:val="22"/>
          <w:szCs w:val="22"/>
        </w:rPr>
        <w:t xml:space="preserve">, </w:t>
      </w:r>
      <w:r w:rsidRPr="00A038F8">
        <w:rPr>
          <w:rFonts w:ascii="David" w:hAnsi="David" w:cs="David"/>
          <w:b/>
          <w:bCs/>
          <w:i/>
          <w:iCs/>
          <w:sz w:val="22"/>
          <w:szCs w:val="22"/>
          <w:rtl/>
        </w:rPr>
        <w:t>בעמ' 344). עוד יצוין כי בעוד שנוסח הסעיף שהובא לדיון בוועדת הפנים והגנת הסביבה היה: "הוועדה המקומית רשאית לשנות את השומה מחמת נימוקים שעניינם</w:t>
      </w:r>
      <w:r w:rsidRPr="00A038F8">
        <w:rPr>
          <w:rFonts w:ascii="David" w:hAnsi="David" w:cs="David"/>
          <w:b/>
          <w:bCs/>
          <w:i/>
          <w:iCs/>
          <w:sz w:val="22"/>
          <w:szCs w:val="22"/>
        </w:rPr>
        <w:t xml:space="preserve">..." </w:t>
      </w:r>
      <w:r w:rsidRPr="00A038F8">
        <w:rPr>
          <w:rFonts w:ascii="David" w:hAnsi="David" w:cs="David"/>
          <w:b/>
          <w:bCs/>
          <w:i/>
          <w:iCs/>
          <w:sz w:val="22"/>
          <w:szCs w:val="22"/>
          <w:rtl/>
        </w:rPr>
        <w:t>בסופו של דבר הוספה המילה רק</w:t>
      </w:r>
      <w:r w:rsidRPr="00A038F8">
        <w:rPr>
          <w:rFonts w:ascii="David" w:hAnsi="David" w:cs="David"/>
          <w:b/>
          <w:bCs/>
          <w:i/>
          <w:iCs/>
          <w:sz w:val="22"/>
          <w:szCs w:val="22"/>
        </w:rPr>
        <w:t xml:space="preserve">, </w:t>
      </w:r>
      <w:r w:rsidRPr="00A038F8">
        <w:rPr>
          <w:rFonts w:ascii="David" w:hAnsi="David" w:cs="David"/>
          <w:b/>
          <w:bCs/>
          <w:i/>
          <w:iCs/>
          <w:sz w:val="22"/>
          <w:szCs w:val="22"/>
          <w:rtl/>
        </w:rPr>
        <w:t>ללמדנו שמדובר ברשימה סגורה של עילות."</w:t>
      </w:r>
      <w:r w:rsidRPr="00A038F8">
        <w:rPr>
          <w:rFonts w:ascii="David" w:hAnsi="David" w:cs="David"/>
          <w:i/>
          <w:iCs/>
          <w:sz w:val="22"/>
          <w:szCs w:val="22"/>
          <w:rtl/>
        </w:rPr>
        <w:t>(</w:t>
      </w:r>
      <w:r w:rsidRPr="00A038F8">
        <w:rPr>
          <w:rFonts w:ascii="David" w:hAnsi="David" w:cs="David"/>
          <w:b/>
          <w:bCs/>
          <w:i/>
          <w:iCs/>
          <w:sz w:val="22"/>
          <w:szCs w:val="22"/>
          <w:rtl/>
        </w:rPr>
        <w:t>עניין קרו</w:t>
      </w:r>
      <w:r w:rsidRPr="00A038F8">
        <w:rPr>
          <w:rFonts w:ascii="David" w:hAnsi="David" w:cs="David"/>
          <w:i/>
          <w:iCs/>
          <w:sz w:val="22"/>
          <w:szCs w:val="22"/>
          <w:rtl/>
        </w:rPr>
        <w:t xml:space="preserve">, פסקה 16; ראו גם  : </w:t>
      </w:r>
      <w:r w:rsidRPr="00A038F8">
        <w:rPr>
          <w:rFonts w:ascii="David" w:hAnsi="David" w:cs="David"/>
          <w:b/>
          <w:bCs/>
          <w:i/>
          <w:iCs/>
          <w:sz w:val="22"/>
          <w:szCs w:val="22"/>
          <w:rtl/>
        </w:rPr>
        <w:t xml:space="preserve">אהרן </w:t>
      </w:r>
      <w:proofErr w:type="spellStart"/>
      <w:r w:rsidRPr="00A038F8">
        <w:rPr>
          <w:rFonts w:ascii="David" w:hAnsi="David" w:cs="David"/>
          <w:b/>
          <w:bCs/>
          <w:i/>
          <w:iCs/>
          <w:sz w:val="22"/>
          <w:szCs w:val="22"/>
          <w:rtl/>
        </w:rPr>
        <w:t>נמדר</w:t>
      </w:r>
      <w:proofErr w:type="spellEnd"/>
      <w:r w:rsidRPr="00A038F8">
        <w:rPr>
          <w:rFonts w:ascii="David" w:hAnsi="David" w:cs="David"/>
          <w:b/>
          <w:bCs/>
          <w:i/>
          <w:iCs/>
          <w:sz w:val="22"/>
          <w:szCs w:val="22"/>
          <w:rtl/>
        </w:rPr>
        <w:t xml:space="preserve">, </w:t>
      </w:r>
      <w:hyperlink r:id="rId30" w:history="1">
        <w:r w:rsidRPr="00A038F8">
          <w:rPr>
            <w:rFonts w:ascii="David" w:hAnsi="David" w:cs="David"/>
            <w:b/>
            <w:bCs/>
            <w:i/>
            <w:iCs/>
            <w:color w:val="0000FF"/>
            <w:sz w:val="22"/>
            <w:szCs w:val="22"/>
            <w:u w:val="single"/>
            <w:rtl/>
          </w:rPr>
          <w:t>היטל השבחה</w:t>
        </w:r>
      </w:hyperlink>
      <w:r w:rsidRPr="00A038F8">
        <w:rPr>
          <w:rFonts w:ascii="David" w:hAnsi="David" w:cs="David"/>
          <w:i/>
          <w:iCs/>
          <w:sz w:val="22"/>
          <w:szCs w:val="22"/>
          <w:rtl/>
        </w:rPr>
        <w:t xml:space="preserve">, תשע"ב-2011, עמ' 344))(להלן: </w:t>
      </w:r>
      <w:proofErr w:type="spellStart"/>
      <w:r w:rsidRPr="00A038F8">
        <w:rPr>
          <w:rFonts w:ascii="David" w:hAnsi="David" w:cs="David"/>
          <w:b/>
          <w:bCs/>
          <w:i/>
          <w:iCs/>
          <w:sz w:val="22"/>
          <w:szCs w:val="22"/>
          <w:rtl/>
        </w:rPr>
        <w:t>נמדר</w:t>
      </w:r>
      <w:proofErr w:type="spellEnd"/>
      <w:r w:rsidRPr="00A038F8">
        <w:rPr>
          <w:rFonts w:ascii="David" w:hAnsi="David" w:cs="David"/>
          <w:i/>
          <w:iCs/>
          <w:sz w:val="22"/>
          <w:szCs w:val="22"/>
          <w:rtl/>
        </w:rPr>
        <w:t>).</w:t>
      </w:r>
    </w:p>
    <w:p w:rsidR="00EF3FC6" w:rsidRPr="00A038F8" w:rsidRDefault="00EF3FC6" w:rsidP="006C64A1">
      <w:pPr>
        <w:spacing w:before="120" w:line="360" w:lineRule="auto"/>
        <w:ind w:left="992" w:right="851"/>
        <w:jc w:val="both"/>
        <w:rPr>
          <w:rFonts w:ascii="David" w:hAnsi="David" w:cs="David"/>
          <w:i/>
          <w:iCs/>
          <w:sz w:val="22"/>
          <w:szCs w:val="22"/>
        </w:rPr>
      </w:pPr>
      <w:r w:rsidRPr="00A038F8">
        <w:rPr>
          <w:rFonts w:ascii="David" w:hAnsi="David" w:cs="David"/>
          <w:i/>
          <w:iCs/>
          <w:sz w:val="22"/>
          <w:szCs w:val="22"/>
          <w:rtl/>
        </w:rPr>
        <w:t xml:space="preserve">הרשימה היא סגורה וסמכות התיקון היא טכנית במהותה שלא מיועדת להתמודד עם טעויות שנפלו בעבודתו המקצועית של השמאי שערך את השומה המקורית. </w:t>
      </w:r>
    </w:p>
    <w:p w:rsidR="00EF3FC6" w:rsidRPr="00A038F8" w:rsidRDefault="00EF3FC6" w:rsidP="006C64A1">
      <w:pPr>
        <w:spacing w:before="120" w:line="360" w:lineRule="auto"/>
        <w:ind w:left="992" w:right="851"/>
        <w:jc w:val="both"/>
        <w:rPr>
          <w:rFonts w:ascii="David" w:hAnsi="David" w:cs="David"/>
          <w:i/>
          <w:iCs/>
          <w:sz w:val="22"/>
          <w:szCs w:val="22"/>
          <w:rtl/>
        </w:rPr>
      </w:pPr>
      <w:r w:rsidRPr="00A038F8">
        <w:rPr>
          <w:rFonts w:ascii="David" w:hAnsi="David" w:cs="David"/>
          <w:i/>
          <w:iCs/>
          <w:sz w:val="22"/>
          <w:szCs w:val="22"/>
          <w:rtl/>
        </w:rPr>
        <w:t>32.</w:t>
      </w:r>
      <w:r w:rsidRPr="00A038F8">
        <w:rPr>
          <w:rFonts w:ascii="David" w:hAnsi="David" w:cs="David"/>
          <w:i/>
          <w:iCs/>
          <w:sz w:val="22"/>
          <w:szCs w:val="22"/>
          <w:rtl/>
        </w:rPr>
        <w:tab/>
        <w:t>אכן לוועדה המקומית נתונה הסמכות לתיקון השומה בעקבות טעות בסיווג זכויות החברה במגרש, טעות בנתונים הפיזיים של המגרש או התכניות החלות, אלא שהדבר אפשרי בקיומה של טעות כזו, וכל עוד התיקון הדרוש מיועד לתקן אותה טעות טכנית בלבד ויתכן גם השלכותיה המצומצמות. רוצה לומר, טעות כזו לא מקנה לוועדה המקומית הסמכות לעשות כל  שינוי או תיקון אלא רק זה הנובע מאותה טעות מוגדרת כאשר התיקון או השינויים האפשריים הם טכניים בלבד, זאת בשונה מתיקון קביעותיו המקצועיות ומסקנותיו הסופיות של השמאי עורך השומה המקורית</w:t>
      </w:r>
      <w:r w:rsidR="003140D3" w:rsidRPr="00A038F8">
        <w:rPr>
          <w:rFonts w:ascii="David" w:hAnsi="David" w:cs="David"/>
          <w:i/>
          <w:iCs/>
          <w:sz w:val="22"/>
          <w:szCs w:val="22"/>
          <w:rtl/>
        </w:rPr>
        <w:t>"</w:t>
      </w:r>
      <w:r w:rsidRPr="00A038F8">
        <w:rPr>
          <w:rFonts w:ascii="David" w:hAnsi="David" w:cs="David"/>
          <w:i/>
          <w:iCs/>
          <w:sz w:val="22"/>
          <w:szCs w:val="22"/>
          <w:rtl/>
        </w:rPr>
        <w:t>.</w:t>
      </w:r>
    </w:p>
    <w:p w:rsidR="006D0D7C" w:rsidRDefault="00EF3FC6" w:rsidP="006D0D7C">
      <w:pPr>
        <w:pStyle w:val="a9"/>
        <w:numPr>
          <w:ilvl w:val="0"/>
          <w:numId w:val="1"/>
        </w:numPr>
        <w:tabs>
          <w:tab w:val="left" w:pos="425"/>
        </w:tabs>
        <w:spacing w:line="360" w:lineRule="auto"/>
        <w:contextualSpacing w:val="0"/>
        <w:jc w:val="both"/>
        <w:rPr>
          <w:rFonts w:ascii="David" w:hAnsi="David" w:cs="David"/>
        </w:rPr>
      </w:pPr>
      <w:r w:rsidRPr="00EF3FC6">
        <w:rPr>
          <w:rFonts w:ascii="David" w:hAnsi="David" w:cs="David" w:hint="cs"/>
          <w:rtl/>
        </w:rPr>
        <w:t xml:space="preserve">גם בית המשפט העליון דחה בקשות רשות </w:t>
      </w:r>
      <w:r w:rsidR="0052342E" w:rsidRPr="00EF3FC6">
        <w:rPr>
          <w:rFonts w:ascii="David" w:hAnsi="David" w:cs="David" w:hint="eastAsia"/>
          <w:rtl/>
        </w:rPr>
        <w:t>ערעור</w:t>
      </w:r>
      <w:r w:rsidR="0052342E" w:rsidRPr="00EF3FC6">
        <w:rPr>
          <w:rFonts w:ascii="David" w:hAnsi="David" w:cs="David"/>
          <w:rtl/>
        </w:rPr>
        <w:t xml:space="preserve"> </w:t>
      </w:r>
      <w:r w:rsidR="0052342E">
        <w:rPr>
          <w:rFonts w:ascii="David" w:hAnsi="David" w:cs="David" w:hint="eastAsia"/>
          <w:rtl/>
        </w:rPr>
        <w:t>בעניין</w:t>
      </w:r>
      <w:r w:rsidR="007E69B7">
        <w:rPr>
          <w:rFonts w:ascii="David" w:hAnsi="David" w:cs="David" w:hint="cs"/>
          <w:rtl/>
        </w:rPr>
        <w:t xml:space="preserve"> "בר יהודה" שהוגשו </w:t>
      </w:r>
      <w:r w:rsidR="007E69B7">
        <w:rPr>
          <w:rStyle w:val="af9"/>
          <w:rFonts w:ascii="David" w:hAnsi="David" w:cs="David"/>
          <w:rtl/>
        </w:rPr>
        <w:footnoteReference w:id="7"/>
      </w:r>
      <w:r w:rsidR="007E69B7">
        <w:rPr>
          <w:rFonts w:ascii="David" w:hAnsi="David" w:cs="David" w:hint="cs"/>
          <w:rtl/>
        </w:rPr>
        <w:t xml:space="preserve"> </w:t>
      </w:r>
      <w:r>
        <w:rPr>
          <w:rFonts w:ascii="David" w:hAnsi="David" w:cs="David" w:hint="cs"/>
          <w:rtl/>
        </w:rPr>
        <w:t xml:space="preserve">בהותירו את הכרעת בית המשפט קמא לפיה </w:t>
      </w:r>
      <w:r w:rsidRPr="00EF3FC6">
        <w:rPr>
          <w:rFonts w:ascii="David" w:hAnsi="David" w:cs="David"/>
          <w:rtl/>
        </w:rPr>
        <w:t>סמכות ועדת התכנון המקומית לתקן את השומה מוגבלת לרשימה סגורה של טעויות טכניות, וכי טענות הצדדים באשר לאופן החישוב הראוי של היטל השבחה מנוגדות למושכלות יסוד בתחום</w:t>
      </w:r>
      <w:r>
        <w:rPr>
          <w:rFonts w:ascii="David" w:hAnsi="David" w:cs="David" w:hint="cs"/>
          <w:rtl/>
        </w:rPr>
        <w:t xml:space="preserve">. </w:t>
      </w:r>
    </w:p>
    <w:p w:rsidR="00FC6965" w:rsidRPr="006D0D7C" w:rsidRDefault="00FC6965" w:rsidP="006D0D7C">
      <w:pPr>
        <w:pStyle w:val="a9"/>
        <w:numPr>
          <w:ilvl w:val="0"/>
          <w:numId w:val="1"/>
        </w:numPr>
        <w:tabs>
          <w:tab w:val="left" w:pos="425"/>
        </w:tabs>
        <w:spacing w:line="360" w:lineRule="auto"/>
        <w:contextualSpacing w:val="0"/>
        <w:jc w:val="both"/>
        <w:rPr>
          <w:rFonts w:ascii="David" w:hAnsi="David" w:cs="David"/>
        </w:rPr>
      </w:pPr>
      <w:r w:rsidRPr="006D0D7C">
        <w:rPr>
          <w:rFonts w:ascii="David" w:hAnsi="David" w:cs="David" w:hint="cs"/>
          <w:rtl/>
        </w:rPr>
        <w:t xml:space="preserve">ר' עוד לעניין זה החלטת ועדת הערר מפי כב' היו"ר הלל גלקופ בעניין ערר תא/8076-05-22 </w:t>
      </w:r>
      <w:r w:rsidRPr="006D0D7C">
        <w:rPr>
          <w:rFonts w:ascii="David" w:hAnsi="David" w:cs="David" w:hint="cs"/>
          <w:b/>
          <w:bCs/>
          <w:u w:val="single"/>
          <w:rtl/>
        </w:rPr>
        <w:t>קבוצת אהרוני נ' הועדה המקומית לתכנון ולבניה בת ים</w:t>
      </w:r>
      <w:r w:rsidRPr="006D0D7C">
        <w:rPr>
          <w:rFonts w:ascii="David" w:hAnsi="David" w:cs="David" w:hint="cs"/>
          <w:rtl/>
        </w:rPr>
        <w:t xml:space="preserve"> (נבו 23.3.25) שם צוין בין השאר:</w:t>
      </w:r>
    </w:p>
    <w:p w:rsidR="003140D3" w:rsidRPr="00A038F8" w:rsidRDefault="003140D3" w:rsidP="006C64A1">
      <w:pPr>
        <w:pStyle w:val="afa"/>
        <w:spacing w:before="0" w:after="160" w:line="360" w:lineRule="auto"/>
        <w:ind w:left="709" w:right="1276" w:firstLine="0"/>
        <w:contextualSpacing w:val="0"/>
        <w:rPr>
          <w:b/>
          <w:bCs w:val="0"/>
          <w:i/>
          <w:iCs/>
          <w:sz w:val="22"/>
          <w:szCs w:val="22"/>
        </w:rPr>
      </w:pPr>
      <w:r w:rsidRPr="00A038F8">
        <w:rPr>
          <w:b/>
          <w:i/>
          <w:iCs/>
          <w:sz w:val="22"/>
          <w:szCs w:val="22"/>
          <w:rtl/>
        </w:rPr>
        <w:t xml:space="preserve">"בענייננו אין חולק כי הטעות אותה ביקשה הוועדה המקומית לתקן אינה תיקון טכני גרידא. </w:t>
      </w:r>
    </w:p>
    <w:p w:rsidR="003140D3" w:rsidRPr="00A038F8" w:rsidRDefault="003140D3" w:rsidP="006C64A1">
      <w:pPr>
        <w:pStyle w:val="afa"/>
        <w:spacing w:before="0" w:after="160" w:line="360" w:lineRule="auto"/>
        <w:ind w:left="709" w:right="1276" w:firstLine="0"/>
        <w:contextualSpacing w:val="0"/>
        <w:rPr>
          <w:b/>
          <w:bCs w:val="0"/>
          <w:i/>
          <w:iCs/>
          <w:sz w:val="22"/>
          <w:szCs w:val="22"/>
          <w:rtl/>
        </w:rPr>
      </w:pPr>
      <w:r w:rsidRPr="00A038F8">
        <w:rPr>
          <w:b/>
          <w:i/>
          <w:iCs/>
          <w:sz w:val="22"/>
          <w:szCs w:val="22"/>
          <w:rtl/>
        </w:rPr>
        <w:t>תיקון השומה נתבקש בשני נושאים - כך הבהירה הוועדה המקומית בתשובתה לערר:</w:t>
      </w:r>
    </w:p>
    <w:p w:rsidR="003140D3" w:rsidRPr="00A038F8" w:rsidRDefault="003140D3" w:rsidP="006C64A1">
      <w:pPr>
        <w:spacing w:line="360" w:lineRule="auto"/>
        <w:ind w:left="709" w:right="1276"/>
        <w:jc w:val="center"/>
        <w:rPr>
          <w:b/>
          <w:bCs/>
          <w:i/>
          <w:iCs/>
          <w:sz w:val="22"/>
          <w:szCs w:val="22"/>
          <w:u w:val="single"/>
          <w:rtl/>
        </w:rPr>
      </w:pPr>
      <w:r w:rsidRPr="00A038F8">
        <w:rPr>
          <w:b/>
          <w:bCs/>
          <w:i/>
          <w:iCs/>
          <w:noProof/>
          <w:sz w:val="22"/>
          <w:szCs w:val="22"/>
        </w:rPr>
        <w:drawing>
          <wp:inline distT="0" distB="0" distL="0" distR="0" wp14:anchorId="7D93105B" wp14:editId="0DE773CA">
            <wp:extent cx="4269923" cy="567055"/>
            <wp:effectExtent l="0" t="0" r="0" b="4445"/>
            <wp:docPr id="1537086435"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3283" cy="567501"/>
                    </a:xfrm>
                    <a:prstGeom prst="rect">
                      <a:avLst/>
                    </a:prstGeom>
                    <a:noFill/>
                    <a:ln>
                      <a:noFill/>
                    </a:ln>
                  </pic:spPr>
                </pic:pic>
              </a:graphicData>
            </a:graphic>
          </wp:inline>
        </w:drawing>
      </w:r>
    </w:p>
    <w:p w:rsidR="003140D3" w:rsidRPr="00A038F8" w:rsidRDefault="003140D3" w:rsidP="006C64A1">
      <w:pPr>
        <w:pStyle w:val="afa"/>
        <w:spacing w:before="0" w:after="160" w:line="360" w:lineRule="auto"/>
        <w:ind w:left="709" w:right="1276" w:firstLine="0"/>
        <w:contextualSpacing w:val="0"/>
        <w:rPr>
          <w:b/>
          <w:bCs w:val="0"/>
          <w:i/>
          <w:iCs/>
          <w:sz w:val="22"/>
          <w:szCs w:val="22"/>
          <w:rtl/>
        </w:rPr>
      </w:pPr>
      <w:r w:rsidRPr="00A038F8">
        <w:rPr>
          <w:b/>
          <w:i/>
          <w:iCs/>
          <w:sz w:val="22"/>
          <w:szCs w:val="22"/>
          <w:rtl/>
        </w:rPr>
        <w:t>הווי אומר אין מחלוקת כי תיקון השומה אינו נוגע לטעות טכנית, אלא לטעות מהותית של זכויות בניה שלא נלקחו בחשבון. אין מדובר בפרטי הבעלים, נתונים פיזיים של המגרש או היקף הזכות הקניינית של הבעלים במקרקעין. אלא בתיקון של היקף זכויות הבניה בהתאם לתכנית. על כן אין מדובר בטעות טכנית, אלא בטעות מהותית".</w:t>
      </w:r>
    </w:p>
    <w:p w:rsidR="00FC6965" w:rsidRPr="003140D3" w:rsidRDefault="003140D3" w:rsidP="006C64A1">
      <w:pPr>
        <w:pStyle w:val="a9"/>
        <w:spacing w:line="360" w:lineRule="auto"/>
        <w:ind w:left="360"/>
        <w:contextualSpacing w:val="0"/>
        <w:jc w:val="both"/>
        <w:rPr>
          <w:rFonts w:ascii="David" w:hAnsi="David" w:cs="David"/>
          <w:rtl/>
        </w:rPr>
      </w:pPr>
      <w:r w:rsidRPr="003140D3">
        <w:rPr>
          <w:rFonts w:ascii="David" w:hAnsi="David" w:cs="David" w:hint="cs"/>
          <w:rtl/>
        </w:rPr>
        <w:t>ר' גם ערר תא</w:t>
      </w:r>
      <w:r w:rsidRPr="003140D3">
        <w:rPr>
          <w:rFonts w:ascii="David" w:hAnsi="David" w:cs="David"/>
          <w:rtl/>
        </w:rPr>
        <w:t xml:space="preserve"> 85151-17 </w:t>
      </w:r>
      <w:r w:rsidRPr="003140D3">
        <w:rPr>
          <w:rFonts w:ascii="David" w:hAnsi="David" w:cs="David"/>
          <w:b/>
          <w:bCs/>
          <w:u w:val="single"/>
          <w:rtl/>
        </w:rPr>
        <w:t>פסו רומי ניהול שיווק ופיקוח בע"מ נ' הוועדה המקומית לתכנון ובניה אור יהודה</w:t>
      </w:r>
      <w:r w:rsidRPr="003140D3">
        <w:rPr>
          <w:rFonts w:ascii="David" w:hAnsi="David" w:cs="David" w:hint="cs"/>
          <w:rtl/>
        </w:rPr>
        <w:t xml:space="preserve"> (נבו, 7.5.19)</w:t>
      </w:r>
      <w:r w:rsidR="00A80EBF">
        <w:rPr>
          <w:rFonts w:ascii="David" w:hAnsi="David" w:cs="David" w:hint="cs"/>
          <w:rtl/>
        </w:rPr>
        <w:t>.</w:t>
      </w:r>
      <w:r>
        <w:rPr>
          <w:rFonts w:ascii="David" w:hAnsi="David" w:cs="David" w:hint="cs"/>
          <w:rtl/>
        </w:rPr>
        <w:t xml:space="preserve"> </w:t>
      </w:r>
    </w:p>
    <w:p w:rsidR="007E5672" w:rsidRDefault="007E69B7" w:rsidP="007E5672">
      <w:pPr>
        <w:pStyle w:val="a9"/>
        <w:numPr>
          <w:ilvl w:val="0"/>
          <w:numId w:val="1"/>
        </w:numPr>
        <w:tabs>
          <w:tab w:val="left" w:pos="425"/>
        </w:tabs>
        <w:spacing w:line="360" w:lineRule="auto"/>
        <w:contextualSpacing w:val="0"/>
        <w:jc w:val="both"/>
        <w:rPr>
          <w:rFonts w:ascii="David" w:hAnsi="David" w:cs="David"/>
        </w:rPr>
      </w:pPr>
      <w:r>
        <w:rPr>
          <w:rFonts w:ascii="David" w:hAnsi="David" w:cs="David" w:hint="cs"/>
          <w:rtl/>
        </w:rPr>
        <w:t>כלומר</w:t>
      </w:r>
      <w:r w:rsidR="00782B02">
        <w:rPr>
          <w:rFonts w:ascii="David" w:hAnsi="David" w:cs="David" w:hint="cs"/>
          <w:rtl/>
        </w:rPr>
        <w:t>,</w:t>
      </w:r>
      <w:r>
        <w:rPr>
          <w:rFonts w:ascii="David" w:hAnsi="David" w:cs="David" w:hint="cs"/>
          <w:rtl/>
        </w:rPr>
        <w:t xml:space="preserve"> סמכות התיקון המנויה בסעיף 14 (ו) הינה ביחס ל</w:t>
      </w:r>
      <w:r w:rsidR="00766490">
        <w:rPr>
          <w:rFonts w:ascii="David" w:hAnsi="David" w:cs="David" w:hint="cs"/>
          <w:rtl/>
        </w:rPr>
        <w:t>רשימה סגורה וסמכות התיקון היא טכנית במהותה שלא מיועד</w:t>
      </w:r>
      <w:r w:rsidR="007C6E1A">
        <w:rPr>
          <w:rFonts w:ascii="David" w:hAnsi="David" w:cs="David" w:hint="cs"/>
          <w:rtl/>
        </w:rPr>
        <w:t>ת</w:t>
      </w:r>
      <w:r w:rsidR="00766490">
        <w:rPr>
          <w:rFonts w:ascii="David" w:hAnsi="David" w:cs="David" w:hint="cs"/>
          <w:rtl/>
        </w:rPr>
        <w:t xml:space="preserve"> </w:t>
      </w:r>
      <w:r w:rsidR="00782B02">
        <w:rPr>
          <w:rFonts w:ascii="David" w:hAnsi="David" w:cs="David" w:hint="cs"/>
          <w:rtl/>
        </w:rPr>
        <w:t xml:space="preserve">להוות </w:t>
      </w:r>
      <w:r w:rsidR="003140D3">
        <w:rPr>
          <w:rFonts w:ascii="David" w:hAnsi="David" w:cs="David" w:hint="cs"/>
          <w:rtl/>
        </w:rPr>
        <w:t>"</w:t>
      </w:r>
      <w:r w:rsidR="00782B02">
        <w:rPr>
          <w:rFonts w:ascii="David" w:hAnsi="David" w:cs="David" w:hint="cs"/>
          <w:rtl/>
        </w:rPr>
        <w:t>מקצה שיפורים</w:t>
      </w:r>
      <w:r w:rsidR="003140D3">
        <w:rPr>
          <w:rFonts w:ascii="David" w:hAnsi="David" w:cs="David" w:hint="cs"/>
          <w:rtl/>
        </w:rPr>
        <w:t>" גם לא במסגרת ניהול הליך בפני שמאי מכריע.</w:t>
      </w:r>
      <w:r w:rsidR="00782B02">
        <w:rPr>
          <w:rFonts w:ascii="David" w:hAnsi="David" w:cs="David" w:hint="cs"/>
          <w:rtl/>
        </w:rPr>
        <w:t xml:space="preserve"> </w:t>
      </w:r>
    </w:p>
    <w:p w:rsidR="007E5672" w:rsidRDefault="00782B02" w:rsidP="007E5672">
      <w:pPr>
        <w:pStyle w:val="a9"/>
        <w:numPr>
          <w:ilvl w:val="0"/>
          <w:numId w:val="1"/>
        </w:numPr>
        <w:tabs>
          <w:tab w:val="left" w:pos="425"/>
        </w:tabs>
        <w:spacing w:line="360" w:lineRule="auto"/>
        <w:contextualSpacing w:val="0"/>
        <w:jc w:val="both"/>
        <w:rPr>
          <w:rFonts w:ascii="David" w:hAnsi="David" w:cs="David"/>
        </w:rPr>
      </w:pPr>
      <w:r w:rsidRPr="007E5672">
        <w:rPr>
          <w:rFonts w:ascii="David" w:hAnsi="David" w:cs="David" w:hint="cs"/>
          <w:rtl/>
        </w:rPr>
        <w:t xml:space="preserve">בענייניו, </w:t>
      </w:r>
      <w:r w:rsidR="00DC0F12" w:rsidRPr="007E5672">
        <w:rPr>
          <w:rFonts w:ascii="David" w:hAnsi="David" w:cs="David" w:hint="cs"/>
          <w:rtl/>
        </w:rPr>
        <w:t xml:space="preserve">תכנית ההרחבות בי/319 אכן חלה על המקרקעין והועדה המקומית הגם </w:t>
      </w:r>
      <w:proofErr w:type="spellStart"/>
      <w:r w:rsidR="00DC0F12" w:rsidRPr="007E5672">
        <w:rPr>
          <w:rFonts w:ascii="David" w:hAnsi="David" w:cs="David" w:hint="cs"/>
          <w:rtl/>
        </w:rPr>
        <w:t>שהיתה</w:t>
      </w:r>
      <w:proofErr w:type="spellEnd"/>
      <w:r w:rsidR="00DC0F12" w:rsidRPr="007E5672">
        <w:rPr>
          <w:rFonts w:ascii="David" w:hAnsi="David" w:cs="David" w:hint="cs"/>
          <w:rtl/>
        </w:rPr>
        <w:t xml:space="preserve"> ערה לתכנית וצי</w:t>
      </w:r>
      <w:r w:rsidR="007C6E1A" w:rsidRPr="007E5672">
        <w:rPr>
          <w:rFonts w:ascii="David" w:hAnsi="David" w:cs="David" w:hint="cs"/>
          <w:rtl/>
        </w:rPr>
        <w:t>י</w:t>
      </w:r>
      <w:r w:rsidR="00DC0F12" w:rsidRPr="007E5672">
        <w:rPr>
          <w:rFonts w:ascii="David" w:hAnsi="David" w:cs="David" w:hint="cs"/>
          <w:rtl/>
        </w:rPr>
        <w:t>נה אותה כחלק ממצב קודם בשומתה</w:t>
      </w:r>
      <w:r w:rsidRPr="007E5672">
        <w:rPr>
          <w:rFonts w:ascii="David" w:hAnsi="David" w:cs="David" w:hint="cs"/>
          <w:rtl/>
        </w:rPr>
        <w:t>,</w:t>
      </w:r>
      <w:r w:rsidR="00DC0F12" w:rsidRPr="007E5672">
        <w:rPr>
          <w:rFonts w:ascii="David" w:hAnsi="David" w:cs="David" w:hint="cs"/>
          <w:rtl/>
        </w:rPr>
        <w:t xml:space="preserve"> לא ראתה לנכון לחייב בגינה ולקבוע אותה כמדרגת מס נפרדת. אלא, שלטעמנו נוסח הסעיף </w:t>
      </w:r>
      <w:r w:rsidRPr="007E5672">
        <w:rPr>
          <w:rFonts w:ascii="David" w:hAnsi="David" w:cs="David" w:hint="cs"/>
          <w:rtl/>
        </w:rPr>
        <w:t xml:space="preserve">כאמור לעיל </w:t>
      </w:r>
      <w:r w:rsidR="00DC0F12" w:rsidRPr="007E5672">
        <w:rPr>
          <w:rFonts w:ascii="David" w:hAnsi="David" w:cs="David" w:hint="cs"/>
          <w:rtl/>
        </w:rPr>
        <w:t xml:space="preserve">כיוון למצבים בהם ניתן לתקן את השומה מקום בו נפלה טעות </w:t>
      </w:r>
      <w:r w:rsidRPr="007E5672">
        <w:rPr>
          <w:rFonts w:ascii="David" w:hAnsi="David" w:cs="David" w:hint="cs"/>
          <w:rtl/>
        </w:rPr>
        <w:t xml:space="preserve">טכנית </w:t>
      </w:r>
      <w:r w:rsidR="00DC0F12" w:rsidRPr="007E5672">
        <w:rPr>
          <w:rFonts w:ascii="David" w:hAnsi="David" w:cs="David" w:hint="cs"/>
          <w:rtl/>
        </w:rPr>
        <w:t xml:space="preserve">בשל כך שהועדה המקומית "שכחה" אי אילו מהתכניות החלות על הקרקע שיש לחייב בגינן. </w:t>
      </w:r>
      <w:r w:rsidR="00DC0F12" w:rsidRPr="007E5672">
        <w:rPr>
          <w:rFonts w:ascii="David" w:hAnsi="David" w:cs="David" w:hint="cs"/>
          <w:b/>
          <w:bCs/>
          <w:rtl/>
        </w:rPr>
        <w:t>ברם,</w:t>
      </w:r>
      <w:r w:rsidR="00DC0F12" w:rsidRPr="007E5672">
        <w:rPr>
          <w:rFonts w:ascii="David" w:hAnsi="David" w:cs="David" w:hint="cs"/>
          <w:rtl/>
        </w:rPr>
        <w:t xml:space="preserve"> בעניינינו אין זה המצב, שכן תכנית ההרחבות בי/319 אכן הופיעה בשומת הועדה המקומית, כלומר, הועדה המקומית </w:t>
      </w:r>
      <w:proofErr w:type="spellStart"/>
      <w:r w:rsidR="00DC0F12" w:rsidRPr="007E5672">
        <w:rPr>
          <w:rFonts w:ascii="David" w:hAnsi="David" w:cs="David" w:hint="cs"/>
          <w:rtl/>
        </w:rPr>
        <w:t>היתה</w:t>
      </w:r>
      <w:proofErr w:type="spellEnd"/>
      <w:r w:rsidR="00DC0F12" w:rsidRPr="007E5672">
        <w:rPr>
          <w:rFonts w:ascii="David" w:hAnsi="David" w:cs="David" w:hint="cs"/>
          <w:rtl/>
        </w:rPr>
        <w:t xml:space="preserve"> מודעת לה בזמן אמת, היא רק סברה </w:t>
      </w:r>
      <w:r w:rsidR="00AA5357" w:rsidRPr="007E5672">
        <w:rPr>
          <w:rFonts w:ascii="David" w:hAnsi="David" w:cs="David" w:hint="cs"/>
          <w:rtl/>
        </w:rPr>
        <w:t xml:space="preserve">בשומתה המקורית </w:t>
      </w:r>
      <w:r w:rsidR="00DC0F12" w:rsidRPr="007E5672">
        <w:rPr>
          <w:rFonts w:ascii="David" w:hAnsi="David" w:cs="David" w:hint="cs"/>
          <w:rtl/>
        </w:rPr>
        <w:t xml:space="preserve">שעליה להיות חלק ממצב קודם. </w:t>
      </w:r>
    </w:p>
    <w:p w:rsidR="007E5672" w:rsidRDefault="00DC0F12" w:rsidP="007E5672">
      <w:pPr>
        <w:pStyle w:val="a9"/>
        <w:numPr>
          <w:ilvl w:val="0"/>
          <w:numId w:val="1"/>
        </w:numPr>
        <w:tabs>
          <w:tab w:val="left" w:pos="425"/>
        </w:tabs>
        <w:spacing w:line="360" w:lineRule="auto"/>
        <w:contextualSpacing w:val="0"/>
        <w:jc w:val="both"/>
        <w:rPr>
          <w:rFonts w:ascii="David" w:hAnsi="David" w:cs="David"/>
        </w:rPr>
      </w:pPr>
      <w:r w:rsidRPr="007E5672">
        <w:rPr>
          <w:rFonts w:ascii="David" w:hAnsi="David" w:cs="David" w:hint="cs"/>
          <w:rtl/>
        </w:rPr>
        <w:t xml:space="preserve">כלומר, בעת הכנת השומה ובחינת התכניות מכוחן יש לקבוע השבחה, הועדה המקומית בזמן אמת ראתה את תכנית בי/319 כחלק ממצב קודם, מה שמלמדנו כי אין עסקינן במצב בו כביכול תכנית שחלה במקרקעין לא הובאה בשומת השבחה אשר סעיף 14 (ו) מקנה אפשרות תיקון בגינה. </w:t>
      </w:r>
    </w:p>
    <w:p w:rsidR="007E5672" w:rsidRDefault="00DC0F12" w:rsidP="007E5672">
      <w:pPr>
        <w:pStyle w:val="a9"/>
        <w:numPr>
          <w:ilvl w:val="0"/>
          <w:numId w:val="1"/>
        </w:numPr>
        <w:tabs>
          <w:tab w:val="left" w:pos="425"/>
        </w:tabs>
        <w:spacing w:line="360" w:lineRule="auto"/>
        <w:contextualSpacing w:val="0"/>
        <w:jc w:val="both"/>
        <w:rPr>
          <w:rFonts w:ascii="David" w:hAnsi="David" w:cs="David"/>
        </w:rPr>
      </w:pPr>
      <w:r w:rsidRPr="007E5672">
        <w:rPr>
          <w:rFonts w:ascii="David" w:hAnsi="David" w:cs="David" w:hint="cs"/>
          <w:rtl/>
        </w:rPr>
        <w:t>לשון אחר, תכנית בי/319 לא נעלמה מעיני הועדה המקומית שכן, תכנית זאת הופיעה בשומתה, אלא בזמן אמת סברה שהיא לא מהווה מדרגת השבחה</w:t>
      </w:r>
      <w:r w:rsidR="00782B02" w:rsidRPr="007E5672">
        <w:rPr>
          <w:rFonts w:ascii="David" w:hAnsi="David" w:cs="David" w:hint="cs"/>
          <w:rtl/>
        </w:rPr>
        <w:t xml:space="preserve"> נפרדת</w:t>
      </w:r>
      <w:r w:rsidRPr="007E5672">
        <w:rPr>
          <w:rFonts w:ascii="David" w:hAnsi="David" w:cs="David" w:hint="cs"/>
          <w:rtl/>
        </w:rPr>
        <w:t>, משכך אין עסקינן בתכנית שהועדה סברה שאינה חלה על המקרקעין ומשכך</w:t>
      </w:r>
      <w:r w:rsidR="00782B02" w:rsidRPr="007E5672">
        <w:rPr>
          <w:rFonts w:ascii="David" w:hAnsi="David" w:cs="David" w:hint="cs"/>
          <w:rtl/>
        </w:rPr>
        <w:t>,</w:t>
      </w:r>
      <w:r w:rsidRPr="007E5672">
        <w:rPr>
          <w:rFonts w:ascii="David" w:hAnsi="David" w:cs="David" w:hint="cs"/>
          <w:rtl/>
        </w:rPr>
        <w:t xml:space="preserve"> אין </w:t>
      </w:r>
      <w:r w:rsidR="00AA5357" w:rsidRPr="007E5672">
        <w:rPr>
          <w:rFonts w:ascii="David" w:hAnsi="David" w:cs="David" w:hint="cs"/>
          <w:rtl/>
        </w:rPr>
        <w:t xml:space="preserve">לטעמנו </w:t>
      </w:r>
      <w:r w:rsidRPr="007E5672">
        <w:rPr>
          <w:rFonts w:ascii="David" w:hAnsi="David" w:cs="David" w:hint="cs"/>
          <w:rtl/>
        </w:rPr>
        <w:t>מדובר במצב בו נכנסים לתוך גדרי סעי</w:t>
      </w:r>
      <w:r w:rsidR="00782B02" w:rsidRPr="007E5672">
        <w:rPr>
          <w:rFonts w:ascii="David" w:hAnsi="David" w:cs="David" w:hint="cs"/>
          <w:rtl/>
        </w:rPr>
        <w:t xml:space="preserve">ף </w:t>
      </w:r>
      <w:r w:rsidRPr="007E5672">
        <w:rPr>
          <w:rFonts w:ascii="David" w:hAnsi="David" w:cs="David" w:hint="cs"/>
          <w:rtl/>
        </w:rPr>
        <w:t xml:space="preserve">14 (ו) לתוספת השלישית. </w:t>
      </w:r>
    </w:p>
    <w:p w:rsidR="007E5672" w:rsidRDefault="00DC0F12" w:rsidP="007E5672">
      <w:pPr>
        <w:pStyle w:val="a9"/>
        <w:numPr>
          <w:ilvl w:val="0"/>
          <w:numId w:val="1"/>
        </w:numPr>
        <w:tabs>
          <w:tab w:val="left" w:pos="425"/>
        </w:tabs>
        <w:spacing w:line="360" w:lineRule="auto"/>
        <w:contextualSpacing w:val="0"/>
        <w:jc w:val="both"/>
        <w:rPr>
          <w:rFonts w:ascii="David" w:hAnsi="David" w:cs="David"/>
        </w:rPr>
      </w:pPr>
      <w:r w:rsidRPr="007E5672">
        <w:rPr>
          <w:rFonts w:ascii="David" w:hAnsi="David" w:cs="David" w:hint="cs"/>
          <w:rtl/>
        </w:rPr>
        <w:t xml:space="preserve">ברי כי </w:t>
      </w:r>
      <w:r w:rsidR="005E4144">
        <w:rPr>
          <w:rFonts w:ascii="David" w:hAnsi="David" w:cs="David" w:hint="cs"/>
          <w:rtl/>
        </w:rPr>
        <w:t xml:space="preserve">בנסיבות אלה שהועדה המקומית ידעה על התכנית ואף התייחסה אליה בשומתה, תוך </w:t>
      </w:r>
      <w:r w:rsidR="0052342E">
        <w:rPr>
          <w:rFonts w:ascii="David" w:hAnsi="David" w:cs="David" w:hint="eastAsia"/>
          <w:rtl/>
        </w:rPr>
        <w:t>ניסיון</w:t>
      </w:r>
      <w:r w:rsidR="0052342E">
        <w:rPr>
          <w:rFonts w:ascii="David" w:hAnsi="David" w:cs="David"/>
          <w:rtl/>
        </w:rPr>
        <w:t xml:space="preserve"> לתקן</w:t>
      </w:r>
      <w:r w:rsidR="005E4144">
        <w:rPr>
          <w:rFonts w:ascii="David" w:hAnsi="David" w:cs="David" w:hint="cs"/>
          <w:rtl/>
        </w:rPr>
        <w:t xml:space="preserve"> השומה מטעמה</w:t>
      </w:r>
      <w:r w:rsidRPr="007E5672">
        <w:rPr>
          <w:rFonts w:ascii="David" w:hAnsi="David" w:cs="David" w:hint="cs"/>
          <w:rtl/>
        </w:rPr>
        <w:t xml:space="preserve"> תוך כדי ניהול הליך בפני שמאי מכריע </w:t>
      </w:r>
      <w:r w:rsidR="005E4144">
        <w:rPr>
          <w:rFonts w:ascii="David" w:hAnsi="David" w:cs="David" w:hint="cs"/>
          <w:rtl/>
        </w:rPr>
        <w:t>מעורר לטעמנו קושי</w:t>
      </w:r>
      <w:r w:rsidRPr="007E5672">
        <w:rPr>
          <w:rFonts w:ascii="David" w:hAnsi="David" w:cs="David" w:hint="cs"/>
          <w:rtl/>
        </w:rPr>
        <w:t>.</w:t>
      </w:r>
    </w:p>
    <w:p w:rsidR="00DC0F12" w:rsidRPr="007E5672" w:rsidRDefault="00DC0F12" w:rsidP="007E5672">
      <w:pPr>
        <w:pStyle w:val="a9"/>
        <w:numPr>
          <w:ilvl w:val="0"/>
          <w:numId w:val="1"/>
        </w:numPr>
        <w:tabs>
          <w:tab w:val="left" w:pos="425"/>
        </w:tabs>
        <w:spacing w:line="360" w:lineRule="auto"/>
        <w:contextualSpacing w:val="0"/>
        <w:jc w:val="both"/>
        <w:rPr>
          <w:rFonts w:ascii="David" w:hAnsi="David" w:cs="David"/>
        </w:rPr>
      </w:pPr>
      <w:r w:rsidRPr="007E5672">
        <w:rPr>
          <w:rFonts w:ascii="David" w:hAnsi="David" w:cs="David" w:hint="cs"/>
          <w:rtl/>
        </w:rPr>
        <w:t xml:space="preserve">בעניין זה </w:t>
      </w:r>
      <w:r w:rsidR="00782B02" w:rsidRPr="007E5672">
        <w:rPr>
          <w:rFonts w:ascii="David" w:hAnsi="David" w:cs="David" w:hint="cs"/>
          <w:rtl/>
        </w:rPr>
        <w:t xml:space="preserve">הפנתה אותנו החברה גם </w:t>
      </w:r>
      <w:r w:rsidRPr="007E5672">
        <w:rPr>
          <w:rFonts w:ascii="David" w:hAnsi="David" w:cs="David" w:hint="cs"/>
          <w:rtl/>
        </w:rPr>
        <w:t xml:space="preserve">להחלטת ועדת הערר בראשות כב' היו"ר מאיה אשכנזי, בערר 8005-01-23 </w:t>
      </w:r>
      <w:proofErr w:type="spellStart"/>
      <w:r w:rsidRPr="007E5672">
        <w:rPr>
          <w:rFonts w:ascii="David" w:hAnsi="David" w:cs="David" w:hint="cs"/>
          <w:b/>
          <w:bCs/>
          <w:u w:val="single"/>
          <w:rtl/>
        </w:rPr>
        <w:t>קטה</w:t>
      </w:r>
      <w:proofErr w:type="spellEnd"/>
      <w:r w:rsidRPr="007E5672">
        <w:rPr>
          <w:rFonts w:ascii="David" w:hAnsi="David" w:cs="David" w:hint="cs"/>
          <w:b/>
          <w:bCs/>
          <w:u w:val="single"/>
          <w:rtl/>
        </w:rPr>
        <w:t xml:space="preserve"> אחזקות בע"מ נ' הועדה המקומית לתכנון ולבניה גבעת שמואל</w:t>
      </w:r>
      <w:r w:rsidRPr="007E5672">
        <w:rPr>
          <w:rFonts w:ascii="David" w:hAnsi="David" w:cs="David" w:hint="cs"/>
          <w:rtl/>
        </w:rPr>
        <w:t xml:space="preserve"> , (נבו 25.6.04) :</w:t>
      </w:r>
    </w:p>
    <w:p w:rsidR="00DC0F12" w:rsidRPr="00A038F8" w:rsidRDefault="00DC0F12" w:rsidP="006C64A1">
      <w:pPr>
        <w:pStyle w:val="11"/>
        <w:spacing w:line="360" w:lineRule="auto"/>
        <w:ind w:left="1134" w:right="1134"/>
        <w:contextualSpacing w:val="0"/>
        <w:jc w:val="both"/>
        <w:rPr>
          <w:rFonts w:cs="David"/>
          <w:i/>
          <w:iCs/>
        </w:rPr>
      </w:pPr>
      <w:r w:rsidRPr="00A038F8">
        <w:rPr>
          <w:rFonts w:cs="David"/>
          <w:i/>
          <w:iCs/>
          <w:rtl/>
        </w:rPr>
        <w:t xml:space="preserve">"אכן, כפי שציינה הוועדה המקומית, שמאי מכריע אינו כבול לשומות הצדדים ונדרש לערוך שומה עצמאית משלו. ראו: </w:t>
      </w:r>
      <w:hyperlink r:id="rId32" w:history="1">
        <w:r w:rsidRPr="00A038F8">
          <w:rPr>
            <w:rFonts w:cs="David" w:hint="eastAsia"/>
            <w:i/>
            <w:iCs/>
            <w:color w:val="0000FF"/>
            <w:u w:val="single"/>
            <w:rtl/>
          </w:rPr>
          <w:t>ערר</w:t>
        </w:r>
        <w:r w:rsidRPr="00A038F8">
          <w:rPr>
            <w:rFonts w:cs="David"/>
            <w:i/>
            <w:iCs/>
            <w:color w:val="0000FF"/>
            <w:u w:val="single"/>
            <w:rtl/>
          </w:rPr>
          <w:t xml:space="preserve"> (</w:t>
        </w:r>
        <w:r w:rsidRPr="00A038F8">
          <w:rPr>
            <w:rFonts w:cs="David" w:hint="eastAsia"/>
            <w:i/>
            <w:iCs/>
            <w:color w:val="0000FF"/>
            <w:u w:val="single"/>
            <w:rtl/>
          </w:rPr>
          <w:t>חי</w:t>
        </w:r>
        <w:r w:rsidRPr="00A038F8">
          <w:rPr>
            <w:rFonts w:cs="David"/>
            <w:i/>
            <w:iCs/>
            <w:color w:val="0000FF"/>
            <w:u w:val="single"/>
            <w:rtl/>
          </w:rPr>
          <w:t>') 82001-01-21</w:t>
        </w:r>
      </w:hyperlink>
      <w:r w:rsidRPr="00A038F8">
        <w:rPr>
          <w:rFonts w:cs="David"/>
          <w:i/>
          <w:iCs/>
          <w:rtl/>
        </w:rPr>
        <w:t xml:space="preserve"> </w:t>
      </w:r>
      <w:r w:rsidRPr="00A038F8">
        <w:rPr>
          <w:rFonts w:cs="David"/>
          <w:b/>
          <w:bCs/>
          <w:i/>
          <w:iCs/>
          <w:rtl/>
        </w:rPr>
        <w:t>אבשלום וסיגלית אהרון נ' הוועדה המקומית לתכנון ולבנייה פרדס חניה כרכור</w:t>
      </w:r>
      <w:r w:rsidRPr="00A038F8">
        <w:rPr>
          <w:rFonts w:cs="David"/>
          <w:i/>
          <w:iCs/>
          <w:rtl/>
        </w:rPr>
        <w:t xml:space="preserve"> (פורסם בנבו, 15.3.2022); </w:t>
      </w:r>
      <w:hyperlink r:id="rId33" w:history="1">
        <w:proofErr w:type="spellStart"/>
        <w:r w:rsidRPr="00A038F8">
          <w:rPr>
            <w:rStyle w:val="Hyperlink"/>
            <w:rFonts w:eastAsiaTheme="majorEastAsia" w:cs="David"/>
            <w:i/>
            <w:iCs/>
            <w:rtl/>
          </w:rPr>
          <w:t>עמ"ן</w:t>
        </w:r>
        <w:proofErr w:type="spellEnd"/>
        <w:r w:rsidRPr="00A038F8">
          <w:rPr>
            <w:rStyle w:val="Hyperlink"/>
            <w:rFonts w:eastAsiaTheme="majorEastAsia" w:cs="David"/>
            <w:i/>
            <w:iCs/>
            <w:rtl/>
          </w:rPr>
          <w:t xml:space="preserve"> 48410-01-14</w:t>
        </w:r>
      </w:hyperlink>
      <w:r w:rsidRPr="00A038F8">
        <w:rPr>
          <w:rFonts w:cs="David"/>
          <w:i/>
          <w:iCs/>
          <w:rtl/>
        </w:rPr>
        <w:t xml:space="preserve"> </w:t>
      </w:r>
      <w:proofErr w:type="spellStart"/>
      <w:r w:rsidRPr="00A038F8">
        <w:rPr>
          <w:rFonts w:cs="David"/>
          <w:b/>
          <w:bCs/>
          <w:i/>
          <w:iCs/>
          <w:rtl/>
        </w:rPr>
        <w:t>אוברקוביץ</w:t>
      </w:r>
      <w:proofErr w:type="spellEnd"/>
      <w:r w:rsidRPr="00A038F8">
        <w:rPr>
          <w:rFonts w:cs="David"/>
          <w:b/>
          <w:bCs/>
          <w:i/>
          <w:iCs/>
          <w:rtl/>
        </w:rPr>
        <w:t xml:space="preserve"> נ' הוועדה המקומית לתכנון ולבנייה פתח תקווה</w:t>
      </w:r>
      <w:r w:rsidRPr="00A038F8">
        <w:rPr>
          <w:rFonts w:cs="David"/>
          <w:i/>
          <w:iCs/>
          <w:rtl/>
        </w:rPr>
        <w:t xml:space="preserve"> (פורסם בנבו, 3.8.2015). </w:t>
      </w:r>
    </w:p>
    <w:p w:rsidR="00DC0F12" w:rsidRPr="00A038F8" w:rsidRDefault="00DC0F12" w:rsidP="006C64A1">
      <w:pPr>
        <w:pStyle w:val="11"/>
        <w:spacing w:line="360" w:lineRule="auto"/>
        <w:ind w:left="1134" w:right="1134"/>
        <w:contextualSpacing w:val="0"/>
        <w:jc w:val="both"/>
        <w:rPr>
          <w:rFonts w:cs="David"/>
          <w:i/>
          <w:iCs/>
        </w:rPr>
      </w:pPr>
      <w:r w:rsidRPr="00A038F8">
        <w:rPr>
          <w:rFonts w:cs="David"/>
          <w:b/>
          <w:bCs/>
          <w:i/>
          <w:iCs/>
          <w:rtl/>
        </w:rPr>
        <w:t xml:space="preserve">יחד עם זאת, אין פירוש הדבר מתן אפשרות לוועדה מקומית לתקן את שומתה בשלב הדיון בפני שמאי מכריע, לא במפורש, ולא במשתמע – אלא בהתאם </w:t>
      </w:r>
      <w:hyperlink r:id="rId34" w:history="1">
        <w:r w:rsidRPr="00A038F8">
          <w:rPr>
            <w:rStyle w:val="Hyperlink"/>
            <w:rFonts w:eastAsiaTheme="majorEastAsia" w:cs="David"/>
            <w:b/>
            <w:bCs/>
            <w:i/>
            <w:iCs/>
            <w:rtl/>
          </w:rPr>
          <w:t>לסעיף 14(ו)</w:t>
        </w:r>
      </w:hyperlink>
      <w:r w:rsidRPr="00A038F8">
        <w:rPr>
          <w:rFonts w:cs="David"/>
          <w:b/>
          <w:bCs/>
          <w:i/>
          <w:iCs/>
          <w:rtl/>
        </w:rPr>
        <w:t xml:space="preserve"> לתוספת השלישית לחוק.</w:t>
      </w:r>
      <w:r w:rsidRPr="00A038F8">
        <w:rPr>
          <w:rFonts w:cs="David"/>
          <w:i/>
          <w:iCs/>
          <w:rtl/>
        </w:rPr>
        <w:t xml:space="preserve"> ועדת הערר המחוזית עמדה על כך לאחרונה ב</w:t>
      </w:r>
      <w:hyperlink r:id="rId35" w:history="1">
        <w:r w:rsidRPr="00A038F8">
          <w:rPr>
            <w:rFonts w:cs="David" w:hint="eastAsia"/>
            <w:i/>
            <w:iCs/>
            <w:color w:val="0000FF"/>
            <w:u w:val="single"/>
            <w:rtl/>
          </w:rPr>
          <w:t>ערר</w:t>
        </w:r>
        <w:r w:rsidRPr="00A038F8">
          <w:rPr>
            <w:rFonts w:cs="David"/>
            <w:i/>
            <w:iCs/>
            <w:color w:val="0000FF"/>
            <w:u w:val="single"/>
            <w:rtl/>
          </w:rPr>
          <w:t xml:space="preserve"> (</w:t>
        </w:r>
        <w:r w:rsidRPr="00A038F8">
          <w:rPr>
            <w:rFonts w:cs="David" w:hint="eastAsia"/>
            <w:i/>
            <w:iCs/>
            <w:color w:val="0000FF"/>
            <w:u w:val="single"/>
            <w:rtl/>
          </w:rPr>
          <w:t>מרכז</w:t>
        </w:r>
        <w:r w:rsidRPr="00A038F8">
          <w:rPr>
            <w:rFonts w:cs="David"/>
            <w:i/>
            <w:iCs/>
            <w:color w:val="0000FF"/>
            <w:u w:val="single"/>
            <w:rtl/>
          </w:rPr>
          <w:t>)  8001-01-24</w:t>
        </w:r>
      </w:hyperlink>
      <w:r w:rsidRPr="00A038F8">
        <w:rPr>
          <w:rFonts w:cs="David"/>
          <w:i/>
          <w:iCs/>
          <w:rtl/>
        </w:rPr>
        <w:t xml:space="preserve"> </w:t>
      </w:r>
      <w:r w:rsidRPr="00A038F8">
        <w:rPr>
          <w:rFonts w:cs="David"/>
          <w:b/>
          <w:bCs/>
          <w:i/>
          <w:iCs/>
          <w:rtl/>
        </w:rPr>
        <w:t xml:space="preserve">הוועדה המקומית לתכנון ולבנייה גבעת שמואל נ' </w:t>
      </w:r>
      <w:proofErr w:type="spellStart"/>
      <w:r w:rsidRPr="00A038F8">
        <w:rPr>
          <w:rFonts w:cs="David"/>
          <w:b/>
          <w:bCs/>
          <w:i/>
          <w:iCs/>
          <w:rtl/>
        </w:rPr>
        <w:t>אירונמנטל</w:t>
      </w:r>
      <w:proofErr w:type="spellEnd"/>
      <w:r w:rsidRPr="00A038F8">
        <w:rPr>
          <w:rFonts w:cs="David"/>
          <w:b/>
          <w:bCs/>
          <w:i/>
          <w:iCs/>
          <w:rtl/>
        </w:rPr>
        <w:t xml:space="preserve"> בע"מ</w:t>
      </w:r>
      <w:r w:rsidRPr="00A038F8">
        <w:rPr>
          <w:rFonts w:cs="David"/>
          <w:i/>
          <w:iCs/>
          <w:rtl/>
        </w:rPr>
        <w:t xml:space="preserve"> (פורסם בנבו, 21.5.2024), ואנו חוזרים ומבהירים זאת שוב. </w:t>
      </w:r>
    </w:p>
    <w:p w:rsidR="00DC0F12" w:rsidRPr="00A038F8" w:rsidRDefault="00DC0F12" w:rsidP="006C64A1">
      <w:pPr>
        <w:pStyle w:val="11"/>
        <w:spacing w:line="360" w:lineRule="auto"/>
        <w:ind w:left="1134" w:right="1134"/>
        <w:contextualSpacing w:val="0"/>
        <w:jc w:val="both"/>
        <w:rPr>
          <w:rFonts w:cs="David"/>
          <w:i/>
          <w:iCs/>
        </w:rPr>
      </w:pPr>
      <w:r w:rsidRPr="00A038F8">
        <w:rPr>
          <w:rFonts w:cs="David"/>
          <w:i/>
          <w:iCs/>
          <w:rtl/>
        </w:rPr>
        <w:t xml:space="preserve">בשומת הוועדה המקומית, שבעקבותיה התבקש מינוי שמאי מכריע, לא הובאו שטחי </w:t>
      </w:r>
      <w:r w:rsidR="0052342E" w:rsidRPr="00A038F8">
        <w:rPr>
          <w:rFonts w:cs="David" w:hint="eastAsia"/>
          <w:i/>
          <w:iCs/>
          <w:rtl/>
        </w:rPr>
        <w:t>הגזוזטרות</w:t>
      </w:r>
      <w:r w:rsidR="0052342E" w:rsidRPr="00A038F8">
        <w:rPr>
          <w:rFonts w:cs="David"/>
          <w:i/>
          <w:iCs/>
          <w:rtl/>
        </w:rPr>
        <w:t xml:space="preserve"> בתוכנית</w:t>
      </w:r>
      <w:r w:rsidRPr="00A038F8">
        <w:rPr>
          <w:rFonts w:cs="David"/>
          <w:i/>
          <w:iCs/>
          <w:rtl/>
        </w:rPr>
        <w:t xml:space="preserve"> מגרש 20 בחישוב הזכויות במצב החדש, והסעיפים הנוגעים להן לא נזכרו כלל. מן השומה המכרעת עולה, כי טענת הוועדה המקומית שיש לחייב בהיטל השבחה גם בגין שטחי הגזוזטרות עלתה לראשונה בתגובתה לשומה האחרת מטעם העוררת (עמ' 9 ו- 16 לשומה המכרעת).</w:t>
      </w:r>
    </w:p>
    <w:p w:rsidR="00DC0F12" w:rsidRPr="00A038F8" w:rsidRDefault="00DC0F12" w:rsidP="00E35182">
      <w:pPr>
        <w:pStyle w:val="11"/>
        <w:tabs>
          <w:tab w:val="left" w:pos="283"/>
        </w:tabs>
        <w:spacing w:line="360" w:lineRule="auto"/>
        <w:ind w:left="992" w:right="1134"/>
        <w:contextualSpacing w:val="0"/>
        <w:jc w:val="both"/>
        <w:rPr>
          <w:rFonts w:cs="David"/>
          <w:i/>
          <w:iCs/>
          <w:rtl/>
        </w:rPr>
      </w:pPr>
      <w:r w:rsidRPr="00A038F8">
        <w:rPr>
          <w:rFonts w:cs="David"/>
          <w:b/>
          <w:bCs/>
          <w:i/>
          <w:iCs/>
          <w:rtl/>
        </w:rPr>
        <w:t>שלב השומה המכרעת אינו מיועד לעריכת "מקצה שיפורים" בשומת הוועדה המקומית. ועדה מקומית נדרשת לעריכת שומת היטל השבחה המשקפת מס אמת, לפי מיטב שיקול דעתו המקצועי של שמאי מקרקעין מוסמך מטעמה. משהוגש ערר או התבקש מינוי שמאי מכריע לבחינת שומת הוועדה המקומית – אין משמעות הדבר כי נסללה בפני הוועדה המקומית דרך לעדכון או עריכת תיקונים מהותיים שונים בשומתה המקורית</w:t>
      </w:r>
      <w:r w:rsidRPr="00A038F8">
        <w:rPr>
          <w:rFonts w:cs="David"/>
          <w:i/>
          <w:iCs/>
          <w:rtl/>
        </w:rPr>
        <w:t xml:space="preserve">". </w:t>
      </w:r>
    </w:p>
    <w:p w:rsidR="00DC0F12" w:rsidRPr="007F66FC" w:rsidRDefault="00DC0F12" w:rsidP="006C64A1">
      <w:pPr>
        <w:pStyle w:val="11"/>
        <w:spacing w:line="360" w:lineRule="auto"/>
        <w:ind w:left="1134" w:right="1134"/>
        <w:contextualSpacing w:val="0"/>
        <w:jc w:val="both"/>
        <w:rPr>
          <w:rFonts w:cs="David"/>
          <w:sz w:val="24"/>
          <w:szCs w:val="24"/>
        </w:rPr>
      </w:pPr>
      <w:r>
        <w:rPr>
          <w:rFonts w:cs="David"/>
          <w:b/>
          <w:bCs/>
          <w:sz w:val="24"/>
          <w:szCs w:val="24"/>
          <w:rtl/>
        </w:rPr>
        <w:tab/>
      </w:r>
      <w:r>
        <w:rPr>
          <w:rFonts w:cs="David"/>
          <w:b/>
          <w:bCs/>
          <w:sz w:val="24"/>
          <w:szCs w:val="24"/>
          <w:rtl/>
        </w:rPr>
        <w:tab/>
      </w:r>
      <w:r>
        <w:rPr>
          <w:rFonts w:cs="David"/>
          <w:b/>
          <w:bCs/>
          <w:sz w:val="24"/>
          <w:szCs w:val="24"/>
          <w:rtl/>
        </w:rPr>
        <w:tab/>
      </w:r>
      <w:r>
        <w:rPr>
          <w:rFonts w:cs="David"/>
          <w:b/>
          <w:bCs/>
          <w:sz w:val="24"/>
          <w:szCs w:val="24"/>
          <w:rtl/>
        </w:rPr>
        <w:tab/>
      </w:r>
      <w:r>
        <w:rPr>
          <w:rFonts w:cs="David"/>
          <w:b/>
          <w:bCs/>
          <w:sz w:val="24"/>
          <w:szCs w:val="24"/>
          <w:rtl/>
        </w:rPr>
        <w:tab/>
      </w:r>
      <w:r w:rsidRPr="007F66FC">
        <w:rPr>
          <w:rFonts w:cs="David"/>
          <w:sz w:val="24"/>
          <w:szCs w:val="24"/>
          <w:rtl/>
        </w:rPr>
        <w:tab/>
      </w:r>
      <w:r w:rsidRPr="007F66FC">
        <w:rPr>
          <w:rFonts w:cs="David" w:hint="cs"/>
          <w:sz w:val="24"/>
          <w:szCs w:val="24"/>
          <w:rtl/>
        </w:rPr>
        <w:t xml:space="preserve">(הדגשות אינן במקור </w:t>
      </w:r>
      <w:r w:rsidRPr="007F66FC">
        <w:rPr>
          <w:rFonts w:cs="David"/>
          <w:sz w:val="24"/>
          <w:szCs w:val="24"/>
          <w:rtl/>
        </w:rPr>
        <w:t>–</w:t>
      </w:r>
      <w:r w:rsidRPr="007F66FC">
        <w:rPr>
          <w:rFonts w:cs="David" w:hint="cs"/>
          <w:sz w:val="24"/>
          <w:szCs w:val="24"/>
          <w:rtl/>
        </w:rPr>
        <w:t xml:space="preserve"> הח"מ) </w:t>
      </w:r>
    </w:p>
    <w:p w:rsidR="00E35182" w:rsidRDefault="005E64F7" w:rsidP="00E35182">
      <w:pPr>
        <w:pStyle w:val="a9"/>
        <w:numPr>
          <w:ilvl w:val="0"/>
          <w:numId w:val="1"/>
        </w:numPr>
        <w:tabs>
          <w:tab w:val="left" w:pos="425"/>
        </w:tabs>
        <w:spacing w:line="360" w:lineRule="auto"/>
        <w:contextualSpacing w:val="0"/>
        <w:jc w:val="both"/>
        <w:rPr>
          <w:rFonts w:ascii="David" w:hAnsi="David" w:cs="David"/>
        </w:rPr>
      </w:pPr>
      <w:r>
        <w:rPr>
          <w:rFonts w:ascii="David" w:hAnsi="David" w:cs="David" w:hint="cs"/>
          <w:rtl/>
        </w:rPr>
        <w:t>הגם שמסכימים אנו עם העקרון שנקבע בהחלטה לעיל, הרי שבמקרה דנא אין אנו נדרשים להכריע בשאלה האם בכל מקום בו מועלית טענה תוך כדי ניהול הליך בפני שמאי מכריע ניתן לעשות כן</w:t>
      </w:r>
      <w:r w:rsidR="005E4144">
        <w:rPr>
          <w:rFonts w:ascii="David" w:hAnsi="David" w:cs="David" w:hint="cs"/>
          <w:rtl/>
        </w:rPr>
        <w:t>,</w:t>
      </w:r>
      <w:r>
        <w:rPr>
          <w:rFonts w:ascii="David" w:hAnsi="David" w:cs="David" w:hint="cs"/>
          <w:rtl/>
        </w:rPr>
        <w:t xml:space="preserve"> וכל מקרה ייבחן לגופו ובהקשר ל</w:t>
      </w:r>
      <w:r w:rsidR="00782B02">
        <w:rPr>
          <w:rFonts w:ascii="David" w:hAnsi="David" w:cs="David" w:hint="cs"/>
          <w:rtl/>
        </w:rPr>
        <w:t>נסיבות שבאותו מקרה</w:t>
      </w:r>
      <w:r w:rsidR="005E4144">
        <w:rPr>
          <w:rFonts w:ascii="David" w:hAnsi="David" w:cs="David" w:hint="cs"/>
          <w:rtl/>
        </w:rPr>
        <w:t xml:space="preserve">. </w:t>
      </w:r>
      <w:r>
        <w:rPr>
          <w:rFonts w:ascii="David" w:hAnsi="David" w:cs="David" w:hint="cs"/>
          <w:rtl/>
        </w:rPr>
        <w:t>כאשר</w:t>
      </w:r>
      <w:r w:rsidR="00782B02">
        <w:rPr>
          <w:rFonts w:ascii="David" w:hAnsi="David" w:cs="David" w:hint="cs"/>
          <w:rtl/>
        </w:rPr>
        <w:t xml:space="preserve"> מכל מקום, להבנתנו</w:t>
      </w:r>
      <w:r>
        <w:rPr>
          <w:rFonts w:ascii="David" w:hAnsi="David" w:cs="David" w:hint="cs"/>
          <w:rtl/>
        </w:rPr>
        <w:t xml:space="preserve"> נקודת המוצא </w:t>
      </w:r>
      <w:r w:rsidR="00782B02">
        <w:rPr>
          <w:rFonts w:ascii="David" w:hAnsi="David" w:cs="David" w:hint="cs"/>
          <w:rtl/>
        </w:rPr>
        <w:t xml:space="preserve">הכללית ולהוציא </w:t>
      </w:r>
      <w:r w:rsidR="00E35182">
        <w:rPr>
          <w:rFonts w:ascii="David" w:hAnsi="David" w:cs="David" w:hint="cs"/>
          <w:rtl/>
        </w:rPr>
        <w:t>המקרים המנויים בחוק היא</w:t>
      </w:r>
      <w:r w:rsidR="00782B02">
        <w:rPr>
          <w:rFonts w:ascii="David" w:hAnsi="David" w:cs="David" w:hint="cs"/>
          <w:rtl/>
        </w:rPr>
        <w:t>,</w:t>
      </w:r>
      <w:r>
        <w:rPr>
          <w:rFonts w:ascii="David" w:hAnsi="David" w:cs="David" w:hint="cs"/>
          <w:rtl/>
        </w:rPr>
        <w:t xml:space="preserve"> שאת </w:t>
      </w:r>
      <w:r w:rsidR="005E4144">
        <w:rPr>
          <w:rFonts w:ascii="David" w:hAnsi="David" w:cs="David" w:hint="cs"/>
          <w:rtl/>
        </w:rPr>
        <w:t>אירועי המס שסבורה הועדה המקומית כי יש ל</w:t>
      </w:r>
      <w:r w:rsidR="00AA5357">
        <w:rPr>
          <w:rFonts w:ascii="David" w:hAnsi="David" w:cs="David" w:hint="cs"/>
          <w:rtl/>
        </w:rPr>
        <w:t xml:space="preserve">חייב </w:t>
      </w:r>
      <w:r w:rsidR="005E4144">
        <w:rPr>
          <w:rFonts w:ascii="David" w:hAnsi="David" w:cs="David" w:hint="cs"/>
          <w:rtl/>
        </w:rPr>
        <w:t>עליה</w:t>
      </w:r>
      <w:r w:rsidR="00AA5357">
        <w:rPr>
          <w:rFonts w:ascii="David" w:hAnsi="David" w:cs="David" w:hint="cs"/>
          <w:rtl/>
        </w:rPr>
        <w:t xml:space="preserve"> לעשות כן</w:t>
      </w:r>
      <w:r>
        <w:rPr>
          <w:rFonts w:ascii="David" w:hAnsi="David" w:cs="David" w:hint="cs"/>
          <w:rtl/>
        </w:rPr>
        <w:t xml:space="preserve"> במסגרת השומה</w:t>
      </w:r>
      <w:r w:rsidR="00782B02">
        <w:rPr>
          <w:rFonts w:ascii="David" w:hAnsi="David" w:cs="David" w:hint="cs"/>
          <w:rtl/>
        </w:rPr>
        <w:t xml:space="preserve"> המקורית. </w:t>
      </w:r>
      <w:r>
        <w:rPr>
          <w:rFonts w:ascii="David" w:hAnsi="David" w:cs="David" w:hint="cs"/>
          <w:rtl/>
        </w:rPr>
        <w:t xml:space="preserve">אלא, שבמקרה דנא גם אם לא במפורש, מבקשת הועדה המקומית לתקן את שומתה </w:t>
      </w:r>
      <w:r w:rsidR="00782B02">
        <w:rPr>
          <w:rFonts w:ascii="David" w:hAnsi="David" w:cs="David" w:hint="cs"/>
          <w:rtl/>
        </w:rPr>
        <w:t>עת מבקשת היא לטעון שתכנית ההרחבות בי/319 לא אמורה להיות כחלק ממצב קודם שהפועל היוצא הוא לקבוע מדרגת השבחה נפרדת בגינה ולאור הטעמים שפורטו לעיל</w:t>
      </w:r>
      <w:r w:rsidR="00AA5357">
        <w:rPr>
          <w:rFonts w:ascii="David" w:hAnsi="David" w:cs="David" w:hint="cs"/>
          <w:rtl/>
        </w:rPr>
        <w:t>,</w:t>
      </w:r>
      <w:r w:rsidR="00782B02">
        <w:rPr>
          <w:rFonts w:ascii="David" w:hAnsi="David" w:cs="David" w:hint="cs"/>
          <w:rtl/>
        </w:rPr>
        <w:t xml:space="preserve"> </w:t>
      </w:r>
      <w:r w:rsidRPr="00782B02">
        <w:rPr>
          <w:rFonts w:ascii="David" w:hAnsi="David" w:cs="David" w:hint="cs"/>
          <w:rtl/>
        </w:rPr>
        <w:t xml:space="preserve">הננו סבורים כי דינה של הטענה להידחות על הסף. </w:t>
      </w:r>
    </w:p>
    <w:p w:rsidR="00E35182" w:rsidRDefault="00782B02" w:rsidP="00E35182">
      <w:pPr>
        <w:pStyle w:val="a9"/>
        <w:numPr>
          <w:ilvl w:val="0"/>
          <w:numId w:val="1"/>
        </w:numPr>
        <w:tabs>
          <w:tab w:val="left" w:pos="425"/>
        </w:tabs>
        <w:spacing w:line="360" w:lineRule="auto"/>
        <w:contextualSpacing w:val="0"/>
        <w:jc w:val="both"/>
        <w:rPr>
          <w:rFonts w:ascii="David" w:hAnsi="David" w:cs="David"/>
        </w:rPr>
      </w:pPr>
      <w:r w:rsidRPr="00E35182">
        <w:rPr>
          <w:rFonts w:ascii="David" w:hAnsi="David" w:cs="David" w:hint="cs"/>
          <w:rtl/>
        </w:rPr>
        <w:t xml:space="preserve">לכך יש להוסיף, כי </w:t>
      </w:r>
      <w:r w:rsidR="00DC0F12" w:rsidRPr="00E35182">
        <w:rPr>
          <w:rFonts w:ascii="David" w:hAnsi="David" w:cs="David" w:hint="cs"/>
          <w:rtl/>
        </w:rPr>
        <w:t xml:space="preserve">הואיל ולפי הפסיקה השמאית </w:t>
      </w:r>
      <w:r w:rsidR="008757F3">
        <w:rPr>
          <w:rFonts w:ascii="David" w:hAnsi="David" w:cs="David" w:hint="cs"/>
          <w:rtl/>
        </w:rPr>
        <w:t>ה</w:t>
      </w:r>
      <w:r w:rsidR="00DC0F12" w:rsidRPr="00E35182">
        <w:rPr>
          <w:rFonts w:ascii="David" w:hAnsi="David" w:cs="David" w:hint="cs"/>
          <w:rtl/>
        </w:rPr>
        <w:t>מכריעה לא כבולה לעמדות הצדדים ועליה לעשות שומה עצמאית משלה, אז ממילא אין נפקות ממשית רק לאופן שבו השומות הצדדים בוטאו. ודוק</w:t>
      </w:r>
      <w:r w:rsidRPr="00E35182">
        <w:rPr>
          <w:rFonts w:ascii="David" w:hAnsi="David" w:cs="David" w:hint="cs"/>
          <w:rtl/>
        </w:rPr>
        <w:t xml:space="preserve">, </w:t>
      </w:r>
      <w:r w:rsidR="00DC0F12" w:rsidRPr="00E35182">
        <w:rPr>
          <w:rFonts w:ascii="David" w:hAnsi="David" w:cs="David" w:hint="cs"/>
          <w:rtl/>
        </w:rPr>
        <w:t xml:space="preserve">לו סברה השמאית כי ישנה תכנית משביחה שיש לחייב בגינה במדרגת השבחה נפרדת היא </w:t>
      </w:r>
      <w:proofErr w:type="spellStart"/>
      <w:r w:rsidR="00DC0F12" w:rsidRPr="00E35182">
        <w:rPr>
          <w:rFonts w:ascii="David" w:hAnsi="David" w:cs="David" w:hint="cs"/>
          <w:rtl/>
        </w:rPr>
        <w:t>היתה</w:t>
      </w:r>
      <w:proofErr w:type="spellEnd"/>
      <w:r w:rsidR="00DC0F12" w:rsidRPr="00E35182">
        <w:rPr>
          <w:rFonts w:ascii="David" w:hAnsi="David" w:cs="David" w:hint="cs"/>
          <w:rtl/>
        </w:rPr>
        <w:t xml:space="preserve"> עושה כן</w:t>
      </w:r>
      <w:r w:rsidR="00AA5357" w:rsidRPr="00E35182">
        <w:rPr>
          <w:rFonts w:ascii="David" w:hAnsi="David" w:cs="David" w:hint="cs"/>
          <w:rtl/>
        </w:rPr>
        <w:t>,</w:t>
      </w:r>
      <w:r w:rsidR="00DC0F12" w:rsidRPr="00E35182">
        <w:rPr>
          <w:rFonts w:ascii="David" w:hAnsi="David" w:cs="David" w:hint="cs"/>
          <w:rtl/>
        </w:rPr>
        <w:t xml:space="preserve"> גם אלמלא טען זאת מי מהצדדים. </w:t>
      </w:r>
    </w:p>
    <w:p w:rsidR="00E35182" w:rsidRDefault="003140D3" w:rsidP="00E35182">
      <w:pPr>
        <w:pStyle w:val="a9"/>
        <w:numPr>
          <w:ilvl w:val="0"/>
          <w:numId w:val="1"/>
        </w:numPr>
        <w:tabs>
          <w:tab w:val="left" w:pos="425"/>
        </w:tabs>
        <w:spacing w:line="360" w:lineRule="auto"/>
        <w:contextualSpacing w:val="0"/>
        <w:jc w:val="both"/>
        <w:rPr>
          <w:rFonts w:ascii="David" w:hAnsi="David" w:cs="David"/>
        </w:rPr>
      </w:pPr>
      <w:r w:rsidRPr="00E35182">
        <w:rPr>
          <w:rFonts w:ascii="David" w:hAnsi="David" w:cs="David" w:hint="cs"/>
          <w:rtl/>
        </w:rPr>
        <w:t xml:space="preserve">גם לגופו של עניין מקבלים אנו את נימוקיה של השמאית המכריעה להעדר חיוב בגין תכנית ההרחבות בי/319 </w:t>
      </w:r>
      <w:r w:rsidR="00DC0F12" w:rsidRPr="00E35182">
        <w:rPr>
          <w:rFonts w:ascii="David" w:hAnsi="David" w:cs="David" w:hint="cs"/>
          <w:rtl/>
        </w:rPr>
        <w:t>בין היתר מהטעמים שהחלקות שבנדון כלולות במתחם שכונת רמת יוסף המוכרזת כשכונת שיקום</w:t>
      </w:r>
      <w:r w:rsidR="00E35182">
        <w:rPr>
          <w:rFonts w:ascii="David" w:hAnsi="David" w:cs="David" w:hint="cs"/>
          <w:rtl/>
        </w:rPr>
        <w:t>,</w:t>
      </w:r>
      <w:r w:rsidR="00DC0F12" w:rsidRPr="00E35182">
        <w:rPr>
          <w:rFonts w:ascii="David" w:hAnsi="David" w:cs="David" w:hint="cs"/>
          <w:rtl/>
        </w:rPr>
        <w:t xml:space="preserve"> ובהתחשב בכך שבמסגרת המחלוקת שבאה בפניה </w:t>
      </w:r>
      <w:r w:rsidR="00C41CE0">
        <w:rPr>
          <w:rFonts w:ascii="David" w:hAnsi="David" w:cs="David" w:hint="cs"/>
          <w:rtl/>
        </w:rPr>
        <w:t>לא</w:t>
      </w:r>
      <w:r w:rsidR="00C41CE0" w:rsidRPr="00E35182">
        <w:rPr>
          <w:rFonts w:ascii="David" w:hAnsi="David" w:cs="David" w:hint="cs"/>
          <w:rtl/>
        </w:rPr>
        <w:t xml:space="preserve"> </w:t>
      </w:r>
      <w:r w:rsidR="00DC0F12" w:rsidRPr="00E35182">
        <w:rPr>
          <w:rFonts w:ascii="David" w:hAnsi="David" w:cs="David" w:hint="cs"/>
          <w:rtl/>
        </w:rPr>
        <w:t>מיוחסת השבחה מכוח תכנית ההרחבות ולא הוצגו לעיניה נתונים בדבר מימושים קודמים עובר למועד הקובע למדרגת ההשבחה הראשונה, מאחר ובשומת הועדה המקומית לא נבחנה ההשבחה בגין תכנית אלה</w:t>
      </w:r>
      <w:r w:rsidR="00041345" w:rsidRPr="00E35182">
        <w:rPr>
          <w:rFonts w:ascii="David" w:hAnsi="David" w:cs="David" w:hint="cs"/>
          <w:rtl/>
        </w:rPr>
        <w:t>,</w:t>
      </w:r>
      <w:r w:rsidR="00DC0F12" w:rsidRPr="00E35182">
        <w:rPr>
          <w:rFonts w:ascii="David" w:hAnsi="David" w:cs="David" w:hint="cs"/>
          <w:rtl/>
        </w:rPr>
        <w:t xml:space="preserve"> </w:t>
      </w:r>
      <w:r w:rsidR="00041345" w:rsidRPr="00E35182">
        <w:rPr>
          <w:rFonts w:ascii="David" w:hAnsi="David" w:cs="David" w:hint="cs"/>
          <w:rtl/>
        </w:rPr>
        <w:t>(</w:t>
      </w:r>
      <w:r w:rsidRPr="00E35182">
        <w:rPr>
          <w:rFonts w:ascii="David" w:hAnsi="David" w:cs="David" w:hint="cs"/>
          <w:rtl/>
        </w:rPr>
        <w:t xml:space="preserve">אף לא אחר שהוגשה התייחסות שמאי הועדה המקומית בו טען </w:t>
      </w:r>
      <w:r w:rsidR="00041345" w:rsidRPr="00E35182">
        <w:rPr>
          <w:rFonts w:ascii="David" w:hAnsi="David" w:cs="David" w:hint="cs"/>
          <w:rtl/>
        </w:rPr>
        <w:t xml:space="preserve">לראשונה </w:t>
      </w:r>
      <w:r w:rsidRPr="00E35182">
        <w:rPr>
          <w:rFonts w:ascii="David" w:hAnsi="David" w:cs="David" w:hint="cs"/>
          <w:rtl/>
        </w:rPr>
        <w:t>שאין מקום ליתן פטור בגינה</w:t>
      </w:r>
      <w:r w:rsidR="00041345" w:rsidRPr="00E35182">
        <w:rPr>
          <w:rFonts w:ascii="David" w:hAnsi="David" w:cs="David" w:hint="cs"/>
          <w:rtl/>
        </w:rPr>
        <w:t>)</w:t>
      </w:r>
      <w:r w:rsidRPr="00E35182">
        <w:rPr>
          <w:rFonts w:ascii="David" w:hAnsi="David" w:cs="David" w:hint="cs"/>
          <w:rtl/>
        </w:rPr>
        <w:t xml:space="preserve">, </w:t>
      </w:r>
      <w:r w:rsidR="00DC0F12" w:rsidRPr="00E35182">
        <w:rPr>
          <w:rFonts w:ascii="David" w:hAnsi="David" w:cs="David" w:hint="cs"/>
          <w:rtl/>
        </w:rPr>
        <w:t>סברה השמאית המכריעה שאין להביא בחשבון השבחה בגין תכנית ההרחבה בהליך זה.</w:t>
      </w:r>
    </w:p>
    <w:p w:rsidR="00E35182" w:rsidRDefault="00041345" w:rsidP="00E35182">
      <w:pPr>
        <w:pStyle w:val="a9"/>
        <w:numPr>
          <w:ilvl w:val="0"/>
          <w:numId w:val="1"/>
        </w:numPr>
        <w:tabs>
          <w:tab w:val="left" w:pos="425"/>
        </w:tabs>
        <w:spacing w:line="360" w:lineRule="auto"/>
        <w:contextualSpacing w:val="0"/>
        <w:jc w:val="both"/>
        <w:rPr>
          <w:rFonts w:ascii="David" w:hAnsi="David" w:cs="David"/>
        </w:rPr>
      </w:pPr>
      <w:r w:rsidRPr="00E35182">
        <w:rPr>
          <w:rFonts w:ascii="David" w:hAnsi="David" w:cs="David" w:hint="cs"/>
          <w:rtl/>
        </w:rPr>
        <w:t xml:space="preserve">כמו כן, </w:t>
      </w:r>
      <w:r w:rsidR="00DC0F12" w:rsidRPr="00E35182">
        <w:rPr>
          <w:rFonts w:ascii="David" w:hAnsi="David" w:cs="David" w:hint="cs"/>
          <w:rtl/>
        </w:rPr>
        <w:t>שמאי הועדה המקומית מבהיר כי הזכויות מכוח תכנית ההרחבות מומש</w:t>
      </w:r>
      <w:r w:rsidR="003140D3" w:rsidRPr="00E35182">
        <w:rPr>
          <w:rFonts w:ascii="David" w:hAnsi="David" w:cs="David" w:hint="cs"/>
          <w:rtl/>
        </w:rPr>
        <w:t>ו</w:t>
      </w:r>
      <w:r w:rsidR="00DC0F12" w:rsidRPr="00E35182">
        <w:rPr>
          <w:rFonts w:ascii="David" w:hAnsi="David" w:cs="David" w:hint="cs"/>
          <w:rtl/>
        </w:rPr>
        <w:t xml:space="preserve"> בפועל כ-300 מ"ר מתוך 2,200 מ"ר</w:t>
      </w:r>
      <w:r w:rsidR="003140D3" w:rsidRPr="00E35182">
        <w:rPr>
          <w:rFonts w:ascii="David" w:hAnsi="David" w:cs="David" w:hint="cs"/>
          <w:rtl/>
        </w:rPr>
        <w:t>,</w:t>
      </w:r>
      <w:r w:rsidR="00DC0F12" w:rsidRPr="00E35182">
        <w:rPr>
          <w:rFonts w:ascii="David" w:hAnsi="David" w:cs="David" w:hint="cs"/>
          <w:rtl/>
        </w:rPr>
        <w:t xml:space="preserve"> היינו כ-15% </w:t>
      </w:r>
      <w:r w:rsidR="003140D3" w:rsidRPr="00E35182">
        <w:rPr>
          <w:rFonts w:ascii="David" w:hAnsi="David" w:cs="David" w:hint="cs"/>
          <w:rtl/>
        </w:rPr>
        <w:t>בלבד</w:t>
      </w:r>
      <w:r w:rsidRPr="00E35182">
        <w:rPr>
          <w:rFonts w:ascii="David" w:hAnsi="David" w:cs="David" w:hint="cs"/>
          <w:rtl/>
        </w:rPr>
        <w:t>,</w:t>
      </w:r>
      <w:r w:rsidR="003140D3" w:rsidRPr="00E35182">
        <w:rPr>
          <w:rFonts w:ascii="David" w:hAnsi="David" w:cs="David" w:hint="cs"/>
          <w:rtl/>
        </w:rPr>
        <w:t xml:space="preserve"> </w:t>
      </w:r>
      <w:r w:rsidR="00DC0F12" w:rsidRPr="00E35182">
        <w:rPr>
          <w:rFonts w:ascii="David" w:hAnsi="David" w:cs="David" w:hint="cs"/>
          <w:rtl/>
        </w:rPr>
        <w:t xml:space="preserve">כאשר </w:t>
      </w:r>
      <w:r w:rsidR="003140D3" w:rsidRPr="00E35182">
        <w:rPr>
          <w:rFonts w:ascii="David" w:hAnsi="David" w:cs="David" w:hint="cs"/>
          <w:rtl/>
        </w:rPr>
        <w:t xml:space="preserve">מציינת השמאית המכריעה כי ממילא מימוש </w:t>
      </w:r>
      <w:r w:rsidR="00DC0F12" w:rsidRPr="00E35182">
        <w:rPr>
          <w:rFonts w:ascii="David" w:hAnsi="David" w:cs="David" w:hint="cs"/>
          <w:rtl/>
        </w:rPr>
        <w:t>בדרך של היתר בניה נוכח העובדה שהחלקות מצויות במגרש המוכרז כשכונת שיקום חוסות תחת הפטור לפי סעיף. מעבר לכך, במידה והיו מימושים נוספים במכר אזי לא ניתן במסגרת הליך זה לגבות מהחברה בגין מימושי עבר שנעשו על ידי מוכרי דירות</w:t>
      </w:r>
      <w:r w:rsidRPr="00E35182">
        <w:rPr>
          <w:rFonts w:ascii="David" w:hAnsi="David" w:cs="David" w:hint="cs"/>
          <w:rtl/>
        </w:rPr>
        <w:t xml:space="preserve"> מה</w:t>
      </w:r>
      <w:r w:rsidR="001E0294">
        <w:rPr>
          <w:rFonts w:ascii="David" w:hAnsi="David" w:cs="David" w:hint="cs"/>
          <w:rtl/>
        </w:rPr>
        <w:t xml:space="preserve">ם </w:t>
      </w:r>
      <w:r w:rsidRPr="00E35182">
        <w:rPr>
          <w:rFonts w:ascii="David" w:hAnsi="David" w:cs="David" w:hint="cs"/>
          <w:rtl/>
        </w:rPr>
        <w:t>לא גבתה הועדה המקומית</w:t>
      </w:r>
      <w:r w:rsidR="00DC0F12" w:rsidRPr="00E35182">
        <w:rPr>
          <w:rFonts w:ascii="David" w:hAnsi="David" w:cs="David" w:hint="cs"/>
          <w:rtl/>
        </w:rPr>
        <w:t>.</w:t>
      </w:r>
    </w:p>
    <w:p w:rsidR="001E0294" w:rsidRDefault="001E0294" w:rsidP="00CD4258">
      <w:pPr>
        <w:pStyle w:val="a9"/>
        <w:tabs>
          <w:tab w:val="left" w:pos="425"/>
        </w:tabs>
        <w:spacing w:line="360" w:lineRule="auto"/>
        <w:ind w:left="360"/>
        <w:contextualSpacing w:val="0"/>
        <w:jc w:val="both"/>
        <w:rPr>
          <w:rFonts w:ascii="David" w:hAnsi="David" w:cs="David"/>
        </w:rPr>
      </w:pPr>
    </w:p>
    <w:p w:rsidR="001E0294" w:rsidRDefault="001E0294" w:rsidP="00CD4258">
      <w:pPr>
        <w:pStyle w:val="a9"/>
        <w:tabs>
          <w:tab w:val="left" w:pos="425"/>
        </w:tabs>
        <w:spacing w:line="360" w:lineRule="auto"/>
        <w:ind w:left="360"/>
        <w:contextualSpacing w:val="0"/>
        <w:jc w:val="both"/>
        <w:rPr>
          <w:rFonts w:ascii="David" w:hAnsi="David" w:cs="David"/>
        </w:rPr>
      </w:pPr>
    </w:p>
    <w:p w:rsidR="00A86B7A" w:rsidRPr="00E35182" w:rsidRDefault="00A86B7A" w:rsidP="00E35182">
      <w:pPr>
        <w:pStyle w:val="a9"/>
        <w:numPr>
          <w:ilvl w:val="0"/>
          <w:numId w:val="1"/>
        </w:numPr>
        <w:tabs>
          <w:tab w:val="left" w:pos="425"/>
        </w:tabs>
        <w:spacing w:line="360" w:lineRule="auto"/>
        <w:contextualSpacing w:val="0"/>
        <w:jc w:val="both"/>
        <w:rPr>
          <w:rFonts w:ascii="David" w:hAnsi="David" w:cs="David"/>
          <w:rtl/>
        </w:rPr>
      </w:pPr>
      <w:r w:rsidRPr="00E35182">
        <w:rPr>
          <w:rFonts w:ascii="David" w:hAnsi="David" w:cs="David" w:hint="cs"/>
          <w:rtl/>
        </w:rPr>
        <w:t xml:space="preserve">אולם בכך לא סגי, שכן נראה כי כפי שמציינת השמאית המכריעה, הועדה המקומית כלל לא גבתה בעבר היטל השבחה בגין תכנית </w:t>
      </w:r>
      <w:r w:rsidR="0052342E" w:rsidRPr="00E35182">
        <w:rPr>
          <w:rFonts w:ascii="David" w:hAnsi="David" w:cs="David" w:hint="eastAsia"/>
          <w:rtl/>
        </w:rPr>
        <w:t>ההרחבות</w:t>
      </w:r>
      <w:r w:rsidR="0052342E" w:rsidRPr="00E35182">
        <w:rPr>
          <w:rFonts w:ascii="David" w:hAnsi="David" w:cs="David"/>
          <w:rtl/>
        </w:rPr>
        <w:t xml:space="preserve"> בי</w:t>
      </w:r>
      <w:r w:rsidRPr="00E35182">
        <w:rPr>
          <w:rFonts w:ascii="David" w:hAnsi="David" w:cs="David" w:hint="cs"/>
          <w:rtl/>
        </w:rPr>
        <w:t xml:space="preserve">/319 והאמור אושר על ידי הועדה המקומית </w:t>
      </w:r>
      <w:r w:rsidR="001E0294" w:rsidRPr="00E35182">
        <w:rPr>
          <w:rFonts w:ascii="David" w:hAnsi="David" w:cs="David" w:hint="eastAsia"/>
          <w:rtl/>
        </w:rPr>
        <w:t>בפנינו</w:t>
      </w:r>
      <w:r w:rsidR="001E0294" w:rsidRPr="00E35182">
        <w:rPr>
          <w:rFonts w:ascii="David" w:hAnsi="David" w:cs="David"/>
          <w:rtl/>
        </w:rPr>
        <w:t xml:space="preserve"> ר</w:t>
      </w:r>
      <w:r w:rsidRPr="00E35182">
        <w:rPr>
          <w:rFonts w:ascii="David" w:hAnsi="David" w:cs="David" w:hint="cs"/>
          <w:rtl/>
        </w:rPr>
        <w:t>' עמ' 49 לפרוטוקול הדיון ש' 2-7 כדלקמן:</w:t>
      </w:r>
    </w:p>
    <w:p w:rsidR="00A86B7A" w:rsidRPr="00A86B7A" w:rsidRDefault="00A86B7A" w:rsidP="00A86B7A">
      <w:pPr>
        <w:pStyle w:val="a9"/>
        <w:spacing w:line="360" w:lineRule="auto"/>
        <w:ind w:left="992" w:right="1134"/>
        <w:jc w:val="both"/>
        <w:rPr>
          <w:rFonts w:cs="David"/>
          <w:b/>
          <w:bCs/>
          <w:i/>
          <w:iCs/>
          <w:u w:val="single"/>
          <w:rtl/>
        </w:rPr>
      </w:pPr>
      <w:r w:rsidRPr="00A86B7A">
        <w:rPr>
          <w:rFonts w:cs="David" w:hint="cs"/>
          <w:b/>
          <w:bCs/>
          <w:i/>
          <w:iCs/>
          <w:u w:val="single"/>
          <w:rtl/>
        </w:rPr>
        <w:t>יו"ר:</w:t>
      </w:r>
    </w:p>
    <w:p w:rsidR="00A86B7A" w:rsidRPr="00A86B7A" w:rsidRDefault="00A86B7A" w:rsidP="00A86B7A">
      <w:pPr>
        <w:pStyle w:val="a9"/>
        <w:spacing w:line="360" w:lineRule="auto"/>
        <w:ind w:left="992" w:right="1134"/>
        <w:jc w:val="both"/>
        <w:rPr>
          <w:rFonts w:cs="David"/>
          <w:i/>
          <w:iCs/>
          <w:rtl/>
        </w:rPr>
      </w:pPr>
      <w:r w:rsidRPr="00A86B7A">
        <w:rPr>
          <w:rFonts w:cs="David" w:hint="cs"/>
          <w:i/>
          <w:iCs/>
          <w:rtl/>
        </w:rPr>
        <w:t xml:space="preserve">אם הדירות 40 מ"ר ותכנית הרחבות אפשרה להרחיב ל </w:t>
      </w:r>
      <w:r w:rsidRPr="00A86B7A">
        <w:rPr>
          <w:rFonts w:cs="David"/>
          <w:i/>
          <w:iCs/>
          <w:rtl/>
        </w:rPr>
        <w:t>–</w:t>
      </w:r>
      <w:r w:rsidRPr="00A86B7A">
        <w:rPr>
          <w:rFonts w:cs="David" w:hint="cs"/>
          <w:i/>
          <w:iCs/>
          <w:rtl/>
        </w:rPr>
        <w:t xml:space="preserve"> 80 מ"ר בפועל לא היה מכירות?</w:t>
      </w:r>
    </w:p>
    <w:p w:rsidR="00A86B7A" w:rsidRPr="00A86B7A" w:rsidRDefault="00A86B7A" w:rsidP="00A86B7A">
      <w:pPr>
        <w:pStyle w:val="a9"/>
        <w:spacing w:line="360" w:lineRule="auto"/>
        <w:ind w:left="992" w:right="1134"/>
        <w:jc w:val="both"/>
        <w:rPr>
          <w:rFonts w:cs="David"/>
          <w:b/>
          <w:bCs/>
          <w:i/>
          <w:iCs/>
          <w:u w:val="single"/>
          <w:rtl/>
        </w:rPr>
      </w:pPr>
      <w:r w:rsidRPr="00A86B7A">
        <w:rPr>
          <w:rFonts w:cs="David" w:hint="cs"/>
          <w:b/>
          <w:bCs/>
          <w:i/>
          <w:iCs/>
          <w:u w:val="single"/>
          <w:rtl/>
        </w:rPr>
        <w:t>מר ברק:</w:t>
      </w:r>
    </w:p>
    <w:p w:rsidR="00A86B7A" w:rsidRDefault="00A86B7A" w:rsidP="00A86B7A">
      <w:pPr>
        <w:pStyle w:val="a9"/>
        <w:spacing w:line="360" w:lineRule="auto"/>
        <w:ind w:left="992" w:right="1134"/>
        <w:jc w:val="both"/>
        <w:rPr>
          <w:rFonts w:cs="David"/>
          <w:sz w:val="28"/>
          <w:szCs w:val="28"/>
          <w:rtl/>
        </w:rPr>
      </w:pPr>
      <w:r w:rsidRPr="00A86B7A">
        <w:rPr>
          <w:rFonts w:cs="David" w:hint="cs"/>
          <w:i/>
          <w:iCs/>
          <w:rtl/>
        </w:rPr>
        <w:t>היו מכירות ומעולם לא חייבנו, התכנית איננה משביחה נקודה, אני לא אחייב, ובכל העיר יש תכניות של הרחבות שלא ממומשות".</w:t>
      </w:r>
    </w:p>
    <w:p w:rsidR="00A86B7A" w:rsidRPr="00A86B7A" w:rsidRDefault="00A86B7A" w:rsidP="00A86B7A">
      <w:pPr>
        <w:pStyle w:val="a9"/>
        <w:spacing w:line="360" w:lineRule="auto"/>
        <w:ind w:left="992" w:right="1134"/>
        <w:jc w:val="both"/>
        <w:rPr>
          <w:rFonts w:cs="David"/>
          <w:sz w:val="28"/>
          <w:szCs w:val="28"/>
          <w:rtl/>
        </w:rPr>
      </w:pPr>
    </w:p>
    <w:p w:rsidR="00041345" w:rsidRDefault="00041345" w:rsidP="00E35182">
      <w:pPr>
        <w:pStyle w:val="a9"/>
        <w:numPr>
          <w:ilvl w:val="0"/>
          <w:numId w:val="1"/>
        </w:numPr>
        <w:tabs>
          <w:tab w:val="left" w:pos="425"/>
        </w:tabs>
        <w:spacing w:line="360" w:lineRule="auto"/>
        <w:contextualSpacing w:val="0"/>
        <w:jc w:val="both"/>
        <w:rPr>
          <w:rFonts w:ascii="David" w:hAnsi="David" w:cs="David"/>
        </w:rPr>
      </w:pPr>
      <w:r>
        <w:rPr>
          <w:rFonts w:ascii="David" w:hAnsi="David" w:cs="David" w:hint="cs"/>
          <w:rtl/>
        </w:rPr>
        <w:t xml:space="preserve">זאת ועוד, גם טיעונה של הועדה המקומית כי לנוכח העובדה שמדובר בתכנית שלטענתה לא נוצלה על ידי בעלי הזכויות ועל כן אין מקום כביכול להכיר בה כחלק ממצב קודם וודאי שאין להעניק בגינה פטור, אינה נהירה לנו. שכן, מעבר לכך שלא הוכחה בפועל, היא נטענה בעלמא וללא כל מקור נורמטיבי לביסוס הטענה כי מקום בו הזכויות לא נוצלו מכוח תכנית זו יש בה כדי לשלול הענקת פטור ו/או הבאתה כחלק ממצב קודם. </w:t>
      </w:r>
    </w:p>
    <w:p w:rsidR="00041345" w:rsidRDefault="00E35182" w:rsidP="00E35182">
      <w:pPr>
        <w:pStyle w:val="a9"/>
        <w:numPr>
          <w:ilvl w:val="0"/>
          <w:numId w:val="1"/>
        </w:numPr>
        <w:tabs>
          <w:tab w:val="left" w:pos="425"/>
        </w:tabs>
        <w:spacing w:line="360" w:lineRule="auto"/>
        <w:contextualSpacing w:val="0"/>
        <w:jc w:val="both"/>
        <w:rPr>
          <w:rFonts w:ascii="David" w:hAnsi="David" w:cs="David"/>
        </w:rPr>
      </w:pPr>
      <w:r w:rsidRPr="00A532E6">
        <w:rPr>
          <w:rFonts w:ascii="David" w:hAnsi="David" w:cs="David" w:hint="cs"/>
          <w:rtl/>
        </w:rPr>
        <w:t>איפכ</w:t>
      </w:r>
      <w:r w:rsidRPr="00A532E6">
        <w:rPr>
          <w:rFonts w:ascii="David" w:hAnsi="David" w:cs="David" w:hint="eastAsia"/>
          <w:rtl/>
        </w:rPr>
        <w:t>א</w:t>
      </w:r>
      <w:r w:rsidR="00041345" w:rsidRPr="00A532E6">
        <w:rPr>
          <w:rFonts w:ascii="David" w:hAnsi="David" w:cs="David" w:hint="cs"/>
          <w:rtl/>
        </w:rPr>
        <w:t xml:space="preserve"> מסתברא, </w:t>
      </w:r>
      <w:r w:rsidR="00041345" w:rsidRPr="00A532E6">
        <w:rPr>
          <w:rFonts w:ascii="David" w:hAnsi="David" w:cs="David"/>
          <w:rtl/>
        </w:rPr>
        <w:t>המצב הקודם נקבע בהתאם לכלל התכניות שקדמו למדרגות ההשבחה הרלוונטיות. העובדה שתכנית בי/319 לא נוצלה על ידי בעלים שונים</w:t>
      </w:r>
      <w:r w:rsidR="00041345" w:rsidRPr="00A532E6">
        <w:rPr>
          <w:rFonts w:ascii="David" w:hAnsi="David" w:cs="David" w:hint="cs"/>
          <w:rtl/>
        </w:rPr>
        <w:t xml:space="preserve"> (גם בהנחה ואכן זהו המצב)</w:t>
      </w:r>
      <w:r w:rsidR="00041345" w:rsidRPr="00A532E6">
        <w:rPr>
          <w:rFonts w:ascii="David" w:hAnsi="David" w:cs="David"/>
          <w:rtl/>
        </w:rPr>
        <w:t xml:space="preserve"> אינה מעידה על העדר ישימותה או העדר שווי שוק לזכויות שהיא מקנה</w:t>
      </w:r>
      <w:r w:rsidR="00041345" w:rsidRPr="00A532E6">
        <w:rPr>
          <w:rFonts w:ascii="David" w:hAnsi="David" w:cs="David" w:hint="cs"/>
          <w:rtl/>
        </w:rPr>
        <w:t xml:space="preserve">, שכן ברי אפוא כי </w:t>
      </w:r>
      <w:r w:rsidR="00041345" w:rsidRPr="00A532E6">
        <w:rPr>
          <w:rFonts w:ascii="David" w:hAnsi="David" w:cs="David"/>
          <w:rtl/>
        </w:rPr>
        <w:t xml:space="preserve">לזכויות בניה בלתי מנוצלות יש שווי שוק </w:t>
      </w:r>
      <w:r w:rsidR="00041345" w:rsidRPr="00A532E6">
        <w:rPr>
          <w:rFonts w:ascii="David" w:hAnsi="David" w:cs="David" w:hint="cs"/>
          <w:rtl/>
        </w:rPr>
        <w:t>(אף אם הוא נמוך). נראה כי לא בכדי</w:t>
      </w:r>
      <w:r w:rsidR="00C41CE0">
        <w:rPr>
          <w:rFonts w:ascii="David" w:hAnsi="David" w:cs="David" w:hint="cs"/>
          <w:rtl/>
        </w:rPr>
        <w:t>,</w:t>
      </w:r>
      <w:r w:rsidR="00041345" w:rsidRPr="00A532E6">
        <w:rPr>
          <w:rFonts w:ascii="David" w:hAnsi="David" w:cs="David" w:hint="cs"/>
          <w:rtl/>
        </w:rPr>
        <w:t xml:space="preserve"> הן בשומות המכריעו</w:t>
      </w:r>
      <w:r w:rsidR="00A532E6">
        <w:rPr>
          <w:rFonts w:ascii="David" w:hAnsi="David" w:cs="David" w:hint="cs"/>
          <w:rtl/>
        </w:rPr>
        <w:t>ת</w:t>
      </w:r>
      <w:r w:rsidR="00041345" w:rsidRPr="00A532E6">
        <w:rPr>
          <w:rFonts w:ascii="David" w:hAnsi="David" w:cs="David" w:hint="cs"/>
          <w:rtl/>
        </w:rPr>
        <w:t xml:space="preserve"> והן בשומות הצדדים לרבות הועדה </w:t>
      </w:r>
      <w:r w:rsidR="00041345" w:rsidRPr="004068EA">
        <w:rPr>
          <w:rFonts w:ascii="David" w:hAnsi="David" w:cs="David" w:hint="cs"/>
          <w:rtl/>
        </w:rPr>
        <w:t xml:space="preserve">המקומית </w:t>
      </w:r>
      <w:r w:rsidR="00C41CE0">
        <w:rPr>
          <w:rFonts w:ascii="David" w:hAnsi="David" w:cs="David" w:hint="cs"/>
          <w:rtl/>
        </w:rPr>
        <w:t xml:space="preserve">הובאה </w:t>
      </w:r>
      <w:r w:rsidR="00A86B7A">
        <w:rPr>
          <w:rFonts w:ascii="David" w:hAnsi="David" w:cs="David" w:hint="cs"/>
          <w:rtl/>
        </w:rPr>
        <w:t>תכנית ההרחבות בי/319</w:t>
      </w:r>
      <w:r w:rsidR="00041345" w:rsidRPr="004068EA">
        <w:rPr>
          <w:rFonts w:ascii="David" w:hAnsi="David" w:cs="David" w:hint="cs"/>
          <w:rtl/>
        </w:rPr>
        <w:t xml:space="preserve"> כחלק ממצב קודם.  </w:t>
      </w:r>
    </w:p>
    <w:p w:rsidR="00A86B7A" w:rsidRDefault="00A86B7A" w:rsidP="006C64A1">
      <w:pPr>
        <w:pStyle w:val="a9"/>
        <w:numPr>
          <w:ilvl w:val="0"/>
          <w:numId w:val="1"/>
        </w:numPr>
        <w:spacing w:line="360" w:lineRule="auto"/>
        <w:contextualSpacing w:val="0"/>
        <w:jc w:val="both"/>
        <w:rPr>
          <w:rFonts w:ascii="David" w:hAnsi="David" w:cs="David"/>
        </w:rPr>
      </w:pPr>
      <w:r>
        <w:rPr>
          <w:rFonts w:ascii="David" w:hAnsi="David" w:cs="David" w:hint="cs"/>
          <w:rtl/>
        </w:rPr>
        <w:t xml:space="preserve">חיזוק לאמור ניתן להפנות לדברי השמאי </w:t>
      </w:r>
      <w:proofErr w:type="spellStart"/>
      <w:r>
        <w:rPr>
          <w:rFonts w:ascii="David" w:hAnsi="David" w:cs="David" w:hint="cs"/>
          <w:rtl/>
        </w:rPr>
        <w:t>נדלר</w:t>
      </w:r>
      <w:proofErr w:type="spellEnd"/>
      <w:r>
        <w:rPr>
          <w:rFonts w:ascii="David" w:hAnsi="David" w:cs="David" w:hint="cs"/>
          <w:rtl/>
        </w:rPr>
        <w:t xml:space="preserve"> במהלך הדיון בפנינו עמ' 58 ש' 25-35 ועמ' 59 ש' 1-19:</w:t>
      </w:r>
    </w:p>
    <w:p w:rsidR="00A86B7A" w:rsidRPr="00A86B7A" w:rsidRDefault="00A86B7A" w:rsidP="00A86B7A">
      <w:pPr>
        <w:pStyle w:val="a9"/>
        <w:spacing w:line="360" w:lineRule="auto"/>
        <w:ind w:left="1134" w:right="1418"/>
        <w:jc w:val="both"/>
        <w:rPr>
          <w:rFonts w:cs="David"/>
          <w:b/>
          <w:bCs/>
          <w:i/>
          <w:iCs/>
          <w:sz w:val="22"/>
          <w:szCs w:val="22"/>
          <w:u w:val="single"/>
          <w:rtl/>
        </w:rPr>
      </w:pPr>
      <w:r w:rsidRPr="00A86B7A">
        <w:rPr>
          <w:rFonts w:cs="David" w:hint="cs"/>
          <w:b/>
          <w:bCs/>
          <w:i/>
          <w:iCs/>
          <w:sz w:val="22"/>
          <w:szCs w:val="22"/>
          <w:u w:val="single"/>
          <w:rtl/>
        </w:rPr>
        <w:t>יו"ר:</w:t>
      </w:r>
    </w:p>
    <w:p w:rsidR="00A86B7A" w:rsidRPr="00A86B7A" w:rsidRDefault="00A86B7A" w:rsidP="00A86B7A">
      <w:pPr>
        <w:pStyle w:val="a9"/>
        <w:spacing w:line="360" w:lineRule="auto"/>
        <w:ind w:left="1134" w:right="1418"/>
        <w:jc w:val="both"/>
        <w:rPr>
          <w:rFonts w:cs="David"/>
          <w:i/>
          <w:iCs/>
          <w:sz w:val="22"/>
          <w:szCs w:val="22"/>
          <w:rtl/>
        </w:rPr>
      </w:pPr>
      <w:r w:rsidRPr="00A86B7A">
        <w:rPr>
          <w:rFonts w:cs="David" w:hint="cs"/>
          <w:i/>
          <w:iCs/>
          <w:sz w:val="22"/>
          <w:szCs w:val="22"/>
          <w:rtl/>
        </w:rPr>
        <w:t>מר ברק אומר זה תכנית לא משביחה ולא חייבנו עליה היא אמורה להיות שקופה.</w:t>
      </w:r>
    </w:p>
    <w:p w:rsidR="00A86B7A" w:rsidRPr="00A86B7A" w:rsidRDefault="00A86B7A" w:rsidP="00A86B7A">
      <w:pPr>
        <w:pStyle w:val="a9"/>
        <w:spacing w:line="360" w:lineRule="auto"/>
        <w:ind w:left="1134" w:right="1418"/>
        <w:jc w:val="both"/>
        <w:rPr>
          <w:rFonts w:cs="David"/>
          <w:i/>
          <w:iCs/>
          <w:sz w:val="22"/>
          <w:szCs w:val="22"/>
          <w:rtl/>
        </w:rPr>
      </w:pPr>
      <w:r w:rsidRPr="00A86B7A">
        <w:rPr>
          <w:rFonts w:cs="David" w:hint="cs"/>
          <w:i/>
          <w:iCs/>
          <w:sz w:val="22"/>
          <w:szCs w:val="22"/>
          <w:rtl/>
        </w:rPr>
        <w:t>הדבר השני שהוא אומר אם זה תכנית שלא מומשה אז כיצד ניתן לתת פטור לתכנית שלא מומשה הטיעונים שלו אם תוכל להתייחס בבקשה.</w:t>
      </w:r>
    </w:p>
    <w:p w:rsidR="00A86B7A" w:rsidRDefault="00A86B7A" w:rsidP="00A86B7A">
      <w:pPr>
        <w:pStyle w:val="a9"/>
        <w:spacing w:line="360" w:lineRule="auto"/>
        <w:ind w:left="1134" w:right="1418"/>
        <w:jc w:val="both"/>
        <w:rPr>
          <w:rFonts w:ascii="David" w:hAnsi="David" w:cs="David"/>
          <w:rtl/>
        </w:rPr>
      </w:pPr>
    </w:p>
    <w:p w:rsidR="00A86B7A" w:rsidRPr="00A86B7A" w:rsidRDefault="00A86B7A" w:rsidP="00A86B7A">
      <w:pPr>
        <w:pStyle w:val="a9"/>
        <w:spacing w:line="360" w:lineRule="auto"/>
        <w:ind w:left="1134" w:right="1418"/>
        <w:jc w:val="both"/>
        <w:rPr>
          <w:rFonts w:cs="David"/>
          <w:b/>
          <w:bCs/>
          <w:i/>
          <w:iCs/>
          <w:sz w:val="22"/>
          <w:szCs w:val="22"/>
          <w:u w:val="single"/>
          <w:rtl/>
        </w:rPr>
      </w:pPr>
      <w:r w:rsidRPr="00A86B7A">
        <w:rPr>
          <w:rFonts w:cs="David" w:hint="cs"/>
          <w:b/>
          <w:bCs/>
          <w:i/>
          <w:iCs/>
          <w:sz w:val="22"/>
          <w:szCs w:val="22"/>
          <w:u w:val="single"/>
          <w:rtl/>
        </w:rPr>
        <w:t xml:space="preserve">מר </w:t>
      </w:r>
      <w:proofErr w:type="spellStart"/>
      <w:r w:rsidRPr="00A86B7A">
        <w:rPr>
          <w:rFonts w:cs="David" w:hint="cs"/>
          <w:b/>
          <w:bCs/>
          <w:i/>
          <w:iCs/>
          <w:sz w:val="22"/>
          <w:szCs w:val="22"/>
          <w:u w:val="single"/>
          <w:rtl/>
        </w:rPr>
        <w:t>נדלר</w:t>
      </w:r>
      <w:proofErr w:type="spellEnd"/>
      <w:r w:rsidRPr="00A86B7A">
        <w:rPr>
          <w:rFonts w:cs="David" w:hint="cs"/>
          <w:b/>
          <w:bCs/>
          <w:i/>
          <w:iCs/>
          <w:sz w:val="22"/>
          <w:szCs w:val="22"/>
          <w:u w:val="single"/>
          <w:rtl/>
        </w:rPr>
        <w:t>:</w:t>
      </w:r>
    </w:p>
    <w:p w:rsidR="00A86B7A" w:rsidRDefault="00A86B7A" w:rsidP="00A86B7A">
      <w:pPr>
        <w:pStyle w:val="a9"/>
        <w:spacing w:line="360" w:lineRule="auto"/>
        <w:ind w:left="1134" w:right="1418"/>
        <w:jc w:val="both"/>
        <w:rPr>
          <w:rFonts w:cs="David"/>
          <w:b/>
          <w:bCs/>
          <w:i/>
          <w:iCs/>
          <w:sz w:val="22"/>
          <w:szCs w:val="22"/>
          <w:u w:val="single"/>
          <w:rtl/>
        </w:rPr>
      </w:pPr>
    </w:p>
    <w:p w:rsidR="00A86B7A" w:rsidRPr="00A86B7A" w:rsidRDefault="00A86B7A" w:rsidP="00A86B7A">
      <w:pPr>
        <w:pStyle w:val="a9"/>
        <w:spacing w:line="360" w:lineRule="auto"/>
        <w:ind w:left="1134" w:right="1418"/>
        <w:jc w:val="both"/>
        <w:rPr>
          <w:rFonts w:cs="David"/>
          <w:i/>
          <w:iCs/>
          <w:sz w:val="22"/>
          <w:szCs w:val="22"/>
          <w:rtl/>
        </w:rPr>
      </w:pPr>
      <w:r w:rsidRPr="00A86B7A">
        <w:rPr>
          <w:rFonts w:cs="David" w:hint="cs"/>
          <w:i/>
          <w:iCs/>
          <w:sz w:val="22"/>
          <w:szCs w:val="22"/>
          <w:rtl/>
        </w:rPr>
        <w:t>שמאי ועדה אומר שלא גבה עליה ומה זה משנה למה התכנית לא חייבת בהיטל, שורה תחתונה שהתכנית לא מחויבת.</w:t>
      </w:r>
    </w:p>
    <w:p w:rsidR="00A86B7A" w:rsidRDefault="00A86B7A" w:rsidP="00A86B7A">
      <w:pPr>
        <w:pStyle w:val="a9"/>
        <w:spacing w:line="360" w:lineRule="auto"/>
        <w:ind w:left="1134" w:right="1418"/>
        <w:jc w:val="both"/>
        <w:rPr>
          <w:rFonts w:cs="David"/>
          <w:i/>
          <w:iCs/>
          <w:sz w:val="22"/>
          <w:szCs w:val="22"/>
          <w:rtl/>
        </w:rPr>
      </w:pPr>
      <w:r w:rsidRPr="00A86B7A">
        <w:rPr>
          <w:rFonts w:cs="David" w:hint="cs"/>
          <w:i/>
          <w:iCs/>
          <w:sz w:val="22"/>
          <w:szCs w:val="22"/>
          <w:rtl/>
        </w:rPr>
        <w:t>כשאני נכנס למדרגת השבחה במועד עתידי ומה שיש לי זה כל התכניות שאושרו במצב קודם.</w:t>
      </w:r>
    </w:p>
    <w:p w:rsidR="00A86B7A" w:rsidRPr="00A86B7A" w:rsidRDefault="00A86B7A" w:rsidP="00A86B7A">
      <w:pPr>
        <w:pStyle w:val="a9"/>
        <w:spacing w:line="360" w:lineRule="auto"/>
        <w:ind w:left="1134" w:right="1418"/>
        <w:jc w:val="both"/>
        <w:rPr>
          <w:rFonts w:cs="David"/>
          <w:i/>
          <w:iCs/>
          <w:sz w:val="22"/>
          <w:szCs w:val="22"/>
          <w:rtl/>
        </w:rPr>
      </w:pPr>
      <w:r>
        <w:rPr>
          <w:rFonts w:cs="David" w:hint="cs"/>
          <w:i/>
          <w:iCs/>
          <w:sz w:val="22"/>
          <w:szCs w:val="22"/>
          <w:rtl/>
        </w:rPr>
        <w:t>ל</w:t>
      </w:r>
      <w:r w:rsidRPr="00A86B7A">
        <w:rPr>
          <w:rFonts w:cs="David" w:hint="cs"/>
          <w:i/>
          <w:iCs/>
          <w:sz w:val="22"/>
          <w:szCs w:val="22"/>
          <w:rtl/>
        </w:rPr>
        <w:t xml:space="preserve">דוגמא תכנית ע בתל אביב, שאפשרה בניית מחסנים בשטח 6 מ"ר ליחידת דיור, במקרים רבים אם לא כולם הועדה המקומית לא גבתה בגינה היטל השבחה בטענה שהתכנית לא השביחה למועד אישורה. כאשר מגיעים למדרגה הבאה ע /1 שאפשרה בניית מחסנים בשטח של 6 מ"ר נוספים </w:t>
      </w:r>
      <w:r w:rsidR="00C41CE0">
        <w:rPr>
          <w:rFonts w:cs="David" w:hint="cs"/>
          <w:i/>
          <w:iCs/>
          <w:sz w:val="22"/>
          <w:szCs w:val="22"/>
          <w:rtl/>
        </w:rPr>
        <w:t>ס</w:t>
      </w:r>
      <w:r w:rsidRPr="00A86B7A">
        <w:rPr>
          <w:rFonts w:cs="David" w:hint="cs"/>
          <w:i/>
          <w:iCs/>
          <w:sz w:val="22"/>
          <w:szCs w:val="22"/>
          <w:rtl/>
        </w:rPr>
        <w:t xml:space="preserve">ך </w:t>
      </w:r>
      <w:proofErr w:type="spellStart"/>
      <w:r w:rsidRPr="00A86B7A">
        <w:rPr>
          <w:rFonts w:cs="David" w:hint="cs"/>
          <w:i/>
          <w:iCs/>
          <w:sz w:val="22"/>
          <w:szCs w:val="22"/>
          <w:rtl/>
        </w:rPr>
        <w:t>הכל</w:t>
      </w:r>
      <w:proofErr w:type="spellEnd"/>
      <w:r w:rsidRPr="00A86B7A">
        <w:rPr>
          <w:rFonts w:cs="David" w:hint="cs"/>
          <w:i/>
          <w:iCs/>
          <w:sz w:val="22"/>
          <w:szCs w:val="22"/>
          <w:rtl/>
        </w:rPr>
        <w:t xml:space="preserve"> 12 מ"ר הובא בחשבון שווי  מצב קודם 6 מ"ר מכוח תכנית ע למרות שתכנית ע לא השביחה ולא </w:t>
      </w:r>
      <w:proofErr w:type="spellStart"/>
      <w:r w:rsidRPr="00A86B7A">
        <w:rPr>
          <w:rFonts w:cs="David" w:hint="cs"/>
          <w:i/>
          <w:iCs/>
          <w:sz w:val="22"/>
          <w:szCs w:val="22"/>
          <w:rtl/>
        </w:rPr>
        <w:t>היתה</w:t>
      </w:r>
      <w:proofErr w:type="spellEnd"/>
      <w:r w:rsidRPr="00A86B7A">
        <w:rPr>
          <w:rFonts w:cs="David" w:hint="cs"/>
          <w:i/>
          <w:iCs/>
          <w:sz w:val="22"/>
          <w:szCs w:val="22"/>
          <w:rtl/>
        </w:rPr>
        <w:t xml:space="preserve"> כדאית ולצורך העניין זה לא משנה. תכנית 319 נתנה זכויות ושמגיעים לתכנית 517 השאלה אם הזכויות שוות כסף או לא שוות כסף.</w:t>
      </w:r>
    </w:p>
    <w:p w:rsidR="00A86B7A" w:rsidRPr="00A86B7A" w:rsidRDefault="00A86B7A" w:rsidP="00A86B7A">
      <w:pPr>
        <w:spacing w:line="360" w:lineRule="auto"/>
        <w:ind w:left="1134" w:right="1418"/>
        <w:jc w:val="both"/>
        <w:rPr>
          <w:rFonts w:cs="David"/>
          <w:i/>
          <w:iCs/>
          <w:sz w:val="22"/>
          <w:szCs w:val="22"/>
          <w:rtl/>
        </w:rPr>
      </w:pPr>
      <w:r w:rsidRPr="00A86B7A">
        <w:rPr>
          <w:rFonts w:cs="David" w:hint="cs"/>
          <w:i/>
          <w:iCs/>
          <w:sz w:val="22"/>
          <w:szCs w:val="22"/>
          <w:rtl/>
        </w:rPr>
        <w:t>הטענה בסוף היא שמאית הכי שמאית שיש בכל העררים ובסוף מתמקדת בשאלה פשוטה האם הזכויות מכוח תכנית 319 שוות כסף או לא שוות כסף.</w:t>
      </w:r>
    </w:p>
    <w:p w:rsidR="00A86B7A" w:rsidRPr="00A86B7A" w:rsidRDefault="00A86B7A" w:rsidP="00A86B7A">
      <w:pPr>
        <w:spacing w:line="360" w:lineRule="auto"/>
        <w:ind w:left="1134" w:right="1418"/>
        <w:jc w:val="both"/>
        <w:rPr>
          <w:rFonts w:cs="David"/>
          <w:i/>
          <w:iCs/>
          <w:sz w:val="22"/>
          <w:szCs w:val="22"/>
          <w:rtl/>
        </w:rPr>
      </w:pPr>
      <w:r w:rsidRPr="00A86B7A">
        <w:rPr>
          <w:rFonts w:cs="David" w:hint="cs"/>
          <w:i/>
          <w:iCs/>
          <w:sz w:val="22"/>
          <w:szCs w:val="22"/>
          <w:rtl/>
        </w:rPr>
        <w:t>השמאית הסבירה איך היא מחשבת שווי מצב קודם אני קורא מסעיף 12.3.5 לשומה ומצטט.</w:t>
      </w:r>
    </w:p>
    <w:p w:rsidR="00A86B7A" w:rsidRPr="00A86B7A" w:rsidRDefault="00A86B7A" w:rsidP="00A86B7A">
      <w:pPr>
        <w:spacing w:line="360" w:lineRule="auto"/>
        <w:ind w:left="1134" w:right="1418"/>
        <w:jc w:val="both"/>
        <w:rPr>
          <w:rFonts w:cs="David"/>
          <w:i/>
          <w:iCs/>
          <w:sz w:val="22"/>
          <w:szCs w:val="22"/>
          <w:rtl/>
        </w:rPr>
      </w:pPr>
      <w:r w:rsidRPr="00A86B7A">
        <w:rPr>
          <w:rFonts w:cs="David" w:hint="cs"/>
          <w:i/>
          <w:iCs/>
          <w:sz w:val="22"/>
          <w:szCs w:val="22"/>
          <w:rtl/>
        </w:rPr>
        <w:t xml:space="preserve">היא מפנה לעסקאות שדומות לעסקאות של הדירות אצלנו והיא כותבת שקיימים מבנים שנבנו בסוף שנות ה- 50 בינוי של 2 קומות וחלה עליהם תכנית 319 ובעמודים 63 ו </w:t>
      </w:r>
      <w:r w:rsidRPr="00A86B7A">
        <w:rPr>
          <w:rFonts w:cs="David"/>
          <w:i/>
          <w:iCs/>
          <w:sz w:val="22"/>
          <w:szCs w:val="22"/>
          <w:rtl/>
        </w:rPr>
        <w:t>–</w:t>
      </w:r>
      <w:r w:rsidRPr="00A86B7A">
        <w:rPr>
          <w:rFonts w:cs="David" w:hint="cs"/>
          <w:i/>
          <w:iCs/>
          <w:sz w:val="22"/>
          <w:szCs w:val="22"/>
          <w:rtl/>
        </w:rPr>
        <w:t xml:space="preserve"> 64 מנתחת את העסקאות ומגיעה לתמורה לאחר התאמה לזמן ומורידה את הפוטנציאל </w:t>
      </w:r>
      <w:proofErr w:type="spellStart"/>
      <w:r w:rsidRPr="00A86B7A">
        <w:rPr>
          <w:rFonts w:cs="David" w:hint="cs"/>
          <w:i/>
          <w:iCs/>
          <w:sz w:val="22"/>
          <w:szCs w:val="22"/>
          <w:rtl/>
        </w:rPr>
        <w:t>לתמ"א</w:t>
      </w:r>
      <w:proofErr w:type="spellEnd"/>
      <w:r w:rsidRPr="00A86B7A">
        <w:rPr>
          <w:rFonts w:cs="David" w:hint="cs"/>
          <w:i/>
          <w:iCs/>
          <w:sz w:val="22"/>
          <w:szCs w:val="22"/>
          <w:rtl/>
        </w:rPr>
        <w:t xml:space="preserve"> ומגיעה למסקנה היא מורידה את השווי המיוחס לשווי בנוי ונותר שווי לזכויות בניה. השאלה אם התכנית מומשה או לא, זה לא משנה את  העובדה שהשמאית קבעה שיש זכויות והשוק משלם עליהם.</w:t>
      </w:r>
    </w:p>
    <w:p w:rsidR="00A86B7A" w:rsidRPr="00A86B7A" w:rsidRDefault="00A86B7A" w:rsidP="00A86B7A">
      <w:pPr>
        <w:spacing w:line="360" w:lineRule="auto"/>
        <w:ind w:left="1134" w:right="1418"/>
        <w:jc w:val="both"/>
        <w:rPr>
          <w:rFonts w:cs="David"/>
          <w:i/>
          <w:iCs/>
          <w:sz w:val="22"/>
          <w:szCs w:val="22"/>
          <w:rtl/>
        </w:rPr>
      </w:pPr>
      <w:r w:rsidRPr="00A86B7A">
        <w:rPr>
          <w:rFonts w:cs="David" w:hint="cs"/>
          <w:i/>
          <w:iCs/>
          <w:sz w:val="22"/>
          <w:szCs w:val="22"/>
          <w:rtl/>
        </w:rPr>
        <w:t>עשור לפני המועד הקובע שלנו אושרה תמ"א 38 והיא איינה כדאיות של תכניות מימוש הרחבה, אף אחד לא הולך לממש הרחבה כאשר יכול לממש תמ"א זה מסלול יותר כדאי ולהגיד שלזכויות האלה אין שווי זה שאלה שמאית והשמאית ייחסה להם שווי ואנחנו חוזרים לטענה שלא מחזיקה.</w:t>
      </w:r>
    </w:p>
    <w:p w:rsidR="00E35182" w:rsidRDefault="00A532E6" w:rsidP="00E35182">
      <w:pPr>
        <w:pStyle w:val="a9"/>
        <w:numPr>
          <w:ilvl w:val="0"/>
          <w:numId w:val="1"/>
        </w:numPr>
        <w:tabs>
          <w:tab w:val="left" w:pos="425"/>
          <w:tab w:val="left" w:pos="567"/>
        </w:tabs>
        <w:spacing w:line="360" w:lineRule="auto"/>
        <w:contextualSpacing w:val="0"/>
        <w:jc w:val="both"/>
        <w:rPr>
          <w:rFonts w:ascii="David" w:hAnsi="David" w:cs="David"/>
        </w:rPr>
      </w:pPr>
      <w:r w:rsidRPr="004068EA">
        <w:rPr>
          <w:rFonts w:ascii="David" w:hAnsi="David" w:cs="David" w:hint="cs"/>
          <w:rtl/>
        </w:rPr>
        <w:t>זאת ועוד, יש לדחות גם את טענת כפילות הפטור בכך ש</w:t>
      </w:r>
      <w:r w:rsidR="00041345" w:rsidRPr="004068EA">
        <w:rPr>
          <w:rFonts w:ascii="David" w:hAnsi="David" w:cs="David"/>
          <w:rtl/>
        </w:rPr>
        <w:t>הכללת הזכויות מכוח תכנית בי/319</w:t>
      </w:r>
      <w:r w:rsidRPr="004068EA">
        <w:rPr>
          <w:rFonts w:ascii="David" w:hAnsi="David" w:cs="David" w:hint="cs"/>
          <w:rtl/>
        </w:rPr>
        <w:t xml:space="preserve"> כחלק ממצב קודם</w:t>
      </w:r>
      <w:r w:rsidR="00041345" w:rsidRPr="004068EA">
        <w:rPr>
          <w:rFonts w:ascii="David" w:hAnsi="David" w:cs="David"/>
          <w:rtl/>
        </w:rPr>
        <w:t xml:space="preserve"> </w:t>
      </w:r>
      <w:r w:rsidR="00DC7B6D" w:rsidRPr="004068EA">
        <w:rPr>
          <w:rFonts w:ascii="David" w:hAnsi="David" w:cs="David" w:hint="eastAsia"/>
          <w:rtl/>
        </w:rPr>
        <w:t>משמעה</w:t>
      </w:r>
      <w:r w:rsidR="00DC7B6D" w:rsidRPr="004068EA">
        <w:rPr>
          <w:rFonts w:ascii="David" w:hAnsi="David" w:cs="David"/>
          <w:rtl/>
        </w:rPr>
        <w:t>,</w:t>
      </w:r>
      <w:r w:rsidR="00E35182">
        <w:rPr>
          <w:rFonts w:ascii="David" w:hAnsi="David" w:cs="David" w:hint="cs"/>
          <w:rtl/>
        </w:rPr>
        <w:t xml:space="preserve"> </w:t>
      </w:r>
      <w:r w:rsidR="00041345" w:rsidRPr="004068EA">
        <w:rPr>
          <w:rFonts w:ascii="David" w:hAnsi="David" w:cs="David"/>
          <w:rtl/>
        </w:rPr>
        <w:t>מתן פטור כפול בגין שיקום שכונות</w:t>
      </w:r>
      <w:r w:rsidRPr="004068EA">
        <w:rPr>
          <w:rFonts w:ascii="David" w:hAnsi="David" w:cs="David" w:hint="cs"/>
          <w:rtl/>
        </w:rPr>
        <w:t xml:space="preserve">, שכן, </w:t>
      </w:r>
      <w:r w:rsidR="00041345" w:rsidRPr="004068EA">
        <w:rPr>
          <w:rFonts w:ascii="David" w:hAnsi="David" w:cs="David"/>
          <w:rtl/>
        </w:rPr>
        <w:t xml:space="preserve">הפטור של שיקום שכונות אינו מוגבלת בתחולתו לתכנית אחת או להיקף </w:t>
      </w:r>
      <w:proofErr w:type="spellStart"/>
      <w:r w:rsidR="00041345" w:rsidRPr="004068EA">
        <w:rPr>
          <w:rFonts w:ascii="David" w:hAnsi="David" w:cs="David"/>
          <w:rtl/>
        </w:rPr>
        <w:t>מסויים</w:t>
      </w:r>
      <w:proofErr w:type="spellEnd"/>
      <w:r w:rsidR="00041345" w:rsidRPr="004068EA">
        <w:rPr>
          <w:rFonts w:ascii="David" w:hAnsi="David" w:cs="David"/>
          <w:rtl/>
        </w:rPr>
        <w:t xml:space="preserve"> של זכויות בניה. הפטור חל בכל מקרה בו מתקיימים תנאיו. </w:t>
      </w:r>
    </w:p>
    <w:p w:rsidR="00E35182" w:rsidRDefault="00A532E6" w:rsidP="00E35182">
      <w:pPr>
        <w:pStyle w:val="a9"/>
        <w:numPr>
          <w:ilvl w:val="0"/>
          <w:numId w:val="1"/>
        </w:numPr>
        <w:tabs>
          <w:tab w:val="left" w:pos="425"/>
          <w:tab w:val="left" w:pos="567"/>
        </w:tabs>
        <w:spacing w:line="360" w:lineRule="auto"/>
        <w:contextualSpacing w:val="0"/>
        <w:jc w:val="both"/>
        <w:rPr>
          <w:rFonts w:ascii="David" w:hAnsi="David" w:cs="David"/>
        </w:rPr>
      </w:pPr>
      <w:r w:rsidRPr="00E35182">
        <w:rPr>
          <w:rFonts w:ascii="David" w:hAnsi="David" w:cs="David" w:hint="cs"/>
          <w:rtl/>
        </w:rPr>
        <w:t xml:space="preserve">לסיכום, </w:t>
      </w:r>
      <w:r w:rsidR="00DC0F12" w:rsidRPr="00E35182">
        <w:rPr>
          <w:rFonts w:ascii="David" w:hAnsi="David" w:cs="David" w:hint="cs"/>
          <w:rtl/>
        </w:rPr>
        <w:t xml:space="preserve">מכלול הנימוקים האמורים </w:t>
      </w:r>
      <w:r w:rsidRPr="00E35182">
        <w:rPr>
          <w:rFonts w:ascii="David" w:hAnsi="David" w:cs="David" w:hint="cs"/>
          <w:rtl/>
        </w:rPr>
        <w:t xml:space="preserve">לעיל </w:t>
      </w:r>
      <w:r w:rsidR="00DC0F12" w:rsidRPr="00E35182">
        <w:rPr>
          <w:rFonts w:ascii="David" w:hAnsi="David" w:cs="David" w:hint="cs"/>
          <w:rtl/>
        </w:rPr>
        <w:t xml:space="preserve">הובילו אותנו למסקנה כי במקרה דנא דין טענתה של הועדה המקומית להידחות </w:t>
      </w:r>
      <w:r w:rsidR="003140D3" w:rsidRPr="00E35182">
        <w:rPr>
          <w:rFonts w:ascii="David" w:hAnsi="David" w:cs="David" w:hint="cs"/>
          <w:rtl/>
        </w:rPr>
        <w:t>לא רק על הסף</w:t>
      </w:r>
      <w:r w:rsidRPr="00E35182">
        <w:rPr>
          <w:rFonts w:ascii="David" w:hAnsi="David" w:cs="David" w:hint="cs"/>
          <w:rtl/>
        </w:rPr>
        <w:t>,</w:t>
      </w:r>
      <w:r w:rsidR="003140D3" w:rsidRPr="00E35182">
        <w:rPr>
          <w:rFonts w:ascii="David" w:hAnsi="David" w:cs="David" w:hint="cs"/>
          <w:rtl/>
        </w:rPr>
        <w:t xml:space="preserve"> אלא גם לגופו</w:t>
      </w:r>
      <w:r w:rsidR="00DC0F12" w:rsidRPr="00E35182">
        <w:rPr>
          <w:rFonts w:ascii="David" w:hAnsi="David" w:cs="David" w:hint="cs"/>
          <w:rtl/>
        </w:rPr>
        <w:t xml:space="preserve"> וכי אין מקום להתערב בהכרעתה של השמאית המכריעה עת הביאה את תכנית בי/319 כחלק ממצב קודם ולא כמדרגת השבחה נפרדת, אולם</w:t>
      </w:r>
      <w:r w:rsidR="006C1C7F" w:rsidRPr="00E35182">
        <w:rPr>
          <w:rFonts w:ascii="David" w:hAnsi="David" w:cs="David" w:hint="cs"/>
          <w:rtl/>
        </w:rPr>
        <w:t xml:space="preserve"> מובהר ומודגש בזאת</w:t>
      </w:r>
      <w:r w:rsidR="004068EA" w:rsidRPr="00E35182">
        <w:rPr>
          <w:rFonts w:ascii="David" w:hAnsi="David" w:cs="David" w:hint="cs"/>
          <w:rtl/>
        </w:rPr>
        <w:t>,</w:t>
      </w:r>
      <w:r w:rsidR="006C1C7F" w:rsidRPr="00E35182">
        <w:rPr>
          <w:rFonts w:ascii="David" w:hAnsi="David" w:cs="David" w:hint="cs"/>
          <w:rtl/>
        </w:rPr>
        <w:t xml:space="preserve"> כי </w:t>
      </w:r>
      <w:r w:rsidR="00DC0F12" w:rsidRPr="00E35182">
        <w:rPr>
          <w:rFonts w:ascii="David" w:hAnsi="David" w:cs="David" w:hint="cs"/>
          <w:rtl/>
        </w:rPr>
        <w:t>אין בכך כדי להשליך על מקרים אחרים לחיוב השבחה מכוח תכנית בי/319 וכל מקרה יבחן לגופו.</w:t>
      </w:r>
    </w:p>
    <w:p w:rsidR="00DC0F12" w:rsidRPr="00E35182" w:rsidRDefault="004068EA" w:rsidP="00E35182">
      <w:pPr>
        <w:pStyle w:val="a9"/>
        <w:numPr>
          <w:ilvl w:val="0"/>
          <w:numId w:val="1"/>
        </w:numPr>
        <w:tabs>
          <w:tab w:val="left" w:pos="425"/>
          <w:tab w:val="left" w:pos="567"/>
        </w:tabs>
        <w:spacing w:line="360" w:lineRule="auto"/>
        <w:contextualSpacing w:val="0"/>
        <w:jc w:val="both"/>
        <w:rPr>
          <w:rFonts w:ascii="David" w:hAnsi="David" w:cs="David"/>
        </w:rPr>
      </w:pPr>
      <w:r w:rsidRPr="00E35182">
        <w:rPr>
          <w:rFonts w:ascii="David" w:hAnsi="David" w:cs="David" w:hint="cs"/>
          <w:rtl/>
        </w:rPr>
        <w:t xml:space="preserve">עוד </w:t>
      </w:r>
      <w:r w:rsidR="00DC0F12" w:rsidRPr="00E35182">
        <w:rPr>
          <w:rFonts w:ascii="David" w:hAnsi="David" w:cs="David" w:hint="cs"/>
          <w:rtl/>
        </w:rPr>
        <w:t xml:space="preserve">מובהר כי הועדה המקומית בעצמה על אף שבשומתה המקורית לא חייבה בגין תכנית בי/319 אלא הביאה אותה כחלק ממצב קודם, גם אחר ששנתה עמדתה תוך כדי ההליך בפני השמאית המכריעה ובחרה לטעון שיש מקום לחייב בגין תכנית זו כמדרגת השבחה נפרדת, לא קבעה דה פקטו את שיעור ההשבחה בגין תכנית זו, אלא הסתפקה בציון </w:t>
      </w:r>
      <w:r w:rsidR="00C41CE0" w:rsidRPr="00E35182">
        <w:rPr>
          <w:rFonts w:ascii="David" w:hAnsi="David" w:cs="David" w:hint="cs"/>
          <w:rtl/>
        </w:rPr>
        <w:t>ערכ</w:t>
      </w:r>
      <w:r w:rsidR="00C41CE0">
        <w:rPr>
          <w:rFonts w:ascii="David" w:hAnsi="David" w:cs="David" w:hint="cs"/>
          <w:rtl/>
        </w:rPr>
        <w:t>ן</w:t>
      </w:r>
      <w:r w:rsidR="00C41CE0" w:rsidRPr="00E35182">
        <w:rPr>
          <w:rFonts w:ascii="David" w:hAnsi="David" w:cs="David" w:hint="cs"/>
          <w:rtl/>
        </w:rPr>
        <w:t xml:space="preserve"> </w:t>
      </w:r>
      <w:r w:rsidR="00DC0F12" w:rsidRPr="00E35182">
        <w:rPr>
          <w:rFonts w:ascii="David" w:hAnsi="David" w:cs="David" w:hint="cs"/>
          <w:rtl/>
        </w:rPr>
        <w:t xml:space="preserve">של הזכויות שהקנתה התכנית לעת תכנית מאוחרת יותר בי/517 מה שעוד יותר מחזק את המסקנה אליה הגענו. </w:t>
      </w:r>
    </w:p>
    <w:p w:rsidR="005C5334" w:rsidRDefault="005C5334" w:rsidP="005C5334">
      <w:pPr>
        <w:spacing w:line="360" w:lineRule="auto"/>
        <w:jc w:val="both"/>
        <w:rPr>
          <w:rFonts w:ascii="David" w:hAnsi="David" w:cs="David"/>
          <w:b/>
          <w:bCs/>
          <w:u w:val="single"/>
          <w:rtl/>
        </w:rPr>
      </w:pPr>
    </w:p>
    <w:p w:rsidR="00783D4F" w:rsidRDefault="00783D4F" w:rsidP="00A038F8">
      <w:pPr>
        <w:pStyle w:val="2"/>
        <w:spacing w:line="360" w:lineRule="auto"/>
        <w:rPr>
          <w:rtl/>
        </w:rPr>
      </w:pPr>
      <w:bookmarkStart w:id="29" w:name="_Toc203992514"/>
    </w:p>
    <w:p w:rsidR="005C5334" w:rsidRPr="0008237A" w:rsidRDefault="00232DBC" w:rsidP="00A038F8">
      <w:pPr>
        <w:pStyle w:val="2"/>
        <w:spacing w:line="360" w:lineRule="auto"/>
      </w:pPr>
      <w:bookmarkStart w:id="30" w:name="_Toc204504396"/>
      <w:r>
        <w:rPr>
          <w:rFonts w:hint="cs"/>
          <w:rtl/>
        </w:rPr>
        <w:t>ב</w:t>
      </w:r>
      <w:r w:rsidR="005C5334" w:rsidRPr="0008237A">
        <w:rPr>
          <w:rFonts w:hint="cs"/>
          <w:rtl/>
        </w:rPr>
        <w:t>. טעות בגין הפחתת שווי מצב חדש עפ"י תכנית בי/517 ושווי מצב קודם לתכנית בי/1/517 בגין סיכון להתכלות התכנית.</w:t>
      </w:r>
      <w:bookmarkEnd w:id="29"/>
      <w:bookmarkEnd w:id="30"/>
    </w:p>
    <w:p w:rsidR="0008237A" w:rsidRDefault="005C5334" w:rsidP="0008237A">
      <w:pPr>
        <w:pStyle w:val="a9"/>
        <w:numPr>
          <w:ilvl w:val="0"/>
          <w:numId w:val="1"/>
        </w:numPr>
        <w:tabs>
          <w:tab w:val="left" w:pos="425"/>
        </w:tabs>
        <w:spacing w:line="360" w:lineRule="auto"/>
        <w:contextualSpacing w:val="0"/>
        <w:jc w:val="both"/>
        <w:rPr>
          <w:rFonts w:ascii="David" w:hAnsi="David" w:cs="David"/>
        </w:rPr>
      </w:pPr>
      <w:r w:rsidRPr="006C64A1">
        <w:rPr>
          <w:rFonts w:ascii="David" w:hAnsi="David" w:cs="David" w:hint="cs"/>
          <w:rtl/>
        </w:rPr>
        <w:t xml:space="preserve">השמאית המכריעה קבעה הפחתה משווי מצב חדש עפ"י תכנית בי/1/517 בגין הסיכון להתכלות התכנית. ההפחתה בוצעה ע"י קביעת ריבית בשיעור 6% לשנה במקדם דחיה עד להתממשות התכנית, וזאת במקום שיעור של 5% לשנה ללא הסיכון הנ"ל. </w:t>
      </w:r>
    </w:p>
    <w:p w:rsidR="0008237A" w:rsidRDefault="005C5334" w:rsidP="0008237A">
      <w:pPr>
        <w:pStyle w:val="a9"/>
        <w:numPr>
          <w:ilvl w:val="0"/>
          <w:numId w:val="1"/>
        </w:numPr>
        <w:tabs>
          <w:tab w:val="left" w:pos="425"/>
        </w:tabs>
        <w:spacing w:line="360" w:lineRule="auto"/>
        <w:contextualSpacing w:val="0"/>
        <w:jc w:val="both"/>
        <w:rPr>
          <w:rFonts w:ascii="David" w:hAnsi="David" w:cs="David"/>
        </w:rPr>
      </w:pPr>
      <w:r w:rsidRPr="0008237A">
        <w:rPr>
          <w:rFonts w:ascii="David" w:hAnsi="David" w:cs="David" w:hint="cs"/>
          <w:rtl/>
        </w:rPr>
        <w:t xml:space="preserve">בהתאם לקביעה זו חושב מקדם הדחיה בגובה 0.7473, במקום מקדם בגובה 0.7835, שהיה מחושב אלמלא הבאה בחשבון של סיכון ההתכלות. </w:t>
      </w:r>
    </w:p>
    <w:p w:rsidR="0008237A" w:rsidRDefault="005C5334" w:rsidP="0008237A">
      <w:pPr>
        <w:pStyle w:val="a9"/>
        <w:numPr>
          <w:ilvl w:val="0"/>
          <w:numId w:val="1"/>
        </w:numPr>
        <w:tabs>
          <w:tab w:val="left" w:pos="425"/>
        </w:tabs>
        <w:spacing w:line="360" w:lineRule="auto"/>
        <w:contextualSpacing w:val="0"/>
        <w:jc w:val="both"/>
        <w:rPr>
          <w:rFonts w:ascii="David" w:hAnsi="David" w:cs="David"/>
        </w:rPr>
      </w:pPr>
      <w:r w:rsidRPr="0008237A">
        <w:rPr>
          <w:rFonts w:ascii="David" w:hAnsi="David" w:cs="David" w:hint="cs"/>
          <w:rtl/>
        </w:rPr>
        <w:t xml:space="preserve">הועדה המקומית טוענת כי שגתה השמאית המכריעה כשלקחה בחשבון בשווי מצב חדש של תכנית בי/517 ובשווי מצב קודם של תכנית בי/1/517 בין היתר גם את אלמנט הסיכון הקיים להתכלותה של תכנית בי/517, שכן כתוצאה מגורם ההתכלות הופחת שווי מצב חדש בשיעור 4.63% המהווה הפחתה של 5,564,689 ₪ משווי מצב חדש ומההשבחה, ובהתאם, הפחתה של 2,782,345 ₪ מהיטל ההשבחה. </w:t>
      </w:r>
    </w:p>
    <w:p w:rsidR="005C5334" w:rsidRPr="006C64A1" w:rsidRDefault="005C5334" w:rsidP="00580950">
      <w:pPr>
        <w:pStyle w:val="a9"/>
        <w:numPr>
          <w:ilvl w:val="0"/>
          <w:numId w:val="1"/>
        </w:numPr>
        <w:tabs>
          <w:tab w:val="left" w:pos="425"/>
        </w:tabs>
        <w:spacing w:line="360" w:lineRule="auto"/>
        <w:contextualSpacing w:val="0"/>
        <w:jc w:val="both"/>
        <w:rPr>
          <w:rFonts w:ascii="David" w:hAnsi="David" w:cs="David"/>
        </w:rPr>
      </w:pPr>
      <w:r w:rsidRPr="0008237A">
        <w:rPr>
          <w:rFonts w:ascii="David" w:hAnsi="David" w:cs="David" w:hint="cs"/>
          <w:rtl/>
        </w:rPr>
        <w:t>עוד ציינה הועדה המקומית כי למגרש 102 הוצא היתר בניה ביום 3.1.22, כך שבמבחן המציאות התכנית הנ"ל לא התכלתה ולכן על פי מבחן ההתעשרות בהתאם לפסק הדין בעניין "הפטריארך היווני" (ע"א 2761/09) לא נכון להפחית מהיטל השבחה בגין הסיכון להתכלות התכנית</w:t>
      </w:r>
      <w:r w:rsidR="005E4144">
        <w:rPr>
          <w:rFonts w:ascii="David" w:hAnsi="David" w:cs="David" w:hint="cs"/>
          <w:rtl/>
        </w:rPr>
        <w:t>.</w:t>
      </w:r>
    </w:p>
    <w:p w:rsidR="005C5334" w:rsidRPr="006C64A1" w:rsidRDefault="00580950" w:rsidP="0008237A">
      <w:pPr>
        <w:pStyle w:val="a9"/>
        <w:numPr>
          <w:ilvl w:val="0"/>
          <w:numId w:val="1"/>
        </w:numPr>
        <w:tabs>
          <w:tab w:val="left" w:pos="425"/>
        </w:tabs>
        <w:spacing w:line="360" w:lineRule="auto"/>
        <w:contextualSpacing w:val="0"/>
        <w:jc w:val="both"/>
        <w:rPr>
          <w:rFonts w:ascii="David" w:hAnsi="David" w:cs="David"/>
        </w:rPr>
      </w:pPr>
      <w:r>
        <w:rPr>
          <w:rFonts w:ascii="David" w:hAnsi="David" w:cs="David" w:hint="cs"/>
          <w:rtl/>
        </w:rPr>
        <w:t>אלא שלפי פ</w:t>
      </w:r>
      <w:r w:rsidR="00576BF1">
        <w:rPr>
          <w:rFonts w:ascii="David" w:hAnsi="David" w:cs="David" w:hint="cs"/>
          <w:rtl/>
        </w:rPr>
        <w:t>ס</w:t>
      </w:r>
      <w:r>
        <w:rPr>
          <w:rFonts w:ascii="David" w:hAnsi="David" w:cs="David" w:hint="cs"/>
          <w:rtl/>
        </w:rPr>
        <w:t>ק הדין בעניין</w:t>
      </w:r>
      <w:r w:rsidR="005C5334" w:rsidRPr="006C64A1">
        <w:rPr>
          <w:rFonts w:ascii="David" w:hAnsi="David" w:cs="David" w:hint="cs"/>
          <w:rtl/>
        </w:rPr>
        <w:t xml:space="preserve"> הפטריארך היווני, </w:t>
      </w:r>
      <w:r>
        <w:rPr>
          <w:rFonts w:ascii="David" w:hAnsi="David" w:cs="David" w:hint="cs"/>
          <w:rtl/>
        </w:rPr>
        <w:t>נטען ש</w:t>
      </w:r>
      <w:r w:rsidR="005C5334" w:rsidRPr="006C64A1">
        <w:rPr>
          <w:rFonts w:ascii="David" w:hAnsi="David" w:cs="David" w:hint="cs"/>
          <w:rtl/>
        </w:rPr>
        <w:t xml:space="preserve">קיימות 2 אפשרויות "בינאריות": </w:t>
      </w:r>
    </w:p>
    <w:p w:rsidR="005C5334" w:rsidRPr="006C64A1" w:rsidRDefault="005C5334" w:rsidP="00073883">
      <w:pPr>
        <w:pStyle w:val="a9"/>
        <w:numPr>
          <w:ilvl w:val="0"/>
          <w:numId w:val="4"/>
        </w:numPr>
        <w:spacing w:line="360" w:lineRule="auto"/>
        <w:contextualSpacing w:val="0"/>
        <w:jc w:val="both"/>
        <w:rPr>
          <w:rFonts w:ascii="David" w:hAnsi="David" w:cs="David"/>
        </w:rPr>
      </w:pPr>
      <w:r w:rsidRPr="006C64A1">
        <w:rPr>
          <w:rFonts w:ascii="David" w:hAnsi="David" w:cs="David" w:hint="cs"/>
          <w:rtl/>
        </w:rPr>
        <w:t xml:space="preserve">תכנית תמומש </w:t>
      </w:r>
      <w:r w:rsidRPr="006C64A1">
        <w:rPr>
          <w:rFonts w:ascii="David" w:hAnsi="David" w:cs="David"/>
          <w:rtl/>
        </w:rPr>
        <w:t>–</w:t>
      </w:r>
      <w:r w:rsidRPr="006C64A1">
        <w:rPr>
          <w:rFonts w:ascii="David" w:hAnsi="David" w:cs="David" w:hint="cs"/>
          <w:rtl/>
        </w:rPr>
        <w:t xml:space="preserve"> ישולם היטל השבחה מלא, שכן קיימת התעשרות מלאה. </w:t>
      </w:r>
    </w:p>
    <w:p w:rsidR="005C5334" w:rsidRPr="006C64A1" w:rsidRDefault="005C5334" w:rsidP="00073883">
      <w:pPr>
        <w:pStyle w:val="a9"/>
        <w:numPr>
          <w:ilvl w:val="0"/>
          <w:numId w:val="4"/>
        </w:numPr>
        <w:spacing w:line="360" w:lineRule="auto"/>
        <w:contextualSpacing w:val="0"/>
        <w:jc w:val="both"/>
        <w:rPr>
          <w:rFonts w:ascii="David" w:hAnsi="David" w:cs="David"/>
        </w:rPr>
      </w:pPr>
      <w:r w:rsidRPr="006C64A1">
        <w:rPr>
          <w:rFonts w:ascii="David" w:hAnsi="David" w:cs="David" w:hint="cs"/>
          <w:rtl/>
        </w:rPr>
        <w:t xml:space="preserve">התכנית תתכלה </w:t>
      </w:r>
      <w:r w:rsidRPr="006C64A1">
        <w:rPr>
          <w:rFonts w:ascii="David" w:hAnsi="David" w:cs="David"/>
          <w:rtl/>
        </w:rPr>
        <w:t>–</w:t>
      </w:r>
      <w:r w:rsidRPr="006C64A1">
        <w:rPr>
          <w:rFonts w:ascii="David" w:hAnsi="David" w:cs="David" w:hint="cs"/>
          <w:rtl/>
        </w:rPr>
        <w:t xml:space="preserve"> היטל ההשבחה לא ישולם או שיושב במלואו, משום שלא קיימת התעשרות כלל. </w:t>
      </w:r>
    </w:p>
    <w:p w:rsidR="005C5334" w:rsidRPr="006C64A1" w:rsidRDefault="005C5334" w:rsidP="0008237A">
      <w:pPr>
        <w:pStyle w:val="a9"/>
        <w:numPr>
          <w:ilvl w:val="0"/>
          <w:numId w:val="1"/>
        </w:numPr>
        <w:tabs>
          <w:tab w:val="left" w:pos="425"/>
        </w:tabs>
        <w:spacing w:line="360" w:lineRule="auto"/>
        <w:contextualSpacing w:val="0"/>
        <w:jc w:val="both"/>
        <w:rPr>
          <w:rFonts w:ascii="David" w:hAnsi="David" w:cs="David"/>
        </w:rPr>
      </w:pPr>
      <w:r w:rsidRPr="006C64A1">
        <w:rPr>
          <w:rFonts w:ascii="David" w:hAnsi="David" w:cs="David" w:hint="cs"/>
          <w:rtl/>
        </w:rPr>
        <w:t>מכאן שהמנגנון הרגיל כולל אפשרות תשלום מלא, או השבחה מלאה ככל שלא בוצע מימוש עד למועד ההתכלות, ואלו בלבד, ואין על כן בסיס להפחתה בהיטל השבחה על בסיס מקדם סיכו</w:t>
      </w:r>
      <w:r w:rsidR="00580950">
        <w:rPr>
          <w:rFonts w:ascii="David" w:hAnsi="David" w:cs="David" w:hint="cs"/>
          <w:rtl/>
        </w:rPr>
        <w:t>ן</w:t>
      </w:r>
      <w:r w:rsidRPr="006C64A1">
        <w:rPr>
          <w:rFonts w:ascii="David" w:hAnsi="David" w:cs="David" w:hint="cs"/>
          <w:rtl/>
        </w:rPr>
        <w:t xml:space="preserve"> הלוקח בחשבון התכלות אפשרית. </w:t>
      </w:r>
    </w:p>
    <w:p w:rsidR="007E5672" w:rsidRDefault="005C5334" w:rsidP="007E5672">
      <w:pPr>
        <w:pStyle w:val="a9"/>
        <w:numPr>
          <w:ilvl w:val="0"/>
          <w:numId w:val="1"/>
        </w:numPr>
        <w:tabs>
          <w:tab w:val="left" w:pos="425"/>
        </w:tabs>
        <w:spacing w:line="360" w:lineRule="auto"/>
        <w:contextualSpacing w:val="0"/>
        <w:jc w:val="both"/>
        <w:rPr>
          <w:rFonts w:ascii="David" w:hAnsi="David" w:cs="David"/>
        </w:rPr>
      </w:pPr>
      <w:r w:rsidRPr="006C64A1">
        <w:rPr>
          <w:rFonts w:ascii="David" w:hAnsi="David" w:cs="David" w:hint="cs"/>
          <w:rtl/>
        </w:rPr>
        <w:t>מכאן שקביעת מקדם סיכון בגין התכלות, בטעות יסודה.</w:t>
      </w:r>
    </w:p>
    <w:p w:rsidR="007E5672" w:rsidRDefault="005C5334" w:rsidP="007E5672">
      <w:pPr>
        <w:pStyle w:val="a9"/>
        <w:numPr>
          <w:ilvl w:val="0"/>
          <w:numId w:val="1"/>
        </w:numPr>
        <w:tabs>
          <w:tab w:val="left" w:pos="425"/>
        </w:tabs>
        <w:spacing w:line="360" w:lineRule="auto"/>
        <w:contextualSpacing w:val="0"/>
        <w:jc w:val="both"/>
        <w:rPr>
          <w:rFonts w:ascii="David" w:hAnsi="David" w:cs="David"/>
        </w:rPr>
      </w:pPr>
      <w:r w:rsidRPr="007E5672">
        <w:rPr>
          <w:rFonts w:ascii="David" w:hAnsi="David" w:cs="David" w:hint="cs"/>
          <w:rtl/>
        </w:rPr>
        <w:t xml:space="preserve">טעות דומה אך הפוכה בוצעה גם באומדן שווי מצב קודם באומדן ההשבחה בגין תכנית בי/1/517 באופן שהגדיל ההשבחה בגין תכנית זו בסך של 3,386,274 ₪. </w:t>
      </w:r>
    </w:p>
    <w:p w:rsidR="005C5334" w:rsidRPr="007E5672" w:rsidRDefault="005C5334" w:rsidP="007E5672">
      <w:pPr>
        <w:pStyle w:val="a9"/>
        <w:numPr>
          <w:ilvl w:val="0"/>
          <w:numId w:val="1"/>
        </w:numPr>
        <w:tabs>
          <w:tab w:val="left" w:pos="425"/>
        </w:tabs>
        <w:spacing w:line="360" w:lineRule="auto"/>
        <w:contextualSpacing w:val="0"/>
        <w:jc w:val="both"/>
        <w:rPr>
          <w:rFonts w:ascii="David" w:hAnsi="David" w:cs="David"/>
          <w:rtl/>
        </w:rPr>
      </w:pPr>
      <w:r w:rsidRPr="007E5672">
        <w:rPr>
          <w:rFonts w:ascii="David" w:hAnsi="David" w:cs="David" w:hint="cs"/>
          <w:rtl/>
        </w:rPr>
        <w:t xml:space="preserve">תיקון שתי הטעויות הנ"ל יביא לתוצאות שלהלן: יגדיל את היטל ההשבחה בגין תכנית בי/517 בסך של 1,857,976 ₪ למועד הקובע ליום 2.10.15. יקטין את היטל ההשבחה בגין תכנית בי/1/517 בסך של 1,693,137- ₪ למועד הקובע ליום 27.9.17. סה"כ יתקבל הגדלה של היטל ההשבחה בסך </w:t>
      </w:r>
      <w:r w:rsidR="00DC7B6D" w:rsidRPr="007E5672">
        <w:rPr>
          <w:rFonts w:ascii="David" w:hAnsi="David" w:cs="David" w:hint="eastAsia"/>
          <w:rtl/>
        </w:rPr>
        <w:t>של</w:t>
      </w:r>
      <w:r w:rsidR="00DC7B6D" w:rsidRPr="007E5672">
        <w:rPr>
          <w:rFonts w:ascii="David" w:hAnsi="David" w:cs="David"/>
          <w:rtl/>
        </w:rPr>
        <w:t xml:space="preserve"> 164,000</w:t>
      </w:r>
      <w:r w:rsidRPr="007E5672">
        <w:rPr>
          <w:rFonts w:ascii="David" w:hAnsi="David" w:cs="David" w:hint="cs"/>
          <w:rtl/>
        </w:rPr>
        <w:t xml:space="preserve"> ₪ למועד הקובע. </w:t>
      </w:r>
    </w:p>
    <w:p w:rsidR="005C5334" w:rsidRPr="006C64A1" w:rsidRDefault="00710D0D" w:rsidP="006C64A1">
      <w:pPr>
        <w:spacing w:line="360" w:lineRule="auto"/>
        <w:jc w:val="both"/>
        <w:rPr>
          <w:rFonts w:ascii="David" w:hAnsi="David" w:cs="David"/>
          <w:u w:val="thick"/>
          <w:rtl/>
        </w:rPr>
      </w:pPr>
      <w:r>
        <w:rPr>
          <w:rFonts w:ascii="David" w:hAnsi="David" w:cs="David"/>
          <w:u w:val="thick"/>
          <w:rtl/>
        </w:rPr>
        <w:br/>
      </w:r>
      <w:r w:rsidR="005C5334" w:rsidRPr="006C64A1">
        <w:rPr>
          <w:rFonts w:ascii="David" w:hAnsi="David" w:cs="David" w:hint="cs"/>
          <w:u w:val="thick"/>
          <w:rtl/>
        </w:rPr>
        <w:t xml:space="preserve">תשובת החברה </w:t>
      </w:r>
    </w:p>
    <w:p w:rsidR="007E5672" w:rsidRDefault="005C5334" w:rsidP="007E5672">
      <w:pPr>
        <w:pStyle w:val="a9"/>
        <w:numPr>
          <w:ilvl w:val="0"/>
          <w:numId w:val="1"/>
        </w:numPr>
        <w:tabs>
          <w:tab w:val="left" w:pos="425"/>
        </w:tabs>
        <w:spacing w:line="360" w:lineRule="auto"/>
        <w:contextualSpacing w:val="0"/>
        <w:jc w:val="both"/>
        <w:rPr>
          <w:rFonts w:ascii="David" w:hAnsi="David" w:cs="David"/>
        </w:rPr>
      </w:pPr>
      <w:r w:rsidRPr="006C64A1">
        <w:rPr>
          <w:rFonts w:ascii="David" w:hAnsi="David" w:cs="David" w:hint="cs"/>
          <w:rtl/>
        </w:rPr>
        <w:t>לטענת הועדה המקומית קביעת השמאית המכריעה סותרת את פסק הדין בעניין "הפטריארך היווני" שמתיר שתי אפשרויות</w:t>
      </w:r>
      <w:r w:rsidR="00580950">
        <w:rPr>
          <w:rFonts w:ascii="David" w:hAnsi="David" w:cs="David" w:hint="cs"/>
          <w:rtl/>
        </w:rPr>
        <w:t xml:space="preserve">, כפי שפורטו לעיל. </w:t>
      </w:r>
    </w:p>
    <w:p w:rsidR="007E5672" w:rsidRDefault="005C5334" w:rsidP="007E5672">
      <w:pPr>
        <w:pStyle w:val="a9"/>
        <w:numPr>
          <w:ilvl w:val="0"/>
          <w:numId w:val="1"/>
        </w:numPr>
        <w:tabs>
          <w:tab w:val="left" w:pos="425"/>
        </w:tabs>
        <w:spacing w:line="360" w:lineRule="auto"/>
        <w:contextualSpacing w:val="0"/>
        <w:jc w:val="both"/>
        <w:rPr>
          <w:rFonts w:ascii="David" w:hAnsi="David" w:cs="David"/>
        </w:rPr>
      </w:pPr>
      <w:r w:rsidRPr="007E5672">
        <w:rPr>
          <w:rFonts w:ascii="David" w:hAnsi="David" w:cs="David" w:hint="cs"/>
          <w:rtl/>
        </w:rPr>
        <w:t xml:space="preserve">אלא שלעמדת החברה פס"ד הפטריארך היווני כלל לא קבע את מה שמבקשת הועדה המקומית להסיק ממנו, וצדקה השמאית המכריעה שקבעה כי מרוח הדברים של פסק דין זה, </w:t>
      </w:r>
      <w:r w:rsidR="00A648B8">
        <w:rPr>
          <w:rFonts w:ascii="David" w:hAnsi="David" w:cs="David" w:hint="cs"/>
          <w:rtl/>
        </w:rPr>
        <w:t>ל</w:t>
      </w:r>
      <w:r w:rsidRPr="007E5672">
        <w:rPr>
          <w:rFonts w:ascii="David" w:hAnsi="David" w:cs="David" w:hint="cs"/>
          <w:rtl/>
        </w:rPr>
        <w:t xml:space="preserve">סיכוני פקיעת התכנית </w:t>
      </w:r>
      <w:r w:rsidR="00A648B8">
        <w:rPr>
          <w:rFonts w:ascii="David" w:hAnsi="David" w:cs="David" w:hint="cs"/>
          <w:rtl/>
        </w:rPr>
        <w:t>השפעה</w:t>
      </w:r>
      <w:r w:rsidR="00A648B8" w:rsidRPr="007E5672">
        <w:rPr>
          <w:rFonts w:ascii="David" w:hAnsi="David" w:cs="David" w:hint="cs"/>
          <w:rtl/>
        </w:rPr>
        <w:t xml:space="preserve"> </w:t>
      </w:r>
      <w:r w:rsidRPr="007E5672">
        <w:rPr>
          <w:rFonts w:ascii="David" w:hAnsi="David" w:cs="David" w:hint="cs"/>
          <w:rtl/>
        </w:rPr>
        <w:t xml:space="preserve">על שווי הזכויות. </w:t>
      </w:r>
    </w:p>
    <w:p w:rsidR="007E5672" w:rsidRDefault="005C5334" w:rsidP="007E5672">
      <w:pPr>
        <w:pStyle w:val="a9"/>
        <w:numPr>
          <w:ilvl w:val="0"/>
          <w:numId w:val="1"/>
        </w:numPr>
        <w:tabs>
          <w:tab w:val="left" w:pos="425"/>
        </w:tabs>
        <w:spacing w:line="360" w:lineRule="auto"/>
        <w:contextualSpacing w:val="0"/>
        <w:jc w:val="both"/>
        <w:rPr>
          <w:rFonts w:ascii="David" w:hAnsi="David" w:cs="David"/>
        </w:rPr>
      </w:pPr>
      <w:r w:rsidRPr="007E5672">
        <w:rPr>
          <w:rFonts w:ascii="David" w:hAnsi="David" w:cs="David" w:hint="cs"/>
          <w:rtl/>
        </w:rPr>
        <w:t xml:space="preserve">יתרה מכך, קביעת מקדם התכלות בגין סעיף התכלות בתכנית משביחה הינה קביעה שמאית שכיחה ומקובלת, ואף השמאית המכריעה מפנה בשומות המכריעות להחלטות ועדות הערר שקבעו כי יש להביא בחשבון את המשמעות השמאית של הוראת התכלות בתכנית המשביחה. </w:t>
      </w:r>
    </w:p>
    <w:p w:rsidR="005C5334" w:rsidRPr="007E5672" w:rsidRDefault="005C5334" w:rsidP="007E5672">
      <w:pPr>
        <w:pStyle w:val="a9"/>
        <w:numPr>
          <w:ilvl w:val="0"/>
          <w:numId w:val="1"/>
        </w:numPr>
        <w:tabs>
          <w:tab w:val="left" w:pos="425"/>
        </w:tabs>
        <w:spacing w:line="360" w:lineRule="auto"/>
        <w:contextualSpacing w:val="0"/>
        <w:jc w:val="both"/>
        <w:rPr>
          <w:rFonts w:ascii="David" w:hAnsi="David" w:cs="David"/>
        </w:rPr>
      </w:pPr>
      <w:r w:rsidRPr="007E5672">
        <w:rPr>
          <w:rFonts w:ascii="David" w:hAnsi="David" w:cs="David" w:hint="cs"/>
          <w:rtl/>
        </w:rPr>
        <w:t xml:space="preserve">עוד טוענת החברה כי מקדם הריבית השנתית בשיעור של 6% נקבע על ידי השמאית המכריעה כמשקף מספר גורמים מצטברים, ולא רק בשל גורם התכלות כפי שעלול להשתמע מערר הועדה המקומית.  כך למשל השמאית המכריעה מציינת כי שיעור הריבית השנתית משקף את "תקופת תוקפן של הזכויות והסיכוי למימוש להוצאת היתרי בניה, כפי שקבעה התכנית על רקע התמריץ הכלכלי של התכנית המשביחה ותוספת זכויות הבניה את מורכבות התכנית ואת הרכב </w:t>
      </w:r>
      <w:proofErr w:type="spellStart"/>
      <w:r w:rsidRPr="007E5672">
        <w:rPr>
          <w:rFonts w:ascii="David" w:hAnsi="David" w:cs="David" w:hint="cs"/>
          <w:rtl/>
        </w:rPr>
        <w:t>הבעלויות</w:t>
      </w:r>
      <w:proofErr w:type="spellEnd"/>
      <w:r w:rsidRPr="007E5672">
        <w:rPr>
          <w:rFonts w:ascii="David" w:hAnsi="David" w:cs="David" w:hint="cs"/>
          <w:rtl/>
        </w:rPr>
        <w:t xml:space="preserve"> בחלק שבנדון" </w:t>
      </w:r>
      <w:r w:rsidR="00A648B8">
        <w:rPr>
          <w:rFonts w:ascii="David" w:hAnsi="David" w:cs="David" w:hint="cs"/>
          <w:rtl/>
        </w:rPr>
        <w:t xml:space="preserve">וכי </w:t>
      </w:r>
      <w:r w:rsidRPr="007E5672">
        <w:rPr>
          <w:rFonts w:ascii="David" w:hAnsi="David" w:cs="David" w:hint="cs"/>
          <w:rtl/>
        </w:rPr>
        <w:t>שיעור הריבית וכנגזרת ממנו מקדם ההפחתה בגין הדחיה נקבע "בהתחשב בהוצאת היתר בניה במסגרת תכנית פינוי בינוי ובהתחשב במורכבות הפרויקט לפינוי של 104 דירות ובנייתם של 470 יח"ד חדשות תחתם".</w:t>
      </w:r>
    </w:p>
    <w:p w:rsidR="0008237A" w:rsidRDefault="0008237A" w:rsidP="005C5334">
      <w:pPr>
        <w:tabs>
          <w:tab w:val="left" w:pos="1244"/>
        </w:tabs>
        <w:spacing w:line="360" w:lineRule="auto"/>
        <w:jc w:val="both"/>
        <w:rPr>
          <w:rFonts w:ascii="David" w:hAnsi="David" w:cs="David"/>
          <w:b/>
          <w:bCs/>
          <w:u w:val="thick"/>
          <w:rtl/>
        </w:rPr>
      </w:pPr>
    </w:p>
    <w:p w:rsidR="005C5334" w:rsidRDefault="005C5334" w:rsidP="005C5334">
      <w:pPr>
        <w:tabs>
          <w:tab w:val="left" w:pos="1244"/>
        </w:tabs>
        <w:spacing w:line="360" w:lineRule="auto"/>
        <w:jc w:val="both"/>
        <w:rPr>
          <w:rFonts w:ascii="David" w:hAnsi="David" w:cs="David"/>
          <w:b/>
          <w:bCs/>
          <w:u w:val="thick"/>
          <w:rtl/>
        </w:rPr>
      </w:pPr>
      <w:r w:rsidRPr="004B30C1">
        <w:rPr>
          <w:rFonts w:ascii="David" w:hAnsi="David" w:cs="David" w:hint="cs"/>
          <w:b/>
          <w:bCs/>
          <w:u w:val="thick"/>
          <w:rtl/>
        </w:rPr>
        <w:t xml:space="preserve">דיון והכרעה </w:t>
      </w:r>
    </w:p>
    <w:p w:rsidR="000334EC" w:rsidRDefault="005C5334" w:rsidP="000334EC">
      <w:pPr>
        <w:pStyle w:val="a9"/>
        <w:numPr>
          <w:ilvl w:val="0"/>
          <w:numId w:val="1"/>
        </w:numPr>
        <w:tabs>
          <w:tab w:val="left" w:pos="283"/>
          <w:tab w:val="left" w:pos="425"/>
        </w:tabs>
        <w:spacing w:line="360" w:lineRule="auto"/>
        <w:ind w:left="357"/>
        <w:contextualSpacing w:val="0"/>
        <w:jc w:val="both"/>
        <w:rPr>
          <w:rFonts w:ascii="David" w:hAnsi="David" w:cs="David"/>
        </w:rPr>
      </w:pPr>
      <w:r>
        <w:rPr>
          <w:rFonts w:ascii="David" w:hAnsi="David" w:cs="David" w:hint="cs"/>
          <w:rtl/>
        </w:rPr>
        <w:t xml:space="preserve">ראשית, לטעמנו דינה של </w:t>
      </w:r>
      <w:r w:rsidR="00CF17A5">
        <w:rPr>
          <w:rFonts w:ascii="David" w:hAnsi="David" w:cs="David" w:hint="cs"/>
          <w:rtl/>
        </w:rPr>
        <w:t xml:space="preserve">טענת </w:t>
      </w:r>
      <w:r>
        <w:rPr>
          <w:rFonts w:ascii="David" w:hAnsi="David" w:cs="David" w:hint="cs"/>
          <w:rtl/>
        </w:rPr>
        <w:t xml:space="preserve">הועדה המקומית בעניין </w:t>
      </w:r>
      <w:r w:rsidR="006C64A1">
        <w:rPr>
          <w:rFonts w:ascii="David" w:hAnsi="David" w:cs="David" w:hint="cs"/>
          <w:rtl/>
        </w:rPr>
        <w:t xml:space="preserve">שגגה שכביכול נפלה בשומות המכריעות עת </w:t>
      </w:r>
      <w:r>
        <w:rPr>
          <w:rFonts w:ascii="David" w:hAnsi="David" w:cs="David" w:hint="cs"/>
          <w:rtl/>
        </w:rPr>
        <w:t>ה</w:t>
      </w:r>
      <w:r w:rsidR="006C64A1">
        <w:rPr>
          <w:rFonts w:ascii="David" w:hAnsi="David" w:cs="David" w:hint="cs"/>
          <w:rtl/>
        </w:rPr>
        <w:t xml:space="preserve">ובא </w:t>
      </w:r>
      <w:r>
        <w:rPr>
          <w:rFonts w:ascii="David" w:hAnsi="David" w:cs="David" w:hint="cs"/>
          <w:rtl/>
        </w:rPr>
        <w:t xml:space="preserve">מקדם בגין סיכון להתכלות </w:t>
      </w:r>
      <w:r w:rsidR="006C64A1">
        <w:rPr>
          <w:rFonts w:ascii="David" w:hAnsi="David" w:cs="David" w:hint="cs"/>
          <w:rtl/>
        </w:rPr>
        <w:t>ה</w:t>
      </w:r>
      <w:r>
        <w:rPr>
          <w:rFonts w:ascii="David" w:hAnsi="David" w:cs="David" w:hint="cs"/>
          <w:rtl/>
        </w:rPr>
        <w:t xml:space="preserve">תכנית, להידחות. </w:t>
      </w:r>
    </w:p>
    <w:p w:rsidR="000334EC" w:rsidRDefault="005C5334" w:rsidP="000334EC">
      <w:pPr>
        <w:pStyle w:val="a9"/>
        <w:numPr>
          <w:ilvl w:val="0"/>
          <w:numId w:val="1"/>
        </w:numPr>
        <w:tabs>
          <w:tab w:val="left" w:pos="425"/>
        </w:tabs>
        <w:spacing w:line="360" w:lineRule="auto"/>
        <w:ind w:left="357"/>
        <w:contextualSpacing w:val="0"/>
        <w:jc w:val="both"/>
        <w:rPr>
          <w:rFonts w:ascii="David" w:hAnsi="David" w:cs="David"/>
        </w:rPr>
      </w:pPr>
      <w:r w:rsidRPr="000334EC">
        <w:rPr>
          <w:rFonts w:ascii="David" w:hAnsi="David" w:cs="David" w:hint="cs"/>
          <w:rtl/>
        </w:rPr>
        <w:t>מושכלת יסוד בהיטל השבחה היא</w:t>
      </w:r>
      <w:r w:rsidR="000334EC">
        <w:rPr>
          <w:rFonts w:ascii="David" w:hAnsi="David" w:cs="David" w:hint="cs"/>
          <w:rtl/>
        </w:rPr>
        <w:t>,</w:t>
      </w:r>
      <w:r w:rsidRPr="000334EC">
        <w:rPr>
          <w:rFonts w:ascii="David" w:hAnsi="David" w:cs="David" w:hint="cs"/>
          <w:rtl/>
        </w:rPr>
        <w:t xml:space="preserve"> כי בחינת ההשבחה נעשית </w:t>
      </w:r>
      <w:r w:rsidR="006C64A1" w:rsidRPr="000334EC">
        <w:rPr>
          <w:rFonts w:ascii="David" w:hAnsi="David" w:cs="David" w:hint="cs"/>
          <w:rtl/>
        </w:rPr>
        <w:t>למועד "</w:t>
      </w:r>
      <w:r w:rsidRPr="000334EC">
        <w:rPr>
          <w:rFonts w:ascii="David" w:hAnsi="David" w:cs="David" w:hint="cs"/>
          <w:rtl/>
        </w:rPr>
        <w:t>אירוע המס</w:t>
      </w:r>
      <w:r w:rsidR="006C64A1" w:rsidRPr="000334EC">
        <w:rPr>
          <w:rFonts w:ascii="David" w:hAnsi="David" w:cs="David" w:hint="cs"/>
          <w:rtl/>
        </w:rPr>
        <w:t>"</w:t>
      </w:r>
      <w:r w:rsidRPr="000334EC">
        <w:rPr>
          <w:rFonts w:ascii="David" w:hAnsi="David" w:cs="David" w:hint="cs"/>
          <w:rtl/>
        </w:rPr>
        <w:t xml:space="preserve"> </w:t>
      </w:r>
      <w:r w:rsidR="006C64A1" w:rsidRPr="000334EC">
        <w:rPr>
          <w:rFonts w:ascii="David" w:hAnsi="David" w:cs="David" w:hint="cs"/>
          <w:rtl/>
        </w:rPr>
        <w:t xml:space="preserve">הוא המועד הקובע </w:t>
      </w:r>
      <w:r w:rsidRPr="000334EC">
        <w:rPr>
          <w:rFonts w:ascii="David" w:hAnsi="David" w:cs="David" w:hint="cs"/>
          <w:rtl/>
        </w:rPr>
        <w:t>ובעניינינו מועד אישור התכנית</w:t>
      </w:r>
      <w:r w:rsidR="0046740C" w:rsidRPr="000334EC">
        <w:rPr>
          <w:rFonts w:ascii="David" w:hAnsi="David" w:cs="David" w:hint="cs"/>
          <w:rtl/>
        </w:rPr>
        <w:t xml:space="preserve"> ועל כן אין נפקות לאירועים שהתרחשו לאחר המועד הקובע.</w:t>
      </w:r>
      <w:r w:rsidR="006C64A1" w:rsidRPr="000334EC">
        <w:rPr>
          <w:rFonts w:ascii="David" w:hAnsi="David" w:cs="David" w:hint="cs"/>
          <w:rtl/>
        </w:rPr>
        <w:t xml:space="preserve"> </w:t>
      </w:r>
    </w:p>
    <w:p w:rsidR="006C64A1" w:rsidRPr="000334EC" w:rsidRDefault="006C64A1" w:rsidP="000334EC">
      <w:pPr>
        <w:pStyle w:val="a9"/>
        <w:numPr>
          <w:ilvl w:val="0"/>
          <w:numId w:val="1"/>
        </w:numPr>
        <w:tabs>
          <w:tab w:val="left" w:pos="425"/>
        </w:tabs>
        <w:spacing w:line="360" w:lineRule="auto"/>
        <w:ind w:left="357"/>
        <w:contextualSpacing w:val="0"/>
        <w:jc w:val="both"/>
        <w:rPr>
          <w:rFonts w:ascii="David" w:hAnsi="David" w:cs="David"/>
        </w:rPr>
      </w:pPr>
      <w:r w:rsidRPr="000334EC">
        <w:rPr>
          <w:rFonts w:ascii="David" w:hAnsi="David" w:cs="David" w:hint="cs"/>
          <w:rtl/>
        </w:rPr>
        <w:t>סעיף 7.2 לתכנית בי/517 קובע ביחס למועד מימוש התכנית כדלקמן:</w:t>
      </w:r>
    </w:p>
    <w:p w:rsidR="006C64A1" w:rsidRDefault="006C64A1" w:rsidP="006C64A1">
      <w:pPr>
        <w:pStyle w:val="a9"/>
        <w:spacing w:line="360" w:lineRule="auto"/>
        <w:ind w:left="357"/>
        <w:contextualSpacing w:val="0"/>
        <w:jc w:val="both"/>
        <w:rPr>
          <w:rFonts w:ascii="David" w:hAnsi="David" w:cs="David"/>
        </w:rPr>
      </w:pPr>
      <w:r w:rsidRPr="006C64A1">
        <w:rPr>
          <w:rFonts w:ascii="David" w:hAnsi="David" w:cs="David"/>
          <w:noProof/>
          <w:rtl/>
        </w:rPr>
        <w:drawing>
          <wp:inline distT="0" distB="0" distL="0" distR="0" wp14:anchorId="0351C243" wp14:editId="72962874">
            <wp:extent cx="3905451" cy="666784"/>
            <wp:effectExtent l="0" t="0" r="0" b="0"/>
            <wp:docPr id="175682964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29648" name=""/>
                    <pic:cNvPicPr/>
                  </pic:nvPicPr>
                  <pic:blipFill>
                    <a:blip r:embed="rId36"/>
                    <a:stretch>
                      <a:fillRect/>
                    </a:stretch>
                  </pic:blipFill>
                  <pic:spPr>
                    <a:xfrm>
                      <a:off x="0" y="0"/>
                      <a:ext cx="3905451" cy="666784"/>
                    </a:xfrm>
                    <a:prstGeom prst="rect">
                      <a:avLst/>
                    </a:prstGeom>
                  </pic:spPr>
                </pic:pic>
              </a:graphicData>
            </a:graphic>
          </wp:inline>
        </w:drawing>
      </w:r>
    </w:p>
    <w:p w:rsidR="000334EC" w:rsidRDefault="006C64A1" w:rsidP="000334EC">
      <w:pPr>
        <w:pStyle w:val="a9"/>
        <w:numPr>
          <w:ilvl w:val="0"/>
          <w:numId w:val="1"/>
        </w:numPr>
        <w:tabs>
          <w:tab w:val="left" w:pos="425"/>
        </w:tabs>
        <w:spacing w:line="360" w:lineRule="auto"/>
        <w:ind w:left="357" w:hanging="357"/>
        <w:contextualSpacing w:val="0"/>
        <w:jc w:val="both"/>
        <w:rPr>
          <w:rFonts w:ascii="David" w:hAnsi="David" w:cs="David"/>
        </w:rPr>
      </w:pPr>
      <w:r>
        <w:rPr>
          <w:rFonts w:ascii="David" w:hAnsi="David" w:cs="David" w:hint="cs"/>
          <w:rtl/>
        </w:rPr>
        <w:t xml:space="preserve">הנה כי כן, התכנית </w:t>
      </w:r>
      <w:r w:rsidR="00962482">
        <w:rPr>
          <w:rFonts w:ascii="David" w:hAnsi="David" w:cs="David" w:hint="cs"/>
          <w:rtl/>
        </w:rPr>
        <w:t xml:space="preserve">שבנדון </w:t>
      </w:r>
      <w:r>
        <w:rPr>
          <w:rFonts w:ascii="David" w:hAnsi="David" w:cs="David" w:hint="cs"/>
          <w:rtl/>
        </w:rPr>
        <w:t>כוללת סעיף פקיעה, על כן לטעמנו במועד קובע, רוכש סביר</w:t>
      </w:r>
      <w:r w:rsidR="00687112" w:rsidRPr="00687112">
        <w:rPr>
          <w:rFonts w:ascii="David" w:hAnsi="David" w:cs="David" w:hint="cs"/>
          <w:rtl/>
        </w:rPr>
        <w:t xml:space="preserve"> </w:t>
      </w:r>
      <w:r w:rsidR="00687112">
        <w:rPr>
          <w:rFonts w:ascii="David" w:hAnsi="David" w:cs="David" w:hint="cs"/>
          <w:rtl/>
        </w:rPr>
        <w:t>ייקח בחשבון את העובדה שתכנית זאת עלולה להתכלות בעתיד</w:t>
      </w:r>
      <w:r w:rsidR="000334EC">
        <w:rPr>
          <w:rFonts w:ascii="David" w:hAnsi="David" w:cs="David" w:hint="cs"/>
          <w:rtl/>
        </w:rPr>
        <w:t>,</w:t>
      </w:r>
      <w:r w:rsidR="00687112">
        <w:rPr>
          <w:rFonts w:ascii="David" w:hAnsi="David" w:cs="David" w:hint="cs"/>
          <w:rtl/>
        </w:rPr>
        <w:t xml:space="preserve"> שכן</w:t>
      </w:r>
      <w:r w:rsidR="000334EC">
        <w:rPr>
          <w:rFonts w:ascii="David" w:hAnsi="David" w:cs="David" w:hint="cs"/>
          <w:rtl/>
        </w:rPr>
        <w:t>,</w:t>
      </w:r>
      <w:r w:rsidR="00687112">
        <w:rPr>
          <w:rFonts w:ascii="David" w:hAnsi="David" w:cs="David" w:hint="cs"/>
          <w:rtl/>
        </w:rPr>
        <w:t xml:space="preserve"> הוא </w:t>
      </w:r>
      <w:r w:rsidR="007327BD">
        <w:rPr>
          <w:rFonts w:ascii="David" w:hAnsi="David" w:cs="David" w:hint="cs"/>
          <w:rtl/>
        </w:rPr>
        <w:t xml:space="preserve">אינו מודע </w:t>
      </w:r>
      <w:r w:rsidR="00687112">
        <w:rPr>
          <w:rFonts w:ascii="David" w:hAnsi="David" w:cs="David" w:hint="cs"/>
          <w:rtl/>
        </w:rPr>
        <w:t>במועד אישור התכנית</w:t>
      </w:r>
      <w:r w:rsidR="007327BD">
        <w:rPr>
          <w:rFonts w:ascii="David" w:hAnsi="David" w:cs="David" w:hint="cs"/>
          <w:rtl/>
        </w:rPr>
        <w:t xml:space="preserve"> כי יוצא בהכרח היתר בסופו של דבר </w:t>
      </w:r>
      <w:r w:rsidR="00687112">
        <w:rPr>
          <w:rFonts w:ascii="David" w:hAnsi="David" w:cs="David" w:hint="cs"/>
          <w:rtl/>
        </w:rPr>
        <w:t>מכוחה</w:t>
      </w:r>
      <w:r w:rsidR="00203CBF">
        <w:rPr>
          <w:rFonts w:ascii="David" w:hAnsi="David" w:cs="David" w:hint="cs"/>
          <w:rtl/>
        </w:rPr>
        <w:t>,</w:t>
      </w:r>
      <w:r w:rsidR="00687112">
        <w:rPr>
          <w:rFonts w:ascii="David" w:hAnsi="David" w:cs="David" w:hint="cs"/>
          <w:rtl/>
        </w:rPr>
        <w:t xml:space="preserve"> </w:t>
      </w:r>
      <w:r w:rsidR="007327BD">
        <w:rPr>
          <w:rFonts w:ascii="David" w:hAnsi="David" w:cs="David" w:hint="cs"/>
          <w:rtl/>
        </w:rPr>
        <w:t>ובהתאם יביא בחשבון הפחתה בשל הסיכון להתכלות התכנית</w:t>
      </w:r>
      <w:r>
        <w:rPr>
          <w:rFonts w:ascii="David" w:hAnsi="David" w:cs="David" w:hint="cs"/>
          <w:rtl/>
        </w:rPr>
        <w:t>,</w:t>
      </w:r>
      <w:r w:rsidR="00687112">
        <w:rPr>
          <w:rFonts w:ascii="David" w:hAnsi="David" w:cs="David" w:hint="cs"/>
          <w:rtl/>
        </w:rPr>
        <w:t xml:space="preserve"> זאת</w:t>
      </w:r>
      <w:r>
        <w:rPr>
          <w:rFonts w:ascii="David" w:hAnsi="David" w:cs="David" w:hint="cs"/>
          <w:rtl/>
        </w:rPr>
        <w:t xml:space="preserve"> בשונה </w:t>
      </w:r>
      <w:proofErr w:type="spellStart"/>
      <w:r>
        <w:rPr>
          <w:rFonts w:ascii="David" w:hAnsi="David" w:cs="David" w:hint="cs"/>
          <w:rtl/>
        </w:rPr>
        <w:t>מרוכש</w:t>
      </w:r>
      <w:proofErr w:type="spellEnd"/>
      <w:r>
        <w:rPr>
          <w:rFonts w:ascii="David" w:hAnsi="David" w:cs="David" w:hint="cs"/>
          <w:rtl/>
        </w:rPr>
        <w:t xml:space="preserve"> קרקע עליה חלה תכנית דומה </w:t>
      </w:r>
      <w:r w:rsidRPr="00203CBF">
        <w:rPr>
          <w:rFonts w:ascii="David" w:hAnsi="David" w:cs="David" w:hint="cs"/>
          <w:u w:val="single"/>
          <w:rtl/>
        </w:rPr>
        <w:t>ללא</w:t>
      </w:r>
      <w:r>
        <w:rPr>
          <w:rFonts w:ascii="David" w:hAnsi="David" w:cs="David" w:hint="cs"/>
          <w:rtl/>
        </w:rPr>
        <w:t xml:space="preserve"> סעיף התכלות, ועל כן, העובדה שבסופו של יום התכנית יצאה אל הפועל, אינה </w:t>
      </w:r>
      <w:r w:rsidR="00687112">
        <w:rPr>
          <w:rFonts w:ascii="David" w:hAnsi="David" w:cs="David" w:hint="cs"/>
          <w:rtl/>
        </w:rPr>
        <w:t xml:space="preserve">משנה את העובדה שבמועד קובע היה </w:t>
      </w:r>
      <w:r w:rsidR="00075A99">
        <w:rPr>
          <w:rFonts w:ascii="David" w:hAnsi="David" w:cs="David" w:hint="cs"/>
          <w:rtl/>
        </w:rPr>
        <w:t xml:space="preserve">קיים </w:t>
      </w:r>
      <w:r w:rsidR="00687112">
        <w:rPr>
          <w:rFonts w:ascii="David" w:hAnsi="David" w:cs="David" w:hint="cs"/>
          <w:rtl/>
        </w:rPr>
        <w:t>סיכון שיש להתחשב בו</w:t>
      </w:r>
      <w:r w:rsidR="000334EC">
        <w:rPr>
          <w:rFonts w:ascii="David" w:hAnsi="David" w:cs="David" w:hint="cs"/>
          <w:rtl/>
        </w:rPr>
        <w:t xml:space="preserve"> ולהביאו בחשבון</w:t>
      </w:r>
      <w:r w:rsidR="00A648B8">
        <w:rPr>
          <w:rFonts w:ascii="David" w:hAnsi="David" w:cs="David" w:hint="cs"/>
          <w:rtl/>
        </w:rPr>
        <w:t>.</w:t>
      </w:r>
    </w:p>
    <w:p w:rsidR="000334EC" w:rsidRDefault="00962482" w:rsidP="000334EC">
      <w:pPr>
        <w:pStyle w:val="a9"/>
        <w:numPr>
          <w:ilvl w:val="0"/>
          <w:numId w:val="1"/>
        </w:numPr>
        <w:tabs>
          <w:tab w:val="left" w:pos="425"/>
        </w:tabs>
        <w:spacing w:line="360" w:lineRule="auto"/>
        <w:ind w:left="357" w:hanging="357"/>
        <w:contextualSpacing w:val="0"/>
        <w:jc w:val="both"/>
        <w:rPr>
          <w:rFonts w:ascii="David" w:hAnsi="David" w:cs="David"/>
        </w:rPr>
      </w:pPr>
      <w:r w:rsidRPr="000334EC">
        <w:rPr>
          <w:rFonts w:ascii="David" w:hAnsi="David" w:cs="David" w:hint="cs"/>
          <w:rtl/>
        </w:rPr>
        <w:t>סעיף 4 (1) לתוספת השלישית לחוק קובע בין היתר כי</w:t>
      </w:r>
      <w:r w:rsidR="000334EC">
        <w:rPr>
          <w:rFonts w:ascii="David" w:hAnsi="David" w:cs="David" w:hint="cs"/>
          <w:rtl/>
        </w:rPr>
        <w:t>:</w:t>
      </w:r>
    </w:p>
    <w:p w:rsidR="00962482" w:rsidRPr="000334EC" w:rsidRDefault="00962482" w:rsidP="000334EC">
      <w:pPr>
        <w:pStyle w:val="a9"/>
        <w:tabs>
          <w:tab w:val="left" w:pos="425"/>
        </w:tabs>
        <w:spacing w:line="360" w:lineRule="auto"/>
        <w:ind w:left="1134" w:right="993"/>
        <w:contextualSpacing w:val="0"/>
        <w:jc w:val="both"/>
        <w:rPr>
          <w:rFonts w:ascii="David" w:hAnsi="David" w:cs="David"/>
        </w:rPr>
      </w:pPr>
      <w:r w:rsidRPr="000334EC">
        <w:rPr>
          <w:rFonts w:ascii="David" w:hAnsi="David" w:cs="David" w:hint="cs"/>
          <w:rtl/>
        </w:rPr>
        <w:t>"</w:t>
      </w:r>
      <w:r w:rsidRPr="000334EC">
        <w:rPr>
          <w:rFonts w:ascii="David" w:hAnsi="David" w:cs="David" w:hint="cs"/>
          <w:i/>
          <w:iCs/>
          <w:rtl/>
        </w:rPr>
        <w:t>ע</w:t>
      </w:r>
      <w:r w:rsidRPr="000334EC">
        <w:rPr>
          <w:rFonts w:ascii="David" w:hAnsi="David" w:cs="David"/>
          <w:i/>
          <w:iCs/>
          <w:rtl/>
        </w:rPr>
        <w:t>ל שומת ההשבחה יחולו הוראות אלה:</w:t>
      </w:r>
      <w:r w:rsidRPr="000334EC">
        <w:rPr>
          <w:rFonts w:ascii="David" w:hAnsi="David" w:cs="David" w:hint="cs"/>
          <w:i/>
          <w:iCs/>
          <w:rtl/>
        </w:rPr>
        <w:t xml:space="preserve"> </w:t>
      </w:r>
      <w:r w:rsidRPr="000334EC">
        <w:rPr>
          <w:rFonts w:ascii="David" w:hAnsi="David" w:cs="David"/>
          <w:i/>
          <w:iCs/>
          <w:rtl/>
        </w:rPr>
        <w:t xml:space="preserve">(1)  ההשבחה תיקבע בידי שמאי מקרקעין </w:t>
      </w:r>
      <w:r w:rsidRPr="000334EC">
        <w:rPr>
          <w:rFonts w:ascii="David" w:hAnsi="David" w:cs="David"/>
          <w:i/>
          <w:iCs/>
          <w:u w:val="single"/>
          <w:rtl/>
        </w:rPr>
        <w:t>בסמוך לאחר אישור התכנית</w:t>
      </w:r>
      <w:r w:rsidRPr="000334EC">
        <w:rPr>
          <w:rFonts w:ascii="David" w:hAnsi="David" w:cs="David"/>
          <w:i/>
          <w:iCs/>
          <w:rtl/>
        </w:rPr>
        <w:t>, התרת השימוש החורג או מתן ההקלה; אולם רשאית הועדה המקומית לדחות את עריכת שומת ההשבחה עקב אישור תכנית עד למימוש הזכויות במקרקעין שבהם חלה ההשבחה (להלן - דחיית השומה עד למימוש הזכויות);</w:t>
      </w:r>
    </w:p>
    <w:p w:rsidR="001B015B" w:rsidRPr="001B015B" w:rsidRDefault="00962482" w:rsidP="001B015B">
      <w:pPr>
        <w:pStyle w:val="a9"/>
        <w:numPr>
          <w:ilvl w:val="0"/>
          <w:numId w:val="1"/>
        </w:numPr>
        <w:tabs>
          <w:tab w:val="left" w:pos="425"/>
        </w:tabs>
        <w:spacing w:line="360" w:lineRule="auto"/>
        <w:ind w:hanging="357"/>
        <w:contextualSpacing w:val="0"/>
        <w:jc w:val="both"/>
        <w:rPr>
          <w:rFonts w:ascii="David" w:hAnsi="David" w:cs="David"/>
        </w:rPr>
      </w:pPr>
      <w:r>
        <w:rPr>
          <w:rFonts w:ascii="David" w:hAnsi="David" w:cs="David" w:hint="cs"/>
          <w:rtl/>
        </w:rPr>
        <w:t>כלומר, לשון החוק מלמדנו</w:t>
      </w:r>
      <w:r w:rsidR="003B7E91" w:rsidRPr="00962482">
        <w:rPr>
          <w:rFonts w:ascii="David" w:hAnsi="David" w:cs="David"/>
          <w:rtl/>
        </w:rPr>
        <w:t xml:space="preserve"> היא כי היטל ההשבחה ייקבע: "בסמוך לאחר אישור התכנית", כ</w:t>
      </w:r>
      <w:r>
        <w:rPr>
          <w:rFonts w:ascii="David" w:hAnsi="David" w:cs="David" w:hint="cs"/>
          <w:rtl/>
        </w:rPr>
        <w:t xml:space="preserve">אשר </w:t>
      </w:r>
      <w:r w:rsidR="003B7E91" w:rsidRPr="00962482">
        <w:rPr>
          <w:rFonts w:ascii="David" w:hAnsi="David" w:cs="David"/>
          <w:rtl/>
        </w:rPr>
        <w:t xml:space="preserve">במקרים </w:t>
      </w:r>
      <w:proofErr w:type="spellStart"/>
      <w:r w:rsidR="003B7E91" w:rsidRPr="00962482">
        <w:rPr>
          <w:rFonts w:ascii="David" w:hAnsi="David" w:cs="David"/>
          <w:rtl/>
        </w:rPr>
        <w:t>מסויימים</w:t>
      </w:r>
      <w:proofErr w:type="spellEnd"/>
      <w:r w:rsidR="003B7E91" w:rsidRPr="00962482">
        <w:rPr>
          <w:rFonts w:ascii="David" w:hAnsi="David" w:cs="David"/>
          <w:rtl/>
        </w:rPr>
        <w:t xml:space="preserve"> כמפורט בסעיף, ניתן לדחות את עריכת </w:t>
      </w:r>
      <w:r>
        <w:rPr>
          <w:rFonts w:ascii="David" w:hAnsi="David" w:cs="David" w:hint="cs"/>
          <w:rtl/>
        </w:rPr>
        <w:t xml:space="preserve">השומה לתקופה קצובה. אלא, שהבחינה של ההשבחה נעשית בסמוך לאחר המועד הקובע. היינו, </w:t>
      </w:r>
      <w:r w:rsidRPr="000334EC">
        <w:rPr>
          <w:rFonts w:ascii="David" w:hAnsi="David" w:cs="David" w:hint="cs"/>
          <w:rtl/>
        </w:rPr>
        <w:t>את שווי התכנית על מכלול הוראותיה יש לבחון בסמוך לאחר אישורה</w:t>
      </w:r>
      <w:r w:rsidR="00203CBF" w:rsidRPr="000334EC">
        <w:rPr>
          <w:rFonts w:ascii="David" w:hAnsi="David" w:cs="David" w:hint="cs"/>
          <w:rtl/>
        </w:rPr>
        <w:t xml:space="preserve"> של התכנית </w:t>
      </w:r>
      <w:r w:rsidRPr="000334EC">
        <w:rPr>
          <w:rFonts w:ascii="David" w:hAnsi="David" w:cs="David" w:hint="cs"/>
          <w:rtl/>
        </w:rPr>
        <w:t>ולא שנים רבות לאחר מכן.</w:t>
      </w:r>
    </w:p>
    <w:p w:rsidR="00962482" w:rsidRPr="001B015B" w:rsidRDefault="006C64A1" w:rsidP="001B015B">
      <w:pPr>
        <w:pStyle w:val="a9"/>
        <w:numPr>
          <w:ilvl w:val="0"/>
          <w:numId w:val="1"/>
        </w:numPr>
        <w:tabs>
          <w:tab w:val="left" w:pos="425"/>
        </w:tabs>
        <w:spacing w:line="360" w:lineRule="auto"/>
        <w:ind w:hanging="357"/>
        <w:contextualSpacing w:val="0"/>
        <w:jc w:val="both"/>
        <w:rPr>
          <w:rFonts w:ascii="David" w:hAnsi="David" w:cs="David"/>
        </w:rPr>
      </w:pPr>
      <w:r w:rsidRPr="001B015B">
        <w:rPr>
          <w:rFonts w:ascii="David" w:hAnsi="David" w:cs="David" w:hint="cs"/>
          <w:rtl/>
        </w:rPr>
        <w:t xml:space="preserve">בעניין </w:t>
      </w:r>
      <w:r w:rsidR="00962482" w:rsidRPr="001B015B">
        <w:rPr>
          <w:rFonts w:ascii="David" w:hAnsi="David" w:cs="David" w:hint="cs"/>
          <w:rtl/>
        </w:rPr>
        <w:t xml:space="preserve">התכלות תכנית </w:t>
      </w:r>
      <w:r w:rsidRPr="001B015B">
        <w:rPr>
          <w:rFonts w:ascii="David" w:hAnsi="David" w:cs="David" w:hint="cs"/>
          <w:rtl/>
        </w:rPr>
        <w:t>עסקו ועדות הערר לא אחת, ונפנה לכמה רלוונטיות שבה</w:t>
      </w:r>
      <w:r w:rsidR="00060E4B" w:rsidRPr="001B015B">
        <w:rPr>
          <w:rFonts w:ascii="David" w:hAnsi="David" w:cs="David" w:hint="cs"/>
          <w:rtl/>
        </w:rPr>
        <w:t>ן. ר' למשל החלטת ועדת הערר</w:t>
      </w:r>
      <w:r w:rsidR="001B015B">
        <w:rPr>
          <w:rFonts w:ascii="David" w:hAnsi="David" w:cs="David" w:hint="cs"/>
          <w:rtl/>
        </w:rPr>
        <w:t xml:space="preserve"> שנתנה ממש לאחרונה בערר שהועדה המקומית בעניינינו </w:t>
      </w:r>
      <w:proofErr w:type="spellStart"/>
      <w:r w:rsidR="001B015B">
        <w:rPr>
          <w:rFonts w:ascii="David" w:hAnsi="David" w:cs="David" w:hint="cs"/>
          <w:rtl/>
        </w:rPr>
        <w:t>היתה</w:t>
      </w:r>
      <w:proofErr w:type="spellEnd"/>
      <w:r w:rsidR="001B015B">
        <w:rPr>
          <w:rFonts w:ascii="David" w:hAnsi="David" w:cs="David" w:hint="cs"/>
          <w:rtl/>
        </w:rPr>
        <w:t xml:space="preserve"> צד לו</w:t>
      </w:r>
      <w:r w:rsidR="00060E4B" w:rsidRPr="001B015B">
        <w:rPr>
          <w:rFonts w:ascii="David" w:hAnsi="David" w:cs="David" w:hint="cs"/>
          <w:rtl/>
        </w:rPr>
        <w:t xml:space="preserve"> בעניין ערר תא </w:t>
      </w:r>
      <w:r w:rsidR="00060E4B" w:rsidRPr="001B015B">
        <w:rPr>
          <w:rFonts w:ascii="David" w:hAnsi="David" w:cs="David"/>
          <w:rtl/>
        </w:rPr>
        <w:t xml:space="preserve">8153-08-21 </w:t>
      </w:r>
      <w:r w:rsidR="00060E4B" w:rsidRPr="001B015B">
        <w:rPr>
          <w:rFonts w:ascii="David" w:hAnsi="David" w:cs="David"/>
          <w:b/>
          <w:bCs/>
          <w:u w:val="single"/>
          <w:rtl/>
        </w:rPr>
        <w:t xml:space="preserve">הוועדה המקומית לתכנון ובניה בת ים נ' פ.פ. אפריקה </w:t>
      </w:r>
      <w:proofErr w:type="spellStart"/>
      <w:r w:rsidR="00060E4B" w:rsidRPr="001B015B">
        <w:rPr>
          <w:rFonts w:ascii="David" w:hAnsi="David" w:cs="David"/>
          <w:b/>
          <w:bCs/>
          <w:u w:val="single"/>
          <w:rtl/>
        </w:rPr>
        <w:t>אינווסט</w:t>
      </w:r>
      <w:proofErr w:type="spellEnd"/>
      <w:r w:rsidR="00060E4B" w:rsidRPr="001B015B">
        <w:rPr>
          <w:rFonts w:ascii="David" w:hAnsi="David" w:cs="David"/>
          <w:b/>
          <w:bCs/>
          <w:u w:val="single"/>
          <w:rtl/>
        </w:rPr>
        <w:t xml:space="preserve"> (2010) בע"מ</w:t>
      </w:r>
      <w:r w:rsidR="00060E4B">
        <w:rPr>
          <w:rStyle w:val="af9"/>
          <w:rFonts w:ascii="David" w:hAnsi="David" w:cs="David"/>
          <w:b/>
          <w:bCs/>
          <w:u w:val="single"/>
          <w:rtl/>
        </w:rPr>
        <w:footnoteReference w:id="8"/>
      </w:r>
      <w:r w:rsidR="00060E4B" w:rsidRPr="001B015B">
        <w:rPr>
          <w:rFonts w:ascii="David" w:hAnsi="David" w:cs="David" w:hint="cs"/>
          <w:rtl/>
        </w:rPr>
        <w:t xml:space="preserve"> , (נבו 9.3.25) </w:t>
      </w:r>
      <w:r w:rsidR="00730E63" w:rsidRPr="001B015B">
        <w:rPr>
          <w:rFonts w:ascii="David" w:hAnsi="David" w:cs="David" w:hint="cs"/>
          <w:rtl/>
        </w:rPr>
        <w:t xml:space="preserve">(להלן </w:t>
      </w:r>
      <w:r w:rsidR="00730E63" w:rsidRPr="001B015B">
        <w:rPr>
          <w:rFonts w:ascii="David" w:hAnsi="David" w:cs="David"/>
          <w:rtl/>
        </w:rPr>
        <w:t>–</w:t>
      </w:r>
      <w:r w:rsidR="00730E63" w:rsidRPr="001B015B">
        <w:rPr>
          <w:rFonts w:ascii="David" w:hAnsi="David" w:cs="David" w:hint="cs"/>
          <w:rtl/>
        </w:rPr>
        <w:t xml:space="preserve"> "</w:t>
      </w:r>
      <w:proofErr w:type="spellStart"/>
      <w:r w:rsidR="00730E63" w:rsidRPr="001B015B">
        <w:rPr>
          <w:rFonts w:ascii="David" w:hAnsi="David" w:cs="David" w:hint="cs"/>
          <w:b/>
          <w:bCs/>
          <w:rtl/>
        </w:rPr>
        <w:t>פ.פ.אפריקה</w:t>
      </w:r>
      <w:proofErr w:type="spellEnd"/>
      <w:r w:rsidR="00730E63" w:rsidRPr="001B015B">
        <w:rPr>
          <w:rFonts w:ascii="David" w:hAnsi="David" w:cs="David" w:hint="cs"/>
          <w:rtl/>
        </w:rPr>
        <w:t xml:space="preserve">") </w:t>
      </w:r>
      <w:r w:rsidR="00060E4B" w:rsidRPr="001B015B">
        <w:rPr>
          <w:rFonts w:ascii="David" w:hAnsi="David" w:cs="David" w:hint="cs"/>
          <w:rtl/>
        </w:rPr>
        <w:t>על ידי כב' היו"ר הלל גלקופ שעסק במספר סוגיות וביניהן הטיעון בעניין התכלות תכנית</w:t>
      </w:r>
      <w:r w:rsidR="00730E63" w:rsidRPr="001B015B">
        <w:rPr>
          <w:rFonts w:ascii="David" w:hAnsi="David" w:cs="David" w:hint="cs"/>
          <w:rtl/>
        </w:rPr>
        <w:t>.</w:t>
      </w:r>
    </w:p>
    <w:p w:rsidR="00962482" w:rsidRDefault="00730E63" w:rsidP="00962482">
      <w:pPr>
        <w:pStyle w:val="a9"/>
        <w:numPr>
          <w:ilvl w:val="0"/>
          <w:numId w:val="1"/>
        </w:numPr>
        <w:tabs>
          <w:tab w:val="left" w:pos="425"/>
        </w:tabs>
        <w:spacing w:line="360" w:lineRule="auto"/>
        <w:ind w:left="357" w:hanging="357"/>
        <w:contextualSpacing w:val="0"/>
        <w:jc w:val="both"/>
        <w:rPr>
          <w:rFonts w:ascii="David" w:hAnsi="David" w:cs="David"/>
        </w:rPr>
      </w:pPr>
      <w:r w:rsidRPr="00962482">
        <w:rPr>
          <w:rFonts w:ascii="David" w:hAnsi="David" w:cs="David" w:hint="cs"/>
          <w:rtl/>
        </w:rPr>
        <w:t xml:space="preserve">באותו </w:t>
      </w:r>
      <w:r w:rsidR="00DC7B6D" w:rsidRPr="00962482">
        <w:rPr>
          <w:rFonts w:ascii="David" w:hAnsi="David" w:cs="David" w:hint="eastAsia"/>
          <w:rtl/>
        </w:rPr>
        <w:t>עניין</w:t>
      </w:r>
      <w:r w:rsidR="00DC7B6D" w:rsidRPr="00962482">
        <w:rPr>
          <w:rFonts w:ascii="David" w:hAnsi="David" w:cs="David"/>
          <w:rtl/>
        </w:rPr>
        <w:t>,</w:t>
      </w:r>
      <w:r w:rsidRPr="00962482">
        <w:rPr>
          <w:rFonts w:ascii="David" w:hAnsi="David" w:cs="David" w:hint="cs"/>
          <w:rtl/>
        </w:rPr>
        <w:t xml:space="preserve"> ק</w:t>
      </w:r>
      <w:r w:rsidR="00060E4B" w:rsidRPr="00962482">
        <w:rPr>
          <w:rFonts w:ascii="David" w:hAnsi="David" w:cs="David" w:hint="cs"/>
          <w:rtl/>
        </w:rPr>
        <w:t xml:space="preserve">בלה ועדת הערר את </w:t>
      </w:r>
      <w:r w:rsidR="00060E4B" w:rsidRPr="00203CBF">
        <w:rPr>
          <w:rFonts w:ascii="David" w:hAnsi="David" w:cs="David" w:hint="cs"/>
          <w:u w:val="single"/>
          <w:rtl/>
        </w:rPr>
        <w:t>ערר החברה</w:t>
      </w:r>
      <w:r w:rsidR="00060E4B" w:rsidRPr="00962482">
        <w:rPr>
          <w:rFonts w:ascii="David" w:hAnsi="David" w:cs="David" w:hint="cs"/>
          <w:rtl/>
        </w:rPr>
        <w:t xml:space="preserve"> בעניין סעיף ההתכלות</w:t>
      </w:r>
      <w:r w:rsidR="00EA6AD1">
        <w:rPr>
          <w:rFonts w:ascii="David" w:hAnsi="David" w:cs="David" w:hint="cs"/>
          <w:rtl/>
        </w:rPr>
        <w:t xml:space="preserve">, באופן זה </w:t>
      </w:r>
      <w:r w:rsidR="00203CBF">
        <w:rPr>
          <w:rFonts w:ascii="David" w:hAnsi="David" w:cs="David" w:hint="cs"/>
          <w:rtl/>
        </w:rPr>
        <w:t>שיש להביא</w:t>
      </w:r>
      <w:r w:rsidR="00EA6AD1">
        <w:rPr>
          <w:rFonts w:ascii="David" w:hAnsi="David" w:cs="David" w:hint="cs"/>
          <w:rtl/>
        </w:rPr>
        <w:t>ו</w:t>
      </w:r>
      <w:r w:rsidR="00203CBF">
        <w:rPr>
          <w:rFonts w:ascii="David" w:hAnsi="David" w:cs="David" w:hint="cs"/>
          <w:rtl/>
        </w:rPr>
        <w:t xml:space="preserve"> </w:t>
      </w:r>
      <w:r w:rsidR="00EA6AD1">
        <w:rPr>
          <w:rFonts w:ascii="David" w:hAnsi="David" w:cs="David" w:hint="eastAsia"/>
          <w:rtl/>
        </w:rPr>
        <w:t>בחשבון</w:t>
      </w:r>
      <w:r w:rsidR="00EA6AD1">
        <w:rPr>
          <w:rFonts w:ascii="David" w:hAnsi="David" w:cs="David"/>
          <w:rtl/>
        </w:rPr>
        <w:t xml:space="preserve">, </w:t>
      </w:r>
      <w:r w:rsidR="00EA6AD1" w:rsidRPr="00962482">
        <w:rPr>
          <w:rFonts w:ascii="David" w:hAnsi="David" w:cs="David"/>
          <w:rtl/>
        </w:rPr>
        <w:t xml:space="preserve"> </w:t>
      </w:r>
      <w:r w:rsidR="00EA6AD1">
        <w:rPr>
          <w:rFonts w:ascii="David" w:hAnsi="David" w:cs="David" w:hint="cs"/>
          <w:rtl/>
        </w:rPr>
        <w:t>ו</w:t>
      </w:r>
      <w:r w:rsidR="00060E4B" w:rsidRPr="00962482">
        <w:rPr>
          <w:rFonts w:ascii="David" w:hAnsi="David" w:cs="David"/>
          <w:rtl/>
        </w:rPr>
        <w:t>השיב</w:t>
      </w:r>
      <w:r w:rsidR="00EA6AD1">
        <w:rPr>
          <w:rFonts w:ascii="David" w:hAnsi="David" w:cs="David" w:hint="cs"/>
          <w:rtl/>
        </w:rPr>
        <w:t>ה</w:t>
      </w:r>
      <w:r w:rsidR="00060E4B" w:rsidRPr="00962482">
        <w:rPr>
          <w:rFonts w:ascii="David" w:hAnsi="David" w:cs="David"/>
          <w:rtl/>
        </w:rPr>
        <w:t xml:space="preserve"> את </w:t>
      </w:r>
      <w:r w:rsidR="00060E4B" w:rsidRPr="00962482">
        <w:rPr>
          <w:rFonts w:ascii="David" w:hAnsi="David" w:cs="David" w:hint="cs"/>
          <w:rtl/>
        </w:rPr>
        <w:t>התיק</w:t>
      </w:r>
      <w:r w:rsidR="00060E4B" w:rsidRPr="00962482">
        <w:rPr>
          <w:rFonts w:ascii="David" w:hAnsi="David" w:cs="David"/>
          <w:rtl/>
        </w:rPr>
        <w:t xml:space="preserve"> לשמאי המכריע על מנת לקבוע מקדם מתאים לזכויות המתכלות</w:t>
      </w:r>
      <w:r w:rsidR="00060E4B" w:rsidRPr="00962482">
        <w:rPr>
          <w:rFonts w:ascii="David" w:hAnsi="David" w:cs="David" w:hint="cs"/>
          <w:rtl/>
        </w:rPr>
        <w:t xml:space="preserve">, בין היתר על בסיס הקביעה כי </w:t>
      </w:r>
      <w:r w:rsidR="00060E4B" w:rsidRPr="00962482">
        <w:rPr>
          <w:rFonts w:ascii="David" w:hAnsi="David" w:cs="David"/>
          <w:rtl/>
        </w:rPr>
        <w:t xml:space="preserve">תכנית מתכלה היא ברת חיוב. </w:t>
      </w:r>
    </w:p>
    <w:p w:rsidR="009C7B9F" w:rsidRPr="00CD4258" w:rsidRDefault="00730E63" w:rsidP="00141E48">
      <w:pPr>
        <w:pStyle w:val="a9"/>
        <w:numPr>
          <w:ilvl w:val="0"/>
          <w:numId w:val="1"/>
        </w:numPr>
        <w:tabs>
          <w:tab w:val="left" w:pos="425"/>
        </w:tabs>
        <w:spacing w:line="360" w:lineRule="auto"/>
        <w:ind w:left="357" w:hanging="357"/>
        <w:contextualSpacing w:val="0"/>
        <w:jc w:val="both"/>
        <w:rPr>
          <w:rFonts w:ascii="David" w:hAnsi="David" w:cs="David"/>
        </w:rPr>
      </w:pPr>
      <w:r w:rsidRPr="00962482">
        <w:rPr>
          <w:rFonts w:ascii="David" w:hAnsi="David" w:cs="David" w:hint="cs"/>
          <w:rtl/>
        </w:rPr>
        <w:t>רוצה לומר</w:t>
      </w:r>
      <w:r w:rsidR="00962482">
        <w:rPr>
          <w:rFonts w:ascii="David" w:hAnsi="David" w:cs="David" w:hint="cs"/>
          <w:rtl/>
        </w:rPr>
        <w:t>,</w:t>
      </w:r>
      <w:r w:rsidRPr="00962482">
        <w:rPr>
          <w:rFonts w:ascii="David" w:hAnsi="David" w:cs="David" w:hint="cs"/>
          <w:rtl/>
        </w:rPr>
        <w:t xml:space="preserve"> כי </w:t>
      </w:r>
      <w:r w:rsidR="00060E4B" w:rsidRPr="00962482">
        <w:rPr>
          <w:rFonts w:ascii="David" w:hAnsi="David" w:cs="David"/>
          <w:rtl/>
        </w:rPr>
        <w:t>מועד אישור התכנית הוא המועד הרלוונטי לבחינת ההשבחה שנגרמה עקב תכנית, ואת ההשבחה יש לקבוע למועד זה.</w:t>
      </w:r>
      <w:r w:rsidR="00060E4B" w:rsidRPr="00962482">
        <w:rPr>
          <w:rFonts w:ascii="David" w:hAnsi="David" w:cs="David" w:hint="cs"/>
          <w:rtl/>
        </w:rPr>
        <w:t xml:space="preserve"> ועדת הערר חדדה עניין זה </w:t>
      </w:r>
      <w:r w:rsidRPr="00962482">
        <w:rPr>
          <w:rFonts w:ascii="David" w:hAnsi="David" w:cs="David" w:hint="cs"/>
          <w:rtl/>
        </w:rPr>
        <w:t>ב</w:t>
      </w:r>
      <w:r w:rsidR="00060E4B" w:rsidRPr="00962482">
        <w:rPr>
          <w:rFonts w:ascii="David" w:hAnsi="David" w:cs="David" w:hint="cs"/>
          <w:rtl/>
        </w:rPr>
        <w:t>קבעה כי י</w:t>
      </w:r>
      <w:r w:rsidR="00060E4B" w:rsidRPr="00962482">
        <w:rPr>
          <w:rFonts w:ascii="David" w:hAnsi="David" w:cs="David"/>
          <w:rtl/>
        </w:rPr>
        <w:t xml:space="preserve">ש לבחון את שווי השוק של "זכות מתכלה". לא ניתן לומר כי זכות מתכלה זהה לחלוטין לזכות שאינה מתכלה. ייתכן ועסקינן בהבדל </w:t>
      </w:r>
      <w:r w:rsidR="00A00434" w:rsidRPr="00962482">
        <w:rPr>
          <w:rFonts w:ascii="David" w:hAnsi="David" w:cs="David" w:hint="cs"/>
          <w:rtl/>
        </w:rPr>
        <w:t>זניח</w:t>
      </w:r>
      <w:r w:rsidR="00060E4B" w:rsidRPr="00962482">
        <w:rPr>
          <w:rFonts w:ascii="David" w:hAnsi="David" w:cs="David"/>
          <w:rtl/>
        </w:rPr>
        <w:t xml:space="preserve"> ולא </w:t>
      </w:r>
      <w:r w:rsidR="00A00434" w:rsidRPr="00962482">
        <w:rPr>
          <w:rFonts w:ascii="David" w:hAnsi="David" w:cs="David" w:hint="cs"/>
          <w:rtl/>
        </w:rPr>
        <w:t>מהותי</w:t>
      </w:r>
      <w:r w:rsidR="00060E4B" w:rsidRPr="00962482">
        <w:rPr>
          <w:rFonts w:ascii="David" w:hAnsi="David" w:cs="David"/>
          <w:rtl/>
        </w:rPr>
        <w:t xml:space="preserve"> וייתכן שעסקינן בהבדל </w:t>
      </w:r>
      <w:r w:rsidR="00A00434" w:rsidRPr="00962482">
        <w:rPr>
          <w:rFonts w:ascii="David" w:hAnsi="David" w:cs="David" w:hint="cs"/>
          <w:rtl/>
        </w:rPr>
        <w:t>משמעותי</w:t>
      </w:r>
      <w:r w:rsidR="00060E4B" w:rsidRPr="00962482">
        <w:rPr>
          <w:rFonts w:ascii="David" w:hAnsi="David" w:cs="David"/>
          <w:rtl/>
        </w:rPr>
        <w:t>. אך ברי כי יש לתת לכך את הדעת ולבחון את משמעות והשפעת התכלות הזכות על שווי השוק, כפי שמשתקף בעיניו של "קונה סביר".</w:t>
      </w:r>
    </w:p>
    <w:p w:rsidR="002A1DB9" w:rsidRPr="00962482" w:rsidRDefault="002A1DB9" w:rsidP="0061040F">
      <w:pPr>
        <w:pStyle w:val="a9"/>
        <w:numPr>
          <w:ilvl w:val="0"/>
          <w:numId w:val="1"/>
        </w:numPr>
        <w:tabs>
          <w:tab w:val="left" w:pos="425"/>
        </w:tabs>
        <w:spacing w:line="360" w:lineRule="auto"/>
        <w:ind w:left="357" w:hanging="357"/>
        <w:contextualSpacing w:val="0"/>
        <w:jc w:val="both"/>
        <w:rPr>
          <w:rFonts w:ascii="David" w:hAnsi="David" w:cs="David"/>
        </w:rPr>
      </w:pPr>
      <w:r w:rsidRPr="00962482">
        <w:rPr>
          <w:rFonts w:ascii="David" w:hAnsi="David" w:cs="David" w:hint="cs"/>
          <w:rtl/>
        </w:rPr>
        <w:t>נוכח הרלוונטיות של החלטה זו לעניינינו כנגד אותה ועדה מקומית, שאף טענה גם שם וגם בעניינינו לרלוונטיות של פסק הדין בעניין "הפטריארך היווני", אין לנו אלא להצטרף לקביעותיה של ועדת הערר בעניין "</w:t>
      </w:r>
      <w:proofErr w:type="spellStart"/>
      <w:r w:rsidRPr="00962482">
        <w:rPr>
          <w:rFonts w:ascii="David" w:hAnsi="David" w:cs="David" w:hint="cs"/>
          <w:rtl/>
        </w:rPr>
        <w:t>פ.פ</w:t>
      </w:r>
      <w:r>
        <w:rPr>
          <w:rFonts w:ascii="David" w:hAnsi="David" w:cs="David" w:hint="cs"/>
          <w:rtl/>
        </w:rPr>
        <w:t>.</w:t>
      </w:r>
      <w:r w:rsidRPr="00962482">
        <w:rPr>
          <w:rFonts w:ascii="David" w:hAnsi="David" w:cs="David" w:hint="cs"/>
          <w:rtl/>
        </w:rPr>
        <w:t>אפריקה</w:t>
      </w:r>
      <w:proofErr w:type="spellEnd"/>
      <w:r w:rsidRPr="00962482">
        <w:rPr>
          <w:rFonts w:ascii="David" w:hAnsi="David" w:cs="David" w:hint="cs"/>
          <w:rtl/>
        </w:rPr>
        <w:t>" וכן בעניין "אליק רון" שהתייחסו גם לפסק הדין בעניין הפטריארך היווני, כפי שצוטטו בעניין פ.פ. אפריקה ואשר על אף אורכם ונוכח חשיבותם יובאו להלן כהאי לישנא:</w:t>
      </w:r>
    </w:p>
    <w:p w:rsidR="002A1DB9" w:rsidRPr="00A038F8" w:rsidRDefault="002A1DB9" w:rsidP="00CD4258">
      <w:pPr>
        <w:pStyle w:val="afa"/>
        <w:numPr>
          <w:ilvl w:val="0"/>
          <w:numId w:val="11"/>
        </w:numPr>
        <w:spacing w:before="0" w:after="160" w:line="360" w:lineRule="auto"/>
        <w:ind w:right="1134"/>
        <w:contextualSpacing w:val="0"/>
        <w:rPr>
          <w:i/>
          <w:iCs/>
          <w:sz w:val="22"/>
          <w:szCs w:val="22"/>
        </w:rPr>
      </w:pPr>
      <w:r w:rsidRPr="00A038F8">
        <w:rPr>
          <w:i/>
          <w:iCs/>
          <w:sz w:val="22"/>
          <w:szCs w:val="22"/>
          <w:rtl/>
        </w:rPr>
        <w:t>לאחר שע</w:t>
      </w:r>
      <w:r>
        <w:rPr>
          <w:rFonts w:hint="cs"/>
          <w:i/>
          <w:iCs/>
          <w:sz w:val="22"/>
          <w:szCs w:val="22"/>
          <w:rtl/>
        </w:rPr>
        <w:t>י</w:t>
      </w:r>
      <w:r w:rsidRPr="00A038F8">
        <w:rPr>
          <w:i/>
          <w:iCs/>
          <w:sz w:val="22"/>
          <w:szCs w:val="22"/>
          <w:rtl/>
        </w:rPr>
        <w:t xml:space="preserve">ינו היטב בהכרעת ועדת הערר בעניין אליק רון </w:t>
      </w:r>
      <w:r w:rsidRPr="00A038F8">
        <w:rPr>
          <w:b/>
          <w:i/>
          <w:iCs/>
          <w:sz w:val="22"/>
          <w:szCs w:val="22"/>
          <w:rtl/>
        </w:rPr>
        <w:t xml:space="preserve">וכן בהחלטות המוזכרות בה </w:t>
      </w:r>
      <w:r w:rsidRPr="00A038F8">
        <w:rPr>
          <w:i/>
          <w:iCs/>
          <w:sz w:val="22"/>
          <w:szCs w:val="22"/>
          <w:rtl/>
        </w:rPr>
        <w:t>אנו מצטרפים לקבוע בהן.</w:t>
      </w:r>
    </w:p>
    <w:p w:rsidR="002A1DB9" w:rsidRPr="00A038F8" w:rsidRDefault="002A1DB9" w:rsidP="00CD4258">
      <w:pPr>
        <w:pStyle w:val="afa"/>
        <w:numPr>
          <w:ilvl w:val="0"/>
          <w:numId w:val="11"/>
        </w:numPr>
        <w:spacing w:before="0" w:after="160" w:line="360" w:lineRule="auto"/>
        <w:ind w:right="1134"/>
        <w:contextualSpacing w:val="0"/>
        <w:rPr>
          <w:i/>
          <w:iCs/>
          <w:sz w:val="22"/>
          <w:szCs w:val="22"/>
          <w:rtl/>
        </w:rPr>
      </w:pPr>
      <w:r w:rsidRPr="00A038F8">
        <w:rPr>
          <w:i/>
          <w:iCs/>
          <w:sz w:val="22"/>
          <w:szCs w:val="22"/>
          <w:rtl/>
        </w:rPr>
        <w:t xml:space="preserve">בהחלטת ועדת הערר </w:t>
      </w:r>
      <w:proofErr w:type="spellStart"/>
      <w:r w:rsidRPr="00A038F8">
        <w:rPr>
          <w:i/>
          <w:iCs/>
          <w:sz w:val="22"/>
          <w:szCs w:val="22"/>
          <w:rtl/>
        </w:rPr>
        <w:t>בענין</w:t>
      </w:r>
      <w:proofErr w:type="spellEnd"/>
      <w:r w:rsidRPr="00A038F8">
        <w:rPr>
          <w:i/>
          <w:iCs/>
          <w:sz w:val="22"/>
          <w:szCs w:val="22"/>
          <w:rtl/>
        </w:rPr>
        <w:t xml:space="preserve"> </w:t>
      </w:r>
      <w:hyperlink r:id="rId37" w:history="1">
        <w:r w:rsidRPr="00A038F8">
          <w:rPr>
            <w:rStyle w:val="Hyperlink"/>
            <w:i/>
            <w:iCs/>
            <w:sz w:val="22"/>
            <w:szCs w:val="22"/>
            <w:rtl/>
          </w:rPr>
          <w:t>ערר (תל אביב-יפו) 8124-06-21</w:t>
        </w:r>
      </w:hyperlink>
      <w:r w:rsidRPr="00A038F8">
        <w:rPr>
          <w:i/>
          <w:iCs/>
          <w:sz w:val="22"/>
          <w:szCs w:val="22"/>
          <w:rtl/>
        </w:rPr>
        <w:t xml:space="preserve"> </w:t>
      </w:r>
      <w:r w:rsidRPr="00A038F8">
        <w:rPr>
          <w:b/>
          <w:i/>
          <w:iCs/>
          <w:sz w:val="22"/>
          <w:szCs w:val="22"/>
          <w:rtl/>
        </w:rPr>
        <w:t>אליק רון בע״מ נ</w:t>
      </w:r>
      <w:r w:rsidRPr="00A038F8">
        <w:rPr>
          <w:b/>
          <w:i/>
          <w:iCs/>
          <w:sz w:val="22"/>
          <w:szCs w:val="22"/>
        </w:rPr>
        <w:t xml:space="preserve">' </w:t>
      </w:r>
      <w:r w:rsidRPr="00A038F8">
        <w:rPr>
          <w:b/>
          <w:i/>
          <w:iCs/>
          <w:sz w:val="22"/>
          <w:szCs w:val="22"/>
          <w:rtl/>
        </w:rPr>
        <w:t>הוועדה המקומית לתכנון ובניה תל אביב – יפו</w:t>
      </w:r>
      <w:r w:rsidRPr="00A038F8">
        <w:rPr>
          <w:i/>
          <w:iCs/>
          <w:sz w:val="22"/>
          <w:szCs w:val="22"/>
          <w:rtl/>
        </w:rPr>
        <w:t xml:space="preserve"> (נבו), נקבע כך בהסתמך על החלטות נוספות של ועדות הערר השונות:</w:t>
      </w:r>
    </w:p>
    <w:p w:rsidR="002A1DB9" w:rsidRPr="00A038F8" w:rsidRDefault="002A1DB9" w:rsidP="0061040F">
      <w:pPr>
        <w:spacing w:line="360" w:lineRule="auto"/>
        <w:ind w:left="709" w:right="1134"/>
        <w:jc w:val="both"/>
        <w:rPr>
          <w:rFonts w:ascii="David" w:hAnsi="David" w:cs="David"/>
          <w:b/>
          <w:bCs/>
          <w:i/>
          <w:iCs/>
          <w:sz w:val="22"/>
          <w:szCs w:val="22"/>
          <w:rtl/>
        </w:rPr>
      </w:pPr>
      <w:r w:rsidRPr="00A038F8">
        <w:rPr>
          <w:rFonts w:ascii="David" w:hAnsi="David" w:cs="David"/>
          <w:b/>
          <w:bCs/>
          <w:i/>
          <w:iCs/>
          <w:sz w:val="22"/>
          <w:szCs w:val="22"/>
          <w:rtl/>
        </w:rPr>
        <w:t>לענייננו נשאלת השאלה, האם העובדה שאירוע המס נולד עם אישורה של תכנית, מצדיקה חיובו של נישום בהיטל השבחה גם מקום בו מדובר על תכנית זמנית שתפקע מבלי שההשבחה נוצלה? לסברתנו התשובה על כך היא בחיוב. נבאר קביעתנו להלן.</w:t>
      </w:r>
    </w:p>
    <w:p w:rsidR="002A1DB9" w:rsidRPr="00A038F8" w:rsidRDefault="002A1DB9" w:rsidP="0061040F">
      <w:pPr>
        <w:spacing w:line="360" w:lineRule="auto"/>
        <w:ind w:left="709" w:right="1134"/>
        <w:jc w:val="both"/>
        <w:rPr>
          <w:rFonts w:ascii="David" w:hAnsi="David" w:cs="David"/>
          <w:b/>
          <w:bCs/>
          <w:i/>
          <w:iCs/>
          <w:sz w:val="22"/>
          <w:szCs w:val="22"/>
          <w:rtl/>
        </w:rPr>
      </w:pPr>
      <w:r w:rsidRPr="00A038F8">
        <w:rPr>
          <w:rFonts w:ascii="David" w:hAnsi="David" w:cs="David"/>
          <w:b/>
          <w:bCs/>
          <w:i/>
          <w:iCs/>
          <w:sz w:val="22"/>
          <w:szCs w:val="22"/>
          <w:rtl/>
        </w:rPr>
        <w:t xml:space="preserve">הצדדים הפנו בכתבי הטענות לפסק הדין בעניין הפטריארך היווני שם דובר על מצב בו נישום הגיש תביעת השבה בנסיבות בהן ההיטל שולם אך התכנית פקעה מבלי שנוצלה כלל על ידיו, לאור הסכם מכר שבוטל בטרם פקעה התכנית. במצב </w:t>
      </w:r>
      <w:proofErr w:type="spellStart"/>
      <w:r w:rsidRPr="00A038F8">
        <w:rPr>
          <w:rFonts w:ascii="David" w:hAnsi="David" w:cs="David"/>
          <w:b/>
          <w:bCs/>
          <w:i/>
          <w:iCs/>
          <w:sz w:val="22"/>
          <w:szCs w:val="22"/>
          <w:rtl/>
        </w:rPr>
        <w:t>דשם</w:t>
      </w:r>
      <w:proofErr w:type="spellEnd"/>
      <w:r w:rsidRPr="00A038F8">
        <w:rPr>
          <w:rFonts w:ascii="David" w:hAnsi="David" w:cs="David"/>
          <w:b/>
          <w:bCs/>
          <w:i/>
          <w:iCs/>
          <w:sz w:val="22"/>
          <w:szCs w:val="22"/>
          <w:rtl/>
        </w:rPr>
        <w:t xml:space="preserve">, לא </w:t>
      </w:r>
      <w:proofErr w:type="spellStart"/>
      <w:r w:rsidRPr="00A038F8">
        <w:rPr>
          <w:rFonts w:ascii="David" w:hAnsi="David" w:cs="David"/>
          <w:b/>
          <w:bCs/>
          <w:i/>
          <w:iCs/>
          <w:sz w:val="22"/>
          <w:szCs w:val="22"/>
          <w:rtl/>
        </w:rPr>
        <w:t>היתה</w:t>
      </w:r>
      <w:proofErr w:type="spellEnd"/>
      <w:r w:rsidRPr="00A038F8">
        <w:rPr>
          <w:rFonts w:ascii="David" w:hAnsi="David" w:cs="David"/>
          <w:b/>
          <w:bCs/>
          <w:i/>
          <w:iCs/>
          <w:sz w:val="22"/>
          <w:szCs w:val="22"/>
          <w:rtl/>
        </w:rPr>
        <w:t xml:space="preserve"> התעשרות, הואיל והסכם המכר בוטל. בענייננו, לעומת זאת, הסכם המכר נותר על כנו. במקרה שנדון בפסק הדין בעניין הפטריארך היווני, בוטלו העסקאות להעברת זכויות במקרקעין שנעשו כאשר התכנית </w:t>
      </w:r>
      <w:proofErr w:type="spellStart"/>
      <w:r w:rsidRPr="00A038F8">
        <w:rPr>
          <w:rFonts w:ascii="David" w:hAnsi="David" w:cs="David"/>
          <w:b/>
          <w:bCs/>
          <w:i/>
          <w:iCs/>
          <w:sz w:val="22"/>
          <w:szCs w:val="22"/>
          <w:rtl/>
        </w:rPr>
        <w:t>היתה</w:t>
      </w:r>
      <w:proofErr w:type="spellEnd"/>
      <w:r w:rsidRPr="00A038F8">
        <w:rPr>
          <w:rFonts w:ascii="David" w:hAnsi="David" w:cs="David"/>
          <w:b/>
          <w:bCs/>
          <w:i/>
          <w:iCs/>
          <w:sz w:val="22"/>
          <w:szCs w:val="22"/>
          <w:rtl/>
        </w:rPr>
        <w:t xml:space="preserve"> בתוקף, היטל ההשבחה שולם טרם אירע אירוע מימוש, אולם התכנית המשביחה פקעה.</w:t>
      </w:r>
    </w:p>
    <w:p w:rsidR="002A1DB9" w:rsidRPr="00A038F8" w:rsidRDefault="002A1DB9" w:rsidP="0061040F">
      <w:pPr>
        <w:spacing w:line="360" w:lineRule="auto"/>
        <w:ind w:left="709" w:right="1134"/>
        <w:jc w:val="both"/>
        <w:rPr>
          <w:rFonts w:ascii="David" w:hAnsi="David" w:cs="David"/>
          <w:b/>
          <w:bCs/>
          <w:i/>
          <w:iCs/>
          <w:sz w:val="22"/>
          <w:szCs w:val="22"/>
          <w:rtl/>
        </w:rPr>
      </w:pPr>
      <w:r w:rsidRPr="00A038F8">
        <w:rPr>
          <w:rFonts w:ascii="David" w:hAnsi="David" w:cs="David"/>
          <w:b/>
          <w:bCs/>
          <w:i/>
          <w:iCs/>
          <w:sz w:val="22"/>
          <w:szCs w:val="22"/>
          <w:rtl/>
        </w:rPr>
        <w:t xml:space="preserve"> הרציונל שבבסיס פסק הדין היה היעדר מימוש בתקופה בה הייתה התכנית בתוקף. וכפי שנקבע שם ביחס לשאלה הנדונה באותו מקרה (פסקה 25 לפסק הדין):</w:t>
      </w:r>
    </w:p>
    <w:p w:rsidR="002A1DB9" w:rsidRPr="00A038F8" w:rsidRDefault="002A1DB9" w:rsidP="0061040F">
      <w:pPr>
        <w:spacing w:line="360" w:lineRule="auto"/>
        <w:ind w:left="709" w:right="1134"/>
        <w:jc w:val="both"/>
        <w:rPr>
          <w:rFonts w:ascii="David" w:hAnsi="David" w:cs="David"/>
          <w:b/>
          <w:bCs/>
          <w:i/>
          <w:iCs/>
          <w:sz w:val="22"/>
          <w:szCs w:val="22"/>
          <w:rtl/>
        </w:rPr>
      </w:pPr>
      <w:r w:rsidRPr="00A038F8">
        <w:rPr>
          <w:rFonts w:ascii="David" w:hAnsi="David" w:cs="David"/>
          <w:b/>
          <w:bCs/>
          <w:i/>
          <w:iCs/>
          <w:sz w:val="22"/>
          <w:szCs w:val="22"/>
          <w:rtl/>
        </w:rPr>
        <w:t>"...האם תיתכן השבה כאשר אירוע המס שהקים את החיוב בהיטל - פקע, וההשבחה לא נוצלה על-ידי הנישום? נראה כי מדובר בסיטואציה יוצאת-דופן, שכן על-פי רוב, אף שהתרחש אירוע המס, הנישום לא יידרש להוציא כסף מכיסו ולשלם את ההיטל עד למועד מימוש הזכויות, כלומר עד למועד שבו הוא התעשר בפועל מההשבחה..."</w:t>
      </w:r>
    </w:p>
    <w:p w:rsidR="002A1DB9" w:rsidRPr="00A038F8" w:rsidRDefault="002A1DB9" w:rsidP="0061040F">
      <w:pPr>
        <w:spacing w:line="360" w:lineRule="auto"/>
        <w:ind w:left="709" w:right="1134"/>
        <w:jc w:val="both"/>
        <w:rPr>
          <w:rFonts w:ascii="David" w:hAnsi="David" w:cs="David"/>
          <w:b/>
          <w:bCs/>
          <w:i/>
          <w:iCs/>
          <w:sz w:val="22"/>
          <w:szCs w:val="22"/>
          <w:rtl/>
        </w:rPr>
      </w:pPr>
      <w:r w:rsidRPr="00A038F8">
        <w:rPr>
          <w:rFonts w:ascii="David" w:hAnsi="David" w:cs="David"/>
          <w:b/>
          <w:bCs/>
          <w:i/>
          <w:iCs/>
          <w:sz w:val="22"/>
          <w:szCs w:val="22"/>
          <w:rtl/>
        </w:rPr>
        <w:t>בית המשפט העליון בפסק הדין בעניין הפטריארך היווני התייחס לעקרון המימוש בהיטל השבחה ככזה המספק ודאות מסוימת שהחיוב במס הוא מוצדק ושהנישום אכן נהנה הלכה למעשה מן ההשבחה. כפי שקבע ביחס לעקרון זה בכל הנוגע לתכניות מוגבלות בזמן:</w:t>
      </w:r>
    </w:p>
    <w:p w:rsidR="002A1DB9" w:rsidRPr="00A038F8" w:rsidRDefault="002A1DB9" w:rsidP="0061040F">
      <w:pPr>
        <w:spacing w:line="360" w:lineRule="auto"/>
        <w:ind w:left="709" w:right="1134"/>
        <w:jc w:val="both"/>
        <w:rPr>
          <w:rFonts w:ascii="David" w:hAnsi="David" w:cs="David"/>
          <w:b/>
          <w:bCs/>
          <w:i/>
          <w:iCs/>
          <w:sz w:val="22"/>
          <w:szCs w:val="22"/>
          <w:rtl/>
        </w:rPr>
      </w:pPr>
      <w:r w:rsidRPr="00A038F8">
        <w:rPr>
          <w:rFonts w:ascii="David" w:hAnsi="David" w:cs="David"/>
          <w:b/>
          <w:bCs/>
          <w:i/>
          <w:iCs/>
          <w:sz w:val="22"/>
          <w:szCs w:val="22"/>
          <w:rtl/>
        </w:rPr>
        <w:t>"עיקרון זה מצמצם אפוא במידה מסוימת את מרכיב אי- הוודאות שבתכניות מוגבלות בזמן, אף שהתוספת השלישית אינה כוללת התייחסות מפורשת לתכניות מסוג זה והמחוקק לא צפה את אפשרות קיומן של תכניות אלה, כפי שיבואר בהמשך (אם כי לא ברור אם הרצון לייצר ודאות הוא שעומד מאחורי עיקרון המימוש בהיטל השבחה... לדעתי, ביחס לתכניות מוגבלות בזמן, יש בעיקרון המימוש כדי לייצר מידה של ודאות, כאמור)".</w:t>
      </w:r>
    </w:p>
    <w:p w:rsidR="002A1DB9" w:rsidRPr="00A038F8" w:rsidRDefault="002A1DB9" w:rsidP="0061040F">
      <w:pPr>
        <w:spacing w:line="360" w:lineRule="auto"/>
        <w:ind w:left="709" w:right="1134"/>
        <w:jc w:val="both"/>
        <w:rPr>
          <w:rFonts w:ascii="David" w:hAnsi="David" w:cs="David"/>
          <w:b/>
          <w:bCs/>
          <w:i/>
          <w:iCs/>
          <w:sz w:val="22"/>
          <w:szCs w:val="22"/>
          <w:rtl/>
        </w:rPr>
      </w:pPr>
      <w:r w:rsidRPr="00A038F8">
        <w:rPr>
          <w:rFonts w:ascii="David" w:hAnsi="David" w:cs="David"/>
          <w:b/>
          <w:bCs/>
          <w:i/>
          <w:iCs/>
          <w:sz w:val="22"/>
          <w:szCs w:val="22"/>
          <w:rtl/>
        </w:rPr>
        <w:t>בית המשפט העליון בעניין הפטריארך היווני התייחס בהכרעתו למקרים בהם היטל ההשבחה שולם מבלי שהיה מימוש, או שהיה מימוש במכר, ההיטל ששולם והמכר בוטל עקב פקיעת התכנית. אין אלה נסיבות ענייננו.</w:t>
      </w:r>
    </w:p>
    <w:p w:rsidR="002A1DB9" w:rsidRPr="00A038F8" w:rsidRDefault="002A1DB9" w:rsidP="0061040F">
      <w:pPr>
        <w:spacing w:line="360" w:lineRule="auto"/>
        <w:ind w:left="709" w:right="1134"/>
        <w:jc w:val="both"/>
        <w:rPr>
          <w:rFonts w:ascii="David" w:hAnsi="David" w:cs="David"/>
          <w:b/>
          <w:bCs/>
          <w:i/>
          <w:iCs/>
          <w:sz w:val="22"/>
          <w:szCs w:val="22"/>
          <w:rtl/>
        </w:rPr>
      </w:pPr>
      <w:r w:rsidRPr="00A038F8">
        <w:rPr>
          <w:rFonts w:ascii="David" w:hAnsi="David" w:cs="David"/>
          <w:b/>
          <w:bCs/>
          <w:i/>
          <w:iCs/>
          <w:sz w:val="22"/>
          <w:szCs w:val="22"/>
          <w:rtl/>
        </w:rPr>
        <w:t>בהחלטה ב</w:t>
      </w:r>
      <w:hyperlink r:id="rId38" w:history="1">
        <w:r w:rsidRPr="00A038F8">
          <w:rPr>
            <w:rFonts w:ascii="David" w:hAnsi="David" w:cs="David"/>
            <w:b/>
            <w:bCs/>
            <w:i/>
            <w:iCs/>
            <w:color w:val="0000FF"/>
            <w:sz w:val="22"/>
            <w:szCs w:val="22"/>
            <w:u w:val="single"/>
            <w:rtl/>
          </w:rPr>
          <w:t>ערר (ת"א) 85312/16</w:t>
        </w:r>
      </w:hyperlink>
      <w:r w:rsidRPr="00A038F8">
        <w:rPr>
          <w:rFonts w:ascii="David" w:hAnsi="David" w:cs="David"/>
          <w:b/>
          <w:bCs/>
          <w:i/>
          <w:iCs/>
          <w:sz w:val="22"/>
          <w:szCs w:val="22"/>
          <w:rtl/>
        </w:rPr>
        <w:t xml:space="preserve"> מלון רם בתל אביב בע"מ נ' הוועדה המקומית לתכנון ובניה תל אביב (פורסם בנבו, 17.07.2019; להלן: "עניין מלון רם") ניתחה ועדת הערר את פסק הדין בעניין הפטריארך היווני וקבעה כי אין בסיס לתשלום המס מקום בו התכנית פקעה מבלי שמומשה.</w:t>
      </w:r>
    </w:p>
    <w:p w:rsidR="002A1DB9" w:rsidRPr="00A038F8" w:rsidRDefault="002A1DB9" w:rsidP="0061040F">
      <w:pPr>
        <w:spacing w:line="360" w:lineRule="auto"/>
        <w:ind w:left="709" w:right="1134"/>
        <w:jc w:val="both"/>
        <w:rPr>
          <w:rFonts w:ascii="David" w:hAnsi="David" w:cs="David"/>
          <w:b/>
          <w:bCs/>
          <w:i/>
          <w:iCs/>
          <w:sz w:val="22"/>
          <w:szCs w:val="22"/>
          <w:rtl/>
        </w:rPr>
      </w:pPr>
      <w:r w:rsidRPr="00A038F8">
        <w:rPr>
          <w:rFonts w:ascii="David" w:hAnsi="David" w:cs="David"/>
          <w:b/>
          <w:bCs/>
          <w:i/>
          <w:iCs/>
          <w:sz w:val="22"/>
          <w:szCs w:val="22"/>
          <w:rtl/>
        </w:rPr>
        <w:t xml:space="preserve">במקרה </w:t>
      </w:r>
      <w:proofErr w:type="spellStart"/>
      <w:r w:rsidRPr="00A038F8">
        <w:rPr>
          <w:rFonts w:ascii="David" w:hAnsi="David" w:cs="David"/>
          <w:b/>
          <w:bCs/>
          <w:i/>
          <w:iCs/>
          <w:sz w:val="22"/>
          <w:szCs w:val="22"/>
          <w:rtl/>
        </w:rPr>
        <w:t>דשם</w:t>
      </w:r>
      <w:proofErr w:type="spellEnd"/>
      <w:r w:rsidRPr="00A038F8">
        <w:rPr>
          <w:rFonts w:ascii="David" w:hAnsi="David" w:cs="David"/>
          <w:b/>
          <w:bCs/>
          <w:i/>
          <w:iCs/>
          <w:sz w:val="22"/>
          <w:szCs w:val="22"/>
          <w:rtl/>
        </w:rPr>
        <w:t>, לא נעשה מימוש זכויות במועד בו התכנית הייתה בתוקף ו/או כאשר פקעה ומימוש הזכויות שנעשה על פיה בוטל גם כן.</w:t>
      </w:r>
    </w:p>
    <w:p w:rsidR="002A1DB9" w:rsidRPr="00A038F8" w:rsidRDefault="002A1DB9" w:rsidP="0061040F">
      <w:pPr>
        <w:spacing w:line="360" w:lineRule="auto"/>
        <w:ind w:left="709" w:right="1134"/>
        <w:jc w:val="both"/>
        <w:rPr>
          <w:rFonts w:ascii="David" w:hAnsi="David" w:cs="David"/>
          <w:b/>
          <w:bCs/>
          <w:i/>
          <w:iCs/>
          <w:sz w:val="22"/>
          <w:szCs w:val="22"/>
          <w:rtl/>
        </w:rPr>
      </w:pPr>
      <w:r w:rsidRPr="00A038F8">
        <w:rPr>
          <w:rFonts w:ascii="David" w:hAnsi="David" w:cs="David"/>
          <w:b/>
          <w:bCs/>
          <w:i/>
          <w:iCs/>
          <w:sz w:val="22"/>
          <w:szCs w:val="22"/>
          <w:rtl/>
        </w:rPr>
        <w:t xml:space="preserve">בהחלטה בעניין מלון רם דובר על מצב בו לא היה מכר ולא היה מימוש בהיתר. ההתעשרות מכוח התכנית במקרה </w:t>
      </w:r>
      <w:proofErr w:type="spellStart"/>
      <w:r w:rsidRPr="00A038F8">
        <w:rPr>
          <w:rFonts w:ascii="David" w:hAnsi="David" w:cs="David"/>
          <w:b/>
          <w:bCs/>
          <w:i/>
          <w:iCs/>
          <w:sz w:val="22"/>
          <w:szCs w:val="22"/>
          <w:rtl/>
        </w:rPr>
        <w:t>דשם</w:t>
      </w:r>
      <w:proofErr w:type="spellEnd"/>
      <w:r w:rsidRPr="00A038F8">
        <w:rPr>
          <w:rFonts w:ascii="David" w:hAnsi="David" w:cs="David"/>
          <w:b/>
          <w:bCs/>
          <w:i/>
          <w:iCs/>
          <w:sz w:val="22"/>
          <w:szCs w:val="22"/>
          <w:rtl/>
        </w:rPr>
        <w:t xml:space="preserve"> לא מומשה כלל וגם ההיטל לא נגבה עד למועד בו פקע תוקף התכנית. ועדת הערר קבעה כאמור שאין לחייב בהיטל השבחה במקרה כזה, תוך יישום פסק הדין בעניין הפטריארך היווני.</w:t>
      </w:r>
    </w:p>
    <w:p w:rsidR="002A1DB9" w:rsidRPr="00A038F8" w:rsidRDefault="002A1DB9" w:rsidP="0061040F">
      <w:pPr>
        <w:spacing w:line="360" w:lineRule="auto"/>
        <w:ind w:left="709" w:right="1134"/>
        <w:jc w:val="both"/>
        <w:rPr>
          <w:rFonts w:ascii="David" w:hAnsi="David" w:cs="David"/>
          <w:b/>
          <w:bCs/>
          <w:i/>
          <w:iCs/>
          <w:sz w:val="22"/>
          <w:szCs w:val="22"/>
          <w:rtl/>
        </w:rPr>
      </w:pPr>
      <w:r w:rsidRPr="00A038F8">
        <w:rPr>
          <w:rFonts w:ascii="David" w:hAnsi="David" w:cs="David"/>
          <w:b/>
          <w:bCs/>
          <w:i/>
          <w:iCs/>
          <w:sz w:val="22"/>
          <w:szCs w:val="22"/>
          <w:rtl/>
        </w:rPr>
        <w:t xml:space="preserve">לצד האמור, ציינה ועדת הערר, כי במצב דברים שונה בו היה מכר בתקופת תוקפה של התכנית - ולכן מימושה - היה מקום לחייב בהיטל בגינה בעקבות המימוש: "ראוי להדגיש כי המדובר במצבים בהם הנישום אכן לא מימש את התעשרותו </w:t>
      </w:r>
      <w:proofErr w:type="spellStart"/>
      <w:r w:rsidRPr="00A038F8">
        <w:rPr>
          <w:rFonts w:ascii="David" w:hAnsi="David" w:cs="David"/>
          <w:b/>
          <w:bCs/>
          <w:i/>
          <w:iCs/>
          <w:sz w:val="22"/>
          <w:szCs w:val="22"/>
          <w:rtl/>
        </w:rPr>
        <w:t>מכח</w:t>
      </w:r>
      <w:proofErr w:type="spellEnd"/>
      <w:r w:rsidRPr="00A038F8">
        <w:rPr>
          <w:rFonts w:ascii="David" w:hAnsi="David" w:cs="David"/>
          <w:b/>
          <w:bCs/>
          <w:i/>
          <w:iCs/>
          <w:sz w:val="22"/>
          <w:szCs w:val="22"/>
          <w:rtl/>
        </w:rPr>
        <w:t xml:space="preserve"> התכנית. במצב בו, למשל, נמכרו המקרקעין טרם פקיעת התכנית, הרי שהמכר מהווה מימוש לפי התוספת השלישית, יש לגבות היטל השבחה בגינה בעת המכר, וככלל אין בסיס להשבת ההיטל לאחר המכר גם כאשר התכנית תפקע. בית המשפט עסק בסיטואציה ייחודית שבה המכר בוטל ולמעשה השקיף על כך כעל מצב שאין בו מכר..."</w:t>
      </w:r>
    </w:p>
    <w:p w:rsidR="002A1DB9" w:rsidRPr="00A038F8" w:rsidRDefault="002A1DB9" w:rsidP="0061040F">
      <w:pPr>
        <w:spacing w:line="360" w:lineRule="auto"/>
        <w:ind w:left="709" w:right="1134"/>
        <w:jc w:val="both"/>
        <w:rPr>
          <w:rFonts w:ascii="David" w:hAnsi="David" w:cs="David"/>
          <w:b/>
          <w:bCs/>
          <w:i/>
          <w:iCs/>
          <w:sz w:val="22"/>
          <w:szCs w:val="22"/>
          <w:rtl/>
        </w:rPr>
      </w:pPr>
      <w:r w:rsidRPr="00A038F8">
        <w:rPr>
          <w:rFonts w:ascii="David" w:hAnsi="David" w:cs="David"/>
          <w:b/>
          <w:bCs/>
          <w:i/>
          <w:iCs/>
          <w:sz w:val="22"/>
          <w:szCs w:val="22"/>
          <w:rtl/>
        </w:rPr>
        <w:t xml:space="preserve">(ההדגשה אינה במקור – </w:t>
      </w:r>
      <w:hyperlink r:id="rId39" w:history="1">
        <w:r w:rsidRPr="00A038F8">
          <w:rPr>
            <w:rFonts w:ascii="David" w:hAnsi="David" w:cs="David"/>
            <w:b/>
            <w:bCs/>
            <w:i/>
            <w:iCs/>
            <w:color w:val="0000FF"/>
            <w:sz w:val="22"/>
            <w:szCs w:val="22"/>
            <w:u w:val="single"/>
            <w:rtl/>
          </w:rPr>
          <w:t>ו.ע.) בהחלטה בערר (מרכז) 8014-02-18</w:t>
        </w:r>
      </w:hyperlink>
      <w:r w:rsidRPr="00A038F8">
        <w:rPr>
          <w:rFonts w:ascii="David" w:hAnsi="David" w:cs="David"/>
          <w:b/>
          <w:bCs/>
          <w:i/>
          <w:iCs/>
          <w:sz w:val="22"/>
          <w:szCs w:val="22"/>
          <w:rtl/>
        </w:rPr>
        <w:t xml:space="preserve"> תם שטרית נ' הוועדה המקומית לתכנון ובנייה ראשון לציון (פורסם בנבו, 22.05.2022) דובר על מקרה דומה למקרה דנן.</w:t>
      </w:r>
    </w:p>
    <w:p w:rsidR="002A1DB9" w:rsidRPr="00A038F8" w:rsidRDefault="002A1DB9" w:rsidP="0061040F">
      <w:pPr>
        <w:spacing w:line="360" w:lineRule="auto"/>
        <w:ind w:left="709" w:right="1134"/>
        <w:jc w:val="both"/>
        <w:rPr>
          <w:rFonts w:ascii="David" w:hAnsi="David" w:cs="David"/>
          <w:b/>
          <w:bCs/>
          <w:i/>
          <w:iCs/>
          <w:sz w:val="22"/>
          <w:szCs w:val="22"/>
          <w:rtl/>
        </w:rPr>
      </w:pPr>
      <w:r w:rsidRPr="00A038F8">
        <w:rPr>
          <w:rFonts w:ascii="David" w:hAnsi="David" w:cs="David"/>
          <w:b/>
          <w:bCs/>
          <w:i/>
          <w:iCs/>
          <w:sz w:val="22"/>
          <w:szCs w:val="22"/>
          <w:rtl/>
        </w:rPr>
        <w:t xml:space="preserve">כמו בענייננו, גם במקרה </w:t>
      </w:r>
      <w:proofErr w:type="spellStart"/>
      <w:r w:rsidRPr="00A038F8">
        <w:rPr>
          <w:rFonts w:ascii="David" w:hAnsi="David" w:cs="David"/>
          <w:b/>
          <w:bCs/>
          <w:i/>
          <w:iCs/>
          <w:sz w:val="22"/>
          <w:szCs w:val="22"/>
          <w:rtl/>
        </w:rPr>
        <w:t>דשם</w:t>
      </w:r>
      <w:proofErr w:type="spellEnd"/>
      <w:r w:rsidRPr="00A038F8">
        <w:rPr>
          <w:rFonts w:ascii="David" w:hAnsi="David" w:cs="David"/>
          <w:b/>
          <w:bCs/>
          <w:i/>
          <w:iCs/>
          <w:sz w:val="22"/>
          <w:szCs w:val="22"/>
          <w:rtl/>
        </w:rPr>
        <w:t>, המימוש בהסכם המכר התרחש כאשר התכנית הייתה בתוקף.</w:t>
      </w:r>
    </w:p>
    <w:p w:rsidR="002A1DB9" w:rsidRPr="00A038F8" w:rsidRDefault="002A1DB9" w:rsidP="0061040F">
      <w:pPr>
        <w:spacing w:line="360" w:lineRule="auto"/>
        <w:ind w:left="709" w:right="1134"/>
        <w:jc w:val="both"/>
        <w:rPr>
          <w:rFonts w:ascii="David" w:hAnsi="David" w:cs="David"/>
          <w:b/>
          <w:bCs/>
          <w:i/>
          <w:iCs/>
          <w:sz w:val="22"/>
          <w:szCs w:val="22"/>
          <w:rtl/>
        </w:rPr>
      </w:pPr>
      <w:r w:rsidRPr="00A038F8">
        <w:rPr>
          <w:rFonts w:ascii="David" w:hAnsi="David" w:cs="David"/>
          <w:b/>
          <w:bCs/>
          <w:i/>
          <w:iCs/>
          <w:sz w:val="22"/>
          <w:szCs w:val="22"/>
          <w:rtl/>
        </w:rPr>
        <w:t>ועדת הערר לא ראתה מקום לקבל את הטענה להיעדר חבות לתכנית שנדונה שם ואשר העוררים מימ</w:t>
      </w:r>
      <w:r w:rsidRPr="00A038F8">
        <w:rPr>
          <w:rFonts w:ascii="David" w:hAnsi="David" w:cs="David" w:hint="eastAsia"/>
          <w:b/>
          <w:bCs/>
          <w:i/>
          <w:iCs/>
          <w:sz w:val="22"/>
          <w:szCs w:val="22"/>
          <w:rtl/>
        </w:rPr>
        <w:t>שו</w:t>
      </w:r>
      <w:r w:rsidRPr="00A038F8">
        <w:rPr>
          <w:rFonts w:ascii="David" w:hAnsi="David" w:cs="David"/>
          <w:b/>
          <w:bCs/>
          <w:i/>
          <w:iCs/>
          <w:sz w:val="22"/>
          <w:szCs w:val="22"/>
          <w:rtl/>
        </w:rPr>
        <w:t>ה במכר כאשר הייתה בתוקף. זאת תוך שאבחנה את המקרה הנדון בפניה מהמקרים אשר נדונו בפסק הדין בעניין הפטריארך היווני ובהחלטה בעניין מלון רם.</w:t>
      </w:r>
    </w:p>
    <w:p w:rsidR="002A1DB9" w:rsidRPr="00A038F8" w:rsidRDefault="002A1DB9" w:rsidP="0061040F">
      <w:pPr>
        <w:spacing w:line="360" w:lineRule="auto"/>
        <w:ind w:left="709" w:right="1134"/>
        <w:jc w:val="both"/>
        <w:rPr>
          <w:rFonts w:ascii="David" w:hAnsi="David" w:cs="David"/>
          <w:b/>
          <w:bCs/>
          <w:i/>
          <w:iCs/>
          <w:sz w:val="22"/>
          <w:szCs w:val="22"/>
          <w:rtl/>
        </w:rPr>
      </w:pPr>
      <w:r w:rsidRPr="00A038F8">
        <w:rPr>
          <w:rFonts w:ascii="David" w:hAnsi="David" w:cs="David"/>
          <w:b/>
          <w:bCs/>
          <w:i/>
          <w:iCs/>
          <w:sz w:val="22"/>
          <w:szCs w:val="22"/>
          <w:rtl/>
        </w:rPr>
        <w:t xml:space="preserve">"לא ראינו מקום לקבל את הטענה להיעדר חבות לתכנית </w:t>
      </w:r>
      <w:proofErr w:type="spellStart"/>
      <w:r w:rsidRPr="00A038F8">
        <w:rPr>
          <w:rFonts w:ascii="David" w:hAnsi="David" w:cs="David"/>
          <w:b/>
          <w:bCs/>
          <w:i/>
          <w:iCs/>
          <w:sz w:val="22"/>
          <w:szCs w:val="22"/>
          <w:rtl/>
        </w:rPr>
        <w:t>רצ</w:t>
      </w:r>
      <w:proofErr w:type="spellEnd"/>
      <w:r w:rsidRPr="00A038F8">
        <w:rPr>
          <w:rFonts w:ascii="David" w:hAnsi="David" w:cs="David"/>
          <w:b/>
          <w:bCs/>
          <w:i/>
          <w:iCs/>
          <w:sz w:val="22"/>
          <w:szCs w:val="22"/>
          <w:rtl/>
        </w:rPr>
        <w:t>/78/6/1, ואשר העוררים מימשו אותה במכר כאשר עמדה בתוקפה.</w:t>
      </w:r>
    </w:p>
    <w:p w:rsidR="002A1DB9" w:rsidRPr="00A038F8" w:rsidRDefault="002A1DB9" w:rsidP="0061040F">
      <w:pPr>
        <w:spacing w:line="360" w:lineRule="auto"/>
        <w:ind w:left="709" w:right="1134"/>
        <w:jc w:val="both"/>
        <w:rPr>
          <w:rFonts w:ascii="David" w:hAnsi="David" w:cs="David"/>
          <w:b/>
          <w:bCs/>
          <w:i/>
          <w:iCs/>
          <w:sz w:val="22"/>
          <w:szCs w:val="22"/>
          <w:rtl/>
        </w:rPr>
      </w:pPr>
      <w:r w:rsidRPr="00A038F8">
        <w:rPr>
          <w:rFonts w:ascii="David" w:hAnsi="David" w:cs="David"/>
          <w:b/>
          <w:bCs/>
          <w:i/>
          <w:iCs/>
          <w:sz w:val="22"/>
          <w:szCs w:val="22"/>
          <w:rtl/>
        </w:rPr>
        <w:t xml:space="preserve">... העוררים בענייננו מימשו בדרך של מכירה את הזכויות במקרקעין, ובכלל זה הזכויות הנובעות מתכנית </w:t>
      </w:r>
      <w:proofErr w:type="spellStart"/>
      <w:r w:rsidRPr="00A038F8">
        <w:rPr>
          <w:rFonts w:ascii="David" w:hAnsi="David" w:cs="David"/>
          <w:b/>
          <w:bCs/>
          <w:i/>
          <w:iCs/>
          <w:sz w:val="22"/>
          <w:szCs w:val="22"/>
          <w:rtl/>
        </w:rPr>
        <w:t>רצ</w:t>
      </w:r>
      <w:proofErr w:type="spellEnd"/>
      <w:r w:rsidRPr="00A038F8">
        <w:rPr>
          <w:rFonts w:ascii="David" w:hAnsi="David" w:cs="David"/>
          <w:b/>
          <w:bCs/>
          <w:i/>
          <w:iCs/>
          <w:sz w:val="22"/>
          <w:szCs w:val="22"/>
          <w:rtl/>
        </w:rPr>
        <w:t xml:space="preserve">/78/6/1. מימוש זה אירע בתקופת עשר השנים בה התכנית חלה) וכאשר עולה, כי בתום אותם עשר שנים היא אכן פקעה בהתאם לאמור בהוראת סעיף 34 לאותה תכנית). לפיכך, ניתן להבין ששווי המקרקעין בעסקה כלל גם אפשרות למימוש זכויות לאותה תכנית שבאותה עת עמדה בתוקפה. ממילא, היקף ההתעשרות מכוחה של אותה תכנית היא שאלה שמאית. למעשה, כמפורט להלן, שאלה זו נדונה בהרחבה על ידי השמאי המייעץ."  </w:t>
      </w:r>
    </w:p>
    <w:p w:rsidR="002A1DB9" w:rsidRPr="00A038F8" w:rsidRDefault="002A1DB9" w:rsidP="0061040F">
      <w:pPr>
        <w:spacing w:line="360" w:lineRule="auto"/>
        <w:ind w:left="709" w:right="1134"/>
        <w:jc w:val="both"/>
        <w:rPr>
          <w:rFonts w:ascii="David" w:hAnsi="David" w:cs="David"/>
          <w:b/>
          <w:bCs/>
          <w:i/>
          <w:iCs/>
          <w:sz w:val="22"/>
          <w:szCs w:val="22"/>
          <w:rtl/>
        </w:rPr>
      </w:pPr>
      <w:r w:rsidRPr="00A038F8">
        <w:rPr>
          <w:rFonts w:ascii="David" w:hAnsi="David" w:cs="David"/>
          <w:b/>
          <w:bCs/>
          <w:i/>
          <w:iCs/>
          <w:sz w:val="22"/>
          <w:szCs w:val="22"/>
          <w:rtl/>
        </w:rPr>
        <w:t>דברים אלה יפים גם לענייננו ומקובלים אף עלינו.</w:t>
      </w:r>
    </w:p>
    <w:p w:rsidR="002A1DB9" w:rsidRPr="00A038F8" w:rsidRDefault="002A1DB9" w:rsidP="0061040F">
      <w:pPr>
        <w:spacing w:line="360" w:lineRule="auto"/>
        <w:ind w:left="709" w:right="1134"/>
        <w:jc w:val="both"/>
        <w:rPr>
          <w:rFonts w:ascii="David" w:hAnsi="David" w:cs="David"/>
          <w:b/>
          <w:bCs/>
          <w:i/>
          <w:iCs/>
          <w:sz w:val="22"/>
          <w:szCs w:val="22"/>
          <w:rtl/>
        </w:rPr>
      </w:pPr>
      <w:r w:rsidRPr="00A038F8">
        <w:rPr>
          <w:rFonts w:ascii="David" w:hAnsi="David" w:cs="David"/>
          <w:b/>
          <w:bCs/>
          <w:i/>
          <w:iCs/>
          <w:sz w:val="22"/>
          <w:szCs w:val="22"/>
          <w:rtl/>
        </w:rPr>
        <w:t xml:space="preserve">תכנית מתכלה היא כאמור ברת חיוב. מועד אישור התכנית הוא המועד הרלוונטי לבחינת ההשבחה שנגרמה עקב תכנית, ואת ההשבחה יש לקבוע למועד זה (ראו: </w:t>
      </w:r>
      <w:hyperlink r:id="rId40" w:history="1">
        <w:r w:rsidRPr="00A038F8">
          <w:rPr>
            <w:rFonts w:ascii="David" w:hAnsi="David" w:cs="David"/>
            <w:b/>
            <w:bCs/>
            <w:i/>
            <w:iCs/>
            <w:color w:val="0000FF"/>
            <w:sz w:val="22"/>
            <w:szCs w:val="22"/>
            <w:u w:val="single"/>
            <w:rtl/>
          </w:rPr>
          <w:t>ערר (חיפה) 8071/14</w:t>
        </w:r>
      </w:hyperlink>
      <w:r w:rsidRPr="00A038F8">
        <w:rPr>
          <w:rFonts w:ascii="David" w:hAnsi="David" w:cs="David"/>
          <w:b/>
          <w:bCs/>
          <w:i/>
          <w:iCs/>
          <w:sz w:val="22"/>
          <w:szCs w:val="22"/>
          <w:rtl/>
        </w:rPr>
        <w:t xml:space="preserve"> רבינוביץ' שאול נ' ועדה מקומית לתכנון ובניה קריית אתא (פורסם בנבו, 10.5.2016)).</w:t>
      </w:r>
    </w:p>
    <w:p w:rsidR="002A1DB9" w:rsidRPr="00CD4258" w:rsidRDefault="002A1DB9" w:rsidP="00CD4258">
      <w:pPr>
        <w:pStyle w:val="afa"/>
        <w:numPr>
          <w:ilvl w:val="0"/>
          <w:numId w:val="11"/>
        </w:numPr>
        <w:spacing w:before="0" w:after="160" w:line="360" w:lineRule="auto"/>
        <w:ind w:right="1134"/>
        <w:contextualSpacing w:val="0"/>
        <w:rPr>
          <w:i/>
          <w:iCs/>
          <w:sz w:val="22"/>
          <w:szCs w:val="22"/>
          <w:u w:val="none"/>
        </w:rPr>
      </w:pPr>
      <w:r w:rsidRPr="00CD4258">
        <w:rPr>
          <w:i/>
          <w:iCs/>
          <w:sz w:val="22"/>
          <w:szCs w:val="22"/>
          <w:u w:val="none"/>
          <w:rtl/>
        </w:rPr>
        <w:t>דברים אלו מקובלים גם עלינו וכן על הרכבים נוספים שדנו בנושא זה, כמשתקף מההחלטות המוזכרות בהחלטה זו. מכל מקום, נבקש להוסיף עליהם נופך נוסף, הן בפן המשפטי והן בפן הכלכלי.</w:t>
      </w:r>
    </w:p>
    <w:p w:rsidR="002A1DB9" w:rsidRPr="00CD4258" w:rsidRDefault="002A1DB9" w:rsidP="00CD4258">
      <w:pPr>
        <w:pStyle w:val="afa"/>
        <w:numPr>
          <w:ilvl w:val="0"/>
          <w:numId w:val="11"/>
        </w:numPr>
        <w:spacing w:before="0" w:after="160" w:line="360" w:lineRule="auto"/>
        <w:ind w:right="1134"/>
        <w:contextualSpacing w:val="0"/>
        <w:rPr>
          <w:i/>
          <w:iCs/>
          <w:sz w:val="22"/>
          <w:szCs w:val="22"/>
          <w:u w:val="none"/>
        </w:rPr>
      </w:pPr>
      <w:r w:rsidRPr="00CD4258">
        <w:rPr>
          <w:i/>
          <w:iCs/>
          <w:sz w:val="22"/>
          <w:szCs w:val="22"/>
          <w:u w:val="none"/>
          <w:rtl/>
        </w:rPr>
        <w:t xml:space="preserve">בהקשר להחלטת ועדת הערר בעניין אליק רון נציין כי בית המשפט העליון בדונו בעניין </w:t>
      </w:r>
      <w:hyperlink r:id="rId41" w:history="1">
        <w:proofErr w:type="spellStart"/>
        <w:r w:rsidRPr="00CD4258">
          <w:rPr>
            <w:i/>
            <w:iCs/>
            <w:color w:val="0000FF"/>
            <w:sz w:val="22"/>
            <w:szCs w:val="22"/>
            <w:u w:val="none"/>
            <w:rtl/>
          </w:rPr>
          <w:t>רעא</w:t>
        </w:r>
        <w:proofErr w:type="spellEnd"/>
        <w:r w:rsidRPr="00CD4258">
          <w:rPr>
            <w:i/>
            <w:iCs/>
            <w:color w:val="0000FF"/>
            <w:sz w:val="22"/>
            <w:szCs w:val="22"/>
            <w:u w:val="none"/>
            <w:rtl/>
          </w:rPr>
          <w:t xml:space="preserve"> 3002/12</w:t>
        </w:r>
      </w:hyperlink>
      <w:r w:rsidRPr="00CD4258">
        <w:rPr>
          <w:i/>
          <w:iCs/>
          <w:sz w:val="22"/>
          <w:szCs w:val="22"/>
          <w:u w:val="none"/>
        </w:rPr>
        <w:t xml:space="preserve"> </w:t>
      </w:r>
      <w:r w:rsidRPr="00CD4258">
        <w:rPr>
          <w:b/>
          <w:i/>
          <w:iCs/>
          <w:sz w:val="22"/>
          <w:szCs w:val="22"/>
          <w:u w:val="none"/>
          <w:rtl/>
        </w:rPr>
        <w:t>הועדה המקומית לתכנון ובניה גבעתיים נ' אליק רון</w:t>
      </w:r>
      <w:r w:rsidRPr="00CD4258">
        <w:rPr>
          <w:i/>
          <w:iCs/>
          <w:sz w:val="22"/>
          <w:szCs w:val="22"/>
          <w:u w:val="none"/>
          <w:rtl/>
        </w:rPr>
        <w:t xml:space="preserve"> (נבו) (להלן: "</w:t>
      </w:r>
      <w:r w:rsidRPr="00CD4258">
        <w:rPr>
          <w:b/>
          <w:i/>
          <w:iCs/>
          <w:sz w:val="22"/>
          <w:szCs w:val="22"/>
          <w:u w:val="none"/>
          <w:rtl/>
        </w:rPr>
        <w:t>הלכת אליק רון</w:t>
      </w:r>
      <w:r w:rsidRPr="00CD4258">
        <w:rPr>
          <w:i/>
          <w:iCs/>
          <w:sz w:val="22"/>
          <w:szCs w:val="22"/>
          <w:u w:val="none"/>
          <w:rtl/>
        </w:rPr>
        <w:t>") (הלכת אליק רון ניתנה קודם להחלטת אליק רון ואין ביניהן קשר על אף השם הזהה) התייחס גם לשאלת הזכויות המתכלות ועניין הפטריארך וכך נקבע:</w:t>
      </w:r>
    </w:p>
    <w:p w:rsidR="002A1DB9" w:rsidRPr="00CD4258" w:rsidRDefault="002A1DB9" w:rsidP="0061040F">
      <w:pPr>
        <w:pStyle w:val="afa"/>
        <w:spacing w:before="0" w:after="160" w:line="360" w:lineRule="auto"/>
        <w:ind w:left="758" w:right="1134" w:firstLine="0"/>
        <w:contextualSpacing w:val="0"/>
        <w:rPr>
          <w:i/>
          <w:iCs/>
          <w:sz w:val="22"/>
          <w:szCs w:val="22"/>
          <w:u w:val="none"/>
          <w:rtl/>
        </w:rPr>
      </w:pPr>
      <w:r w:rsidRPr="00CD4258">
        <w:rPr>
          <w:b/>
          <w:i/>
          <w:iCs/>
          <w:sz w:val="22"/>
          <w:szCs w:val="22"/>
          <w:u w:val="none"/>
          <w:rtl/>
        </w:rPr>
        <w:t>"בעניין הפטריארך היווני, המוכר ששילם את היטל ההשבחה במועד המכירה נותר - כתוצאה מביטול הסכם המכר - בעל המקרקעין גם במועד שבו התכנית פקעה, ולכן נוצר מצב כי לא התעשר כתוצאה מאותה תוכנית זמנית. יסוד ההתעשרות הוא שעמד בבסיס ההכרעה שם והוא שעומד גם בבסיס הכרעתנו כאן."</w:t>
      </w:r>
    </w:p>
    <w:p w:rsidR="002A1DB9" w:rsidRPr="00CD4258" w:rsidRDefault="002A1DB9" w:rsidP="00CD4258">
      <w:pPr>
        <w:pStyle w:val="afa"/>
        <w:numPr>
          <w:ilvl w:val="0"/>
          <w:numId w:val="11"/>
        </w:numPr>
        <w:spacing w:before="0" w:after="160" w:line="360" w:lineRule="auto"/>
        <w:ind w:right="1134"/>
        <w:contextualSpacing w:val="0"/>
        <w:rPr>
          <w:i/>
          <w:iCs/>
          <w:sz w:val="22"/>
          <w:szCs w:val="22"/>
          <w:u w:val="none"/>
        </w:rPr>
      </w:pPr>
      <w:r w:rsidRPr="00CD4258">
        <w:rPr>
          <w:i/>
          <w:iCs/>
          <w:sz w:val="22"/>
          <w:szCs w:val="22"/>
          <w:u w:val="none"/>
          <w:rtl/>
        </w:rPr>
        <w:t xml:space="preserve">קביעתו של בית המשפט העליון בהלכת אליק רון עולה בקנה אחד עם החלטת ועדת הערר בעניין אליק רון וקובעת כי עניין הפטריארך </w:t>
      </w:r>
      <w:r w:rsidRPr="00CD4258">
        <w:rPr>
          <w:b/>
          <w:i/>
          <w:iCs/>
          <w:sz w:val="22"/>
          <w:szCs w:val="22"/>
          <w:u w:val="none"/>
          <w:rtl/>
        </w:rPr>
        <w:t>עסק בשאלת התעשרותו של המוכר</w:t>
      </w:r>
      <w:r w:rsidRPr="00CD4258">
        <w:rPr>
          <w:i/>
          <w:iCs/>
          <w:sz w:val="22"/>
          <w:szCs w:val="22"/>
          <w:u w:val="none"/>
          <w:rtl/>
        </w:rPr>
        <w:t xml:space="preserve">. בנסיבותיו </w:t>
      </w:r>
      <w:r w:rsidRPr="00CD4258">
        <w:rPr>
          <w:b/>
          <w:i/>
          <w:iCs/>
          <w:sz w:val="22"/>
          <w:szCs w:val="22"/>
          <w:u w:val="none"/>
          <w:rtl/>
        </w:rPr>
        <w:t>הקונקרטיות</w:t>
      </w:r>
      <w:r w:rsidRPr="00CD4258">
        <w:rPr>
          <w:i/>
          <w:iCs/>
          <w:sz w:val="22"/>
          <w:szCs w:val="22"/>
          <w:u w:val="none"/>
          <w:rtl/>
        </w:rPr>
        <w:t xml:space="preserve"> של עניין הפטריארך, המוכר לא התעשר ועל כן נקבע שם כי על הרשות להשיב את היטל ההשבחה. </w:t>
      </w:r>
    </w:p>
    <w:p w:rsidR="002A1DB9" w:rsidRPr="00CD4258" w:rsidRDefault="002A1DB9" w:rsidP="00CD4258">
      <w:pPr>
        <w:pStyle w:val="afa"/>
        <w:numPr>
          <w:ilvl w:val="0"/>
          <w:numId w:val="11"/>
        </w:numPr>
        <w:spacing w:before="0" w:after="160" w:line="360" w:lineRule="auto"/>
        <w:ind w:right="1134"/>
        <w:contextualSpacing w:val="0"/>
        <w:rPr>
          <w:i/>
          <w:iCs/>
          <w:sz w:val="22"/>
          <w:szCs w:val="22"/>
          <w:u w:val="none"/>
        </w:rPr>
      </w:pPr>
      <w:r w:rsidRPr="00CD4258">
        <w:rPr>
          <w:i/>
          <w:iCs/>
          <w:sz w:val="22"/>
          <w:szCs w:val="22"/>
          <w:u w:val="none"/>
          <w:rtl/>
        </w:rPr>
        <w:t>אך מאידך, בפנינו לא עומדת השאלה האם בעל המקרקעין התעשר בעבר, אלא כמה הוא עתיד להתעשר במועד הקובע? זו שאלה נפרדת והתשובה לה נטועה על אדנים אחרים.</w:t>
      </w:r>
    </w:p>
    <w:p w:rsidR="002A1DB9" w:rsidRPr="00CD4258" w:rsidRDefault="002A1DB9" w:rsidP="00CD4258">
      <w:pPr>
        <w:pStyle w:val="afa"/>
        <w:numPr>
          <w:ilvl w:val="0"/>
          <w:numId w:val="11"/>
        </w:numPr>
        <w:spacing w:before="0" w:after="160" w:line="360" w:lineRule="auto"/>
        <w:ind w:right="1134"/>
        <w:contextualSpacing w:val="0"/>
        <w:rPr>
          <w:i/>
          <w:iCs/>
          <w:sz w:val="22"/>
          <w:szCs w:val="22"/>
          <w:u w:val="none"/>
        </w:rPr>
      </w:pPr>
      <w:r w:rsidRPr="00CD4258">
        <w:rPr>
          <w:i/>
          <w:iCs/>
          <w:sz w:val="22"/>
          <w:szCs w:val="22"/>
          <w:u w:val="none"/>
          <w:rtl/>
        </w:rPr>
        <w:t xml:space="preserve">בהקשר זה יש לבחון את שווי השוק של "זכות מתכלה" (ראו הפניות להלכת </w:t>
      </w:r>
      <w:proofErr w:type="spellStart"/>
      <w:r w:rsidRPr="00CD4258">
        <w:rPr>
          <w:i/>
          <w:iCs/>
          <w:sz w:val="22"/>
          <w:szCs w:val="22"/>
          <w:u w:val="none"/>
          <w:rtl/>
        </w:rPr>
        <w:t>לוסטרניק</w:t>
      </w:r>
      <w:proofErr w:type="spellEnd"/>
      <w:r w:rsidRPr="00CD4258">
        <w:rPr>
          <w:i/>
          <w:iCs/>
          <w:sz w:val="22"/>
          <w:szCs w:val="22"/>
          <w:u w:val="none"/>
          <w:rtl/>
        </w:rPr>
        <w:t xml:space="preserve"> לעיל). </w:t>
      </w:r>
      <w:r w:rsidRPr="00CD4258">
        <w:rPr>
          <w:b/>
          <w:i/>
          <w:iCs/>
          <w:sz w:val="22"/>
          <w:szCs w:val="22"/>
          <w:u w:val="none"/>
          <w:rtl/>
        </w:rPr>
        <w:t>לא ניתן לומר כי זכות מתכלה זהה לחלוטין לזכות שאינה מתכלה.</w:t>
      </w:r>
      <w:r w:rsidRPr="00CD4258">
        <w:rPr>
          <w:i/>
          <w:iCs/>
          <w:sz w:val="22"/>
          <w:szCs w:val="22"/>
          <w:u w:val="none"/>
          <w:rtl/>
        </w:rPr>
        <w:t xml:space="preserve"> </w:t>
      </w:r>
    </w:p>
    <w:p w:rsidR="002A1DB9" w:rsidRPr="00CD4258" w:rsidRDefault="002A1DB9" w:rsidP="00CD4258">
      <w:pPr>
        <w:pStyle w:val="afa"/>
        <w:numPr>
          <w:ilvl w:val="0"/>
          <w:numId w:val="11"/>
        </w:numPr>
        <w:spacing w:before="0" w:after="160" w:line="360" w:lineRule="auto"/>
        <w:ind w:left="709" w:right="1134" w:hanging="425"/>
        <w:contextualSpacing w:val="0"/>
        <w:rPr>
          <w:i/>
          <w:iCs/>
          <w:sz w:val="22"/>
          <w:szCs w:val="22"/>
          <w:u w:val="none"/>
        </w:rPr>
      </w:pPr>
      <w:r w:rsidRPr="00CD4258">
        <w:rPr>
          <w:i/>
          <w:iCs/>
          <w:sz w:val="22"/>
          <w:szCs w:val="22"/>
          <w:u w:val="none"/>
          <w:rtl/>
        </w:rPr>
        <w:t xml:space="preserve">ויתרה מכך, ניתן להניח כי אדם הרוכש זכויות בניה שמראש נקבע כי הן מוגבלות בזמן, לא ישלם עליהן סכום זהה לסכום שישולם עבור זכויות בניה שאין "חרב" ההתכלות מרחפת מעליהן. </w:t>
      </w:r>
    </w:p>
    <w:p w:rsidR="002A1DB9" w:rsidRPr="00CD4258" w:rsidRDefault="002A1DB9" w:rsidP="00CD4258">
      <w:pPr>
        <w:pStyle w:val="afa"/>
        <w:numPr>
          <w:ilvl w:val="0"/>
          <w:numId w:val="11"/>
        </w:numPr>
        <w:spacing w:before="0" w:after="160" w:line="360" w:lineRule="auto"/>
        <w:ind w:left="425" w:right="1134" w:hanging="142"/>
        <w:contextualSpacing w:val="0"/>
        <w:rPr>
          <w:i/>
          <w:iCs/>
          <w:sz w:val="22"/>
          <w:szCs w:val="22"/>
          <w:u w:val="none"/>
        </w:rPr>
      </w:pPr>
      <w:r w:rsidRPr="00CD4258">
        <w:rPr>
          <w:i/>
          <w:iCs/>
          <w:sz w:val="22"/>
          <w:szCs w:val="22"/>
          <w:u w:val="none"/>
          <w:rtl/>
        </w:rPr>
        <w:t xml:space="preserve">בהקשר זה טענה בפנינו הוועדה המקומית כי אין מניעה לנצל את הזכויות בתקופה שהוקצתה, או </w:t>
      </w:r>
      <w:r w:rsidRPr="00CD4258">
        <w:rPr>
          <w:i/>
          <w:iCs/>
          <w:sz w:val="22"/>
          <w:szCs w:val="22"/>
          <w:u w:val="none"/>
          <w:rtl/>
        </w:rPr>
        <w:tab/>
        <w:t xml:space="preserve">כי הסיכוי לאי – ניצול הזכויות קטן מהסיכוי לניצולן. ואכן - ייתכן. </w:t>
      </w:r>
    </w:p>
    <w:p w:rsidR="002A1DB9" w:rsidRPr="00CD4258" w:rsidRDefault="002A1DB9" w:rsidP="00CD4258">
      <w:pPr>
        <w:pStyle w:val="afa"/>
        <w:numPr>
          <w:ilvl w:val="0"/>
          <w:numId w:val="11"/>
        </w:numPr>
        <w:spacing w:before="0" w:after="160" w:line="360" w:lineRule="auto"/>
        <w:ind w:left="425" w:right="1134" w:hanging="142"/>
        <w:contextualSpacing w:val="0"/>
        <w:rPr>
          <w:i/>
          <w:iCs/>
          <w:sz w:val="22"/>
          <w:szCs w:val="22"/>
          <w:u w:val="none"/>
        </w:rPr>
      </w:pPr>
      <w:r w:rsidRPr="00CD4258">
        <w:rPr>
          <w:i/>
          <w:iCs/>
          <w:sz w:val="22"/>
          <w:szCs w:val="22"/>
          <w:u w:val="none"/>
          <w:rtl/>
        </w:rPr>
        <w:t>אך טענה זו אינה מאפשרת התעלמות מכך שזכות מתכלה אינה זהה לזכות שאינה מתכלה.</w:t>
      </w:r>
      <w:r w:rsidRPr="00CD4258">
        <w:rPr>
          <w:i/>
          <w:iCs/>
          <w:sz w:val="22"/>
          <w:szCs w:val="22"/>
          <w:u w:val="none"/>
          <w:rtl/>
        </w:rPr>
        <w:tab/>
      </w:r>
      <w:r w:rsidRPr="00CD4258">
        <w:rPr>
          <w:i/>
          <w:iCs/>
          <w:sz w:val="22"/>
          <w:szCs w:val="22"/>
          <w:u w:val="none"/>
          <w:rtl/>
        </w:rPr>
        <w:tab/>
        <w:t xml:space="preserve"> ייתכן ועסקינן בהבדל מינורי ולא משמעותי וייתכן שעסקינן בהבדל בקנה מידה "בל ישוער".</w:t>
      </w:r>
    </w:p>
    <w:p w:rsidR="002A1DB9" w:rsidRPr="00CD4258" w:rsidRDefault="002A1DB9" w:rsidP="00CD4258">
      <w:pPr>
        <w:pStyle w:val="afa"/>
        <w:numPr>
          <w:ilvl w:val="0"/>
          <w:numId w:val="11"/>
        </w:numPr>
        <w:spacing w:before="0" w:after="160" w:line="360" w:lineRule="auto"/>
        <w:ind w:left="709" w:right="1134" w:hanging="425"/>
        <w:contextualSpacing w:val="0"/>
        <w:rPr>
          <w:i/>
          <w:iCs/>
          <w:sz w:val="22"/>
          <w:szCs w:val="22"/>
          <w:u w:val="none"/>
        </w:rPr>
      </w:pPr>
      <w:r w:rsidRPr="00CD4258">
        <w:rPr>
          <w:i/>
          <w:iCs/>
          <w:sz w:val="22"/>
          <w:szCs w:val="22"/>
          <w:u w:val="none"/>
          <w:rtl/>
        </w:rPr>
        <w:t xml:space="preserve">אך </w:t>
      </w:r>
      <w:r w:rsidRPr="00CD4258">
        <w:rPr>
          <w:b/>
          <w:i/>
          <w:iCs/>
          <w:sz w:val="22"/>
          <w:szCs w:val="22"/>
          <w:u w:val="none"/>
          <w:rtl/>
        </w:rPr>
        <w:t xml:space="preserve">ברי כי יש לתת לכך את הדעת ולבחון את משמעות והשפעת התכלות הזכות על שווי השוק, כפי שמשתקף בעיניו של "קונה סביר". </w:t>
      </w:r>
    </w:p>
    <w:p w:rsidR="002A1DB9" w:rsidRPr="00CD4258" w:rsidRDefault="002A1DB9" w:rsidP="00CD4258">
      <w:pPr>
        <w:pStyle w:val="afa"/>
        <w:numPr>
          <w:ilvl w:val="0"/>
          <w:numId w:val="11"/>
        </w:numPr>
        <w:spacing w:before="0" w:after="160" w:line="360" w:lineRule="auto"/>
        <w:ind w:left="709" w:right="1134" w:hanging="425"/>
        <w:contextualSpacing w:val="0"/>
        <w:rPr>
          <w:i/>
          <w:iCs/>
          <w:sz w:val="22"/>
          <w:szCs w:val="22"/>
          <w:u w:val="none"/>
        </w:rPr>
      </w:pPr>
      <w:r w:rsidRPr="00CD4258">
        <w:rPr>
          <w:i/>
          <w:iCs/>
          <w:sz w:val="22"/>
          <w:szCs w:val="22"/>
          <w:u w:val="none"/>
          <w:rtl/>
        </w:rPr>
        <w:t xml:space="preserve">למעשה זו אינה שאלה מעולם המשפט אלא בשאלה הקשורה בטבורה לדיסציפלינה שמאית, ועל השמאי המכריע להתייחס אליה, תוך הצגת תחשיב והתבססות על נתונים </w:t>
      </w:r>
      <w:r w:rsidRPr="00CD4258">
        <w:rPr>
          <w:rFonts w:hint="eastAsia"/>
          <w:i/>
          <w:iCs/>
          <w:sz w:val="22"/>
          <w:szCs w:val="22"/>
          <w:u w:val="none"/>
          <w:rtl/>
        </w:rPr>
        <w:t>מתאימים</w:t>
      </w:r>
      <w:r w:rsidRPr="00CD4258">
        <w:rPr>
          <w:i/>
          <w:iCs/>
          <w:sz w:val="22"/>
          <w:szCs w:val="22"/>
          <w:u w:val="none"/>
          <w:rtl/>
        </w:rPr>
        <w:t xml:space="preserve">. </w:t>
      </w:r>
      <w:r w:rsidRPr="00CD4258">
        <w:rPr>
          <w:rFonts w:hint="eastAsia"/>
          <w:i/>
          <w:iCs/>
          <w:sz w:val="22"/>
          <w:szCs w:val="22"/>
          <w:u w:val="none"/>
          <w:rtl/>
        </w:rPr>
        <w:t>״</w:t>
      </w:r>
    </w:p>
    <w:p w:rsidR="002A1DB9" w:rsidRDefault="002A1DB9" w:rsidP="00CD4258">
      <w:pPr>
        <w:pStyle w:val="a9"/>
        <w:tabs>
          <w:tab w:val="left" w:pos="425"/>
        </w:tabs>
        <w:spacing w:line="360" w:lineRule="auto"/>
        <w:ind w:left="357"/>
        <w:contextualSpacing w:val="0"/>
        <w:jc w:val="both"/>
        <w:rPr>
          <w:rFonts w:ascii="David" w:hAnsi="David" w:cs="David"/>
        </w:rPr>
      </w:pPr>
    </w:p>
    <w:p w:rsidR="00650035" w:rsidRDefault="006F500F" w:rsidP="00962482">
      <w:pPr>
        <w:pStyle w:val="a9"/>
        <w:numPr>
          <w:ilvl w:val="0"/>
          <w:numId w:val="1"/>
        </w:numPr>
        <w:tabs>
          <w:tab w:val="left" w:pos="425"/>
        </w:tabs>
        <w:spacing w:line="360" w:lineRule="auto"/>
        <w:ind w:left="357" w:hanging="357"/>
        <w:contextualSpacing w:val="0"/>
        <w:jc w:val="both"/>
        <w:rPr>
          <w:rFonts w:ascii="David" w:hAnsi="David" w:cs="David"/>
        </w:rPr>
      </w:pPr>
      <w:r>
        <w:rPr>
          <w:rFonts w:ascii="David" w:hAnsi="David" w:cs="David" w:hint="cs"/>
          <w:rtl/>
        </w:rPr>
        <w:t>ר' עוד לעניין זה החלטת ועדת ערר תא</w:t>
      </w:r>
      <w:r w:rsidRPr="006F500F">
        <w:rPr>
          <w:rFonts w:ascii="David" w:hAnsi="David" w:cs="David"/>
          <w:rtl/>
        </w:rPr>
        <w:t xml:space="preserve"> 85312-16 </w:t>
      </w:r>
      <w:r w:rsidRPr="006F500F">
        <w:rPr>
          <w:rFonts w:ascii="David" w:hAnsi="David" w:cs="David"/>
          <w:b/>
          <w:bCs/>
          <w:u w:val="single"/>
          <w:rtl/>
        </w:rPr>
        <w:t>מלון רם בתל אביב בע"מ נ' הוועדה המקומית לתכנון ובניה תל אביב</w:t>
      </w:r>
      <w:r>
        <w:rPr>
          <w:rFonts w:ascii="David" w:hAnsi="David" w:cs="David" w:hint="cs"/>
          <w:rtl/>
        </w:rPr>
        <w:t>, (נבו 17.7.19) שם גם נקבע כי בהתאם להלכת "</w:t>
      </w:r>
      <w:proofErr w:type="spellStart"/>
      <w:r>
        <w:rPr>
          <w:rFonts w:ascii="David" w:hAnsi="David" w:cs="David" w:hint="cs"/>
          <w:rtl/>
        </w:rPr>
        <w:t>פמיני</w:t>
      </w:r>
      <w:proofErr w:type="spellEnd"/>
      <w:r>
        <w:rPr>
          <w:rFonts w:ascii="David" w:hAnsi="David" w:cs="David" w:hint="cs"/>
          <w:rtl/>
        </w:rPr>
        <w:t xml:space="preserve">" יש לבחון את ההשבחה למועד הקובע של התכנית ובמקרה של תכנית מתכלה התחשיב יביא בחשבון עובדה זו. </w:t>
      </w:r>
    </w:p>
    <w:p w:rsidR="000D43AD" w:rsidRDefault="00B8390D" w:rsidP="00475EBF">
      <w:pPr>
        <w:pStyle w:val="a9"/>
        <w:numPr>
          <w:ilvl w:val="0"/>
          <w:numId w:val="1"/>
        </w:numPr>
        <w:tabs>
          <w:tab w:val="left" w:pos="425"/>
        </w:tabs>
        <w:spacing w:line="360" w:lineRule="auto"/>
        <w:ind w:left="357" w:hanging="357"/>
        <w:contextualSpacing w:val="0"/>
        <w:jc w:val="both"/>
        <w:rPr>
          <w:rFonts w:ascii="David" w:hAnsi="David" w:cs="David"/>
        </w:rPr>
      </w:pPr>
      <w:r w:rsidRPr="00B8390D">
        <w:rPr>
          <w:rFonts w:ascii="David" w:hAnsi="David" w:cs="David" w:hint="cs"/>
          <w:rtl/>
        </w:rPr>
        <w:t xml:space="preserve">לסיכום, כידוע היטב גם </w:t>
      </w:r>
      <w:proofErr w:type="spellStart"/>
      <w:r w:rsidRPr="00B8390D">
        <w:rPr>
          <w:rFonts w:ascii="David" w:hAnsi="David" w:cs="David" w:hint="cs"/>
          <w:rtl/>
        </w:rPr>
        <w:t>לועדה</w:t>
      </w:r>
      <w:proofErr w:type="spellEnd"/>
      <w:r w:rsidRPr="00B8390D">
        <w:rPr>
          <w:rFonts w:ascii="David" w:hAnsi="David" w:cs="David" w:hint="cs"/>
          <w:rtl/>
        </w:rPr>
        <w:t xml:space="preserve"> המקומית מקדם הסיכון לא נבחן בדיעבד במבחן המציאות, אלא, במועד אישור התכנית</w:t>
      </w:r>
      <w:r w:rsidR="009C7B9F">
        <w:rPr>
          <w:rFonts w:ascii="David" w:hAnsi="David" w:cs="David" w:hint="cs"/>
          <w:rtl/>
        </w:rPr>
        <w:t xml:space="preserve"> הוא המועד הקובע</w:t>
      </w:r>
      <w:r w:rsidRPr="00B8390D">
        <w:rPr>
          <w:rFonts w:ascii="David" w:hAnsi="David" w:cs="David" w:hint="cs"/>
          <w:rtl/>
        </w:rPr>
        <w:t xml:space="preserve">. באותו מועד </w:t>
      </w:r>
      <w:proofErr w:type="spellStart"/>
      <w:r w:rsidRPr="00B8390D">
        <w:rPr>
          <w:rFonts w:ascii="David" w:hAnsi="David" w:cs="David" w:hint="cs"/>
          <w:rtl/>
        </w:rPr>
        <w:t>היתה</w:t>
      </w:r>
      <w:proofErr w:type="spellEnd"/>
      <w:r w:rsidRPr="00B8390D">
        <w:rPr>
          <w:rFonts w:ascii="David" w:hAnsi="David" w:cs="David" w:hint="cs"/>
          <w:rtl/>
        </w:rPr>
        <w:t xml:space="preserve"> קיימת "עננת התכלות" כלשונה של השמאית המכריעה</w:t>
      </w:r>
      <w:r w:rsidR="009C7B9F">
        <w:rPr>
          <w:rFonts w:ascii="David" w:hAnsi="David" w:cs="David" w:hint="cs"/>
          <w:rtl/>
        </w:rPr>
        <w:t>,</w:t>
      </w:r>
      <w:r w:rsidRPr="00B8390D">
        <w:rPr>
          <w:rFonts w:ascii="David" w:hAnsi="David" w:cs="David" w:hint="cs"/>
          <w:rtl/>
        </w:rPr>
        <w:t xml:space="preserve"> שכל קונה סביר היה לוקח אותה בחשבון.</w:t>
      </w:r>
      <w:r>
        <w:rPr>
          <w:rFonts w:ascii="David" w:hAnsi="David" w:cs="David" w:hint="cs"/>
          <w:rtl/>
        </w:rPr>
        <w:t xml:space="preserve"> </w:t>
      </w:r>
      <w:r w:rsidRPr="00B8390D">
        <w:rPr>
          <w:rFonts w:ascii="David" w:hAnsi="David" w:cs="David" w:hint="cs"/>
          <w:rtl/>
        </w:rPr>
        <w:t xml:space="preserve">לאור האמור יש לדחות את טענת הועדה המקומית בנוגע למקדם סיכון בגין אפשרות התכלות התכנית. </w:t>
      </w:r>
    </w:p>
    <w:p w:rsidR="000D43AD" w:rsidRDefault="000D43AD" w:rsidP="000D43AD">
      <w:pPr>
        <w:spacing w:line="360" w:lineRule="auto"/>
        <w:jc w:val="both"/>
        <w:rPr>
          <w:rFonts w:ascii="David" w:hAnsi="David" w:cs="David"/>
          <w:b/>
          <w:bCs/>
          <w:u w:val="single"/>
          <w:rtl/>
        </w:rPr>
      </w:pPr>
    </w:p>
    <w:p w:rsidR="000D43AD" w:rsidRPr="0008237A" w:rsidRDefault="00232DBC" w:rsidP="00A038F8">
      <w:pPr>
        <w:pStyle w:val="2"/>
      </w:pPr>
      <w:bookmarkStart w:id="31" w:name="_Toc203992515"/>
      <w:bookmarkStart w:id="32" w:name="_Toc204504397"/>
      <w:r>
        <w:rPr>
          <w:rFonts w:hint="cs"/>
          <w:rtl/>
        </w:rPr>
        <w:t>ג</w:t>
      </w:r>
      <w:r w:rsidR="000D43AD" w:rsidRPr="0008237A">
        <w:rPr>
          <w:rFonts w:hint="cs"/>
          <w:rtl/>
        </w:rPr>
        <w:t>. טעות באומדן המטלה הציבורית בניגוד לקבוע בהסכם הפיתוח.</w:t>
      </w:r>
      <w:bookmarkEnd w:id="31"/>
      <w:bookmarkEnd w:id="32"/>
    </w:p>
    <w:p w:rsidR="008056BF" w:rsidRPr="004B30C1" w:rsidRDefault="008056BF" w:rsidP="008056BF">
      <w:pPr>
        <w:spacing w:line="360" w:lineRule="auto"/>
        <w:jc w:val="both"/>
        <w:rPr>
          <w:rFonts w:ascii="David" w:hAnsi="David" w:cs="David"/>
          <w:u w:val="thick"/>
        </w:rPr>
      </w:pPr>
      <w:r w:rsidRPr="004B30C1">
        <w:rPr>
          <w:rFonts w:ascii="David" w:hAnsi="David" w:cs="David" w:hint="cs"/>
          <w:u w:val="thick"/>
          <w:rtl/>
        </w:rPr>
        <w:t xml:space="preserve">טיעון הועדה המקומית </w:t>
      </w:r>
    </w:p>
    <w:p w:rsidR="008056BF" w:rsidRPr="008056BF" w:rsidRDefault="008056BF" w:rsidP="00A038F8">
      <w:pPr>
        <w:pStyle w:val="a9"/>
        <w:numPr>
          <w:ilvl w:val="0"/>
          <w:numId w:val="1"/>
        </w:numPr>
        <w:tabs>
          <w:tab w:val="left" w:pos="425"/>
        </w:tabs>
        <w:spacing w:line="360" w:lineRule="auto"/>
        <w:ind w:hanging="357"/>
        <w:contextualSpacing w:val="0"/>
        <w:jc w:val="both"/>
        <w:rPr>
          <w:rFonts w:ascii="David" w:hAnsi="David" w:cs="David"/>
        </w:rPr>
      </w:pPr>
      <w:r w:rsidRPr="008056BF">
        <w:rPr>
          <w:rFonts w:ascii="David" w:hAnsi="David" w:cs="David" w:hint="cs"/>
          <w:rtl/>
        </w:rPr>
        <w:t>בהסכם הפיתוח שנחתם בין העירייה לבין היזם ביום 19.9.19, נקבעו שני עקרונות מוסכמים לעניין חישוב עלות המטלה הציבורית שתובא בחשבון ההשבחה לתכניות המשביחות:</w:t>
      </w:r>
    </w:p>
    <w:p w:rsidR="008056BF" w:rsidRDefault="008056BF" w:rsidP="00073883">
      <w:pPr>
        <w:pStyle w:val="a9"/>
        <w:numPr>
          <w:ilvl w:val="0"/>
          <w:numId w:val="5"/>
        </w:numPr>
        <w:spacing w:line="360" w:lineRule="auto"/>
        <w:ind w:hanging="357"/>
        <w:contextualSpacing w:val="0"/>
        <w:jc w:val="both"/>
        <w:rPr>
          <w:rFonts w:ascii="David" w:hAnsi="David" w:cs="David"/>
        </w:rPr>
      </w:pPr>
      <w:r>
        <w:rPr>
          <w:rFonts w:ascii="David" w:hAnsi="David" w:cs="David" w:hint="cs"/>
          <w:rtl/>
        </w:rPr>
        <w:t xml:space="preserve">עלות הבניה הציבורית שתקוזז מההשבחה בגין התכניות המשביחות, תיקבע ע"י שמאי הוועדה מר יורם ברק (ס' 27.1 להסכם). </w:t>
      </w:r>
    </w:p>
    <w:p w:rsidR="008056BF" w:rsidRDefault="008056BF" w:rsidP="00073883">
      <w:pPr>
        <w:pStyle w:val="a9"/>
        <w:numPr>
          <w:ilvl w:val="0"/>
          <w:numId w:val="5"/>
        </w:numPr>
        <w:spacing w:line="360" w:lineRule="auto"/>
        <w:ind w:hanging="357"/>
        <w:contextualSpacing w:val="0"/>
        <w:jc w:val="both"/>
        <w:rPr>
          <w:rFonts w:ascii="David" w:hAnsi="David" w:cs="David"/>
        </w:rPr>
      </w:pPr>
      <w:r>
        <w:rPr>
          <w:rFonts w:ascii="David" w:hAnsi="David" w:cs="David" w:hint="cs"/>
          <w:rtl/>
        </w:rPr>
        <w:t xml:space="preserve">עלות תשלום מע"מ בגין הבניה הציבורית הנ"ל תחול על היזם בלבד, והעירייה לא תישא בעלות זו ולא תשתתף בעלות זו (ראו ס' 27.4-27.2 להסכם). </w:t>
      </w:r>
    </w:p>
    <w:p w:rsidR="008056BF" w:rsidRDefault="008056BF" w:rsidP="00A038F8">
      <w:pPr>
        <w:pStyle w:val="a9"/>
        <w:numPr>
          <w:ilvl w:val="0"/>
          <w:numId w:val="1"/>
        </w:numPr>
        <w:tabs>
          <w:tab w:val="left" w:pos="425"/>
        </w:tabs>
        <w:spacing w:line="360" w:lineRule="auto"/>
        <w:ind w:hanging="357"/>
        <w:contextualSpacing w:val="0"/>
        <w:jc w:val="both"/>
        <w:rPr>
          <w:rFonts w:ascii="David" w:hAnsi="David" w:cs="David"/>
        </w:rPr>
      </w:pPr>
      <w:r w:rsidRPr="008056BF">
        <w:rPr>
          <w:rFonts w:ascii="David" w:hAnsi="David" w:cs="David" w:hint="cs"/>
          <w:rtl/>
        </w:rPr>
        <w:t xml:space="preserve">הועדה המקומית טענה, כי נפלו טעויות בשומות המכריעות עת קבעה השמאית המכריעה את עלות המטלות הציבוריות בסכום גבוה מאומדנה על פי שמאי הועדה המקומית, וכן טעות נוספת עת השמאית המכריעה לקחה בחשבון בעלות הבניה הציבורית את עלות המע"מ. </w:t>
      </w:r>
    </w:p>
    <w:p w:rsidR="008056BF" w:rsidRDefault="008056BF" w:rsidP="00A038F8">
      <w:pPr>
        <w:pStyle w:val="a9"/>
        <w:numPr>
          <w:ilvl w:val="0"/>
          <w:numId w:val="1"/>
        </w:numPr>
        <w:tabs>
          <w:tab w:val="left" w:pos="425"/>
        </w:tabs>
        <w:spacing w:line="360" w:lineRule="auto"/>
        <w:ind w:hanging="357"/>
        <w:contextualSpacing w:val="0"/>
        <w:jc w:val="both"/>
        <w:rPr>
          <w:rFonts w:ascii="David" w:hAnsi="David" w:cs="David"/>
        </w:rPr>
      </w:pPr>
      <w:r>
        <w:rPr>
          <w:rFonts w:ascii="David" w:hAnsi="David" w:cs="David" w:hint="cs"/>
          <w:rtl/>
        </w:rPr>
        <w:t xml:space="preserve">בהתאם לכך מבקשת הועדה המקומית </w:t>
      </w:r>
      <w:r w:rsidRPr="008056BF">
        <w:rPr>
          <w:rFonts w:ascii="David" w:hAnsi="David" w:cs="David" w:hint="cs"/>
          <w:rtl/>
        </w:rPr>
        <w:t xml:space="preserve">להורות על תיקון השומות המכריעות </w:t>
      </w:r>
      <w:r>
        <w:rPr>
          <w:rFonts w:ascii="David" w:hAnsi="David" w:cs="David" w:hint="cs"/>
          <w:rtl/>
        </w:rPr>
        <w:t xml:space="preserve">שיעלו בקנה אחד עם ההסכם שנחתם בין הצדדים אותו יש לכבד </w:t>
      </w:r>
      <w:r w:rsidRPr="008056BF">
        <w:rPr>
          <w:rFonts w:ascii="David" w:hAnsi="David" w:cs="David" w:hint="cs"/>
          <w:rtl/>
        </w:rPr>
        <w:t xml:space="preserve">באופן שעלות המטלה הציבורית שתובא בחשבון ההשבחה בכל מדרגות ההשבחה תהיה לפי עמדת שמאי הוועדה המקומית ומבלי להביא בחשבון </w:t>
      </w:r>
      <w:r>
        <w:rPr>
          <w:rFonts w:ascii="David" w:hAnsi="David" w:cs="David" w:hint="cs"/>
          <w:rtl/>
        </w:rPr>
        <w:t xml:space="preserve">בעלות הבניה הציבורית את עלות המע"מ. </w:t>
      </w:r>
      <w:r w:rsidRPr="008056BF">
        <w:rPr>
          <w:rFonts w:ascii="David" w:hAnsi="David" w:cs="David" w:hint="cs"/>
          <w:rtl/>
        </w:rPr>
        <w:t xml:space="preserve"> </w:t>
      </w:r>
    </w:p>
    <w:p w:rsidR="008056BF" w:rsidRDefault="008056BF" w:rsidP="008056BF">
      <w:pPr>
        <w:tabs>
          <w:tab w:val="left" w:pos="425"/>
        </w:tabs>
        <w:spacing w:line="360" w:lineRule="auto"/>
        <w:jc w:val="both"/>
        <w:rPr>
          <w:rFonts w:ascii="David" w:hAnsi="David" w:cs="David"/>
          <w:u w:val="thick"/>
          <w:rtl/>
        </w:rPr>
      </w:pPr>
    </w:p>
    <w:p w:rsidR="008056BF" w:rsidRPr="008056BF" w:rsidRDefault="008056BF" w:rsidP="008056BF">
      <w:pPr>
        <w:tabs>
          <w:tab w:val="left" w:pos="425"/>
        </w:tabs>
        <w:spacing w:line="360" w:lineRule="auto"/>
        <w:jc w:val="both"/>
        <w:rPr>
          <w:rFonts w:ascii="David" w:hAnsi="David" w:cs="David"/>
          <w:rtl/>
        </w:rPr>
      </w:pPr>
      <w:r w:rsidRPr="008056BF">
        <w:rPr>
          <w:rFonts w:ascii="David" w:hAnsi="David" w:cs="David" w:hint="cs"/>
          <w:u w:val="thick"/>
          <w:rtl/>
        </w:rPr>
        <w:t xml:space="preserve">תשובת החברה </w:t>
      </w:r>
    </w:p>
    <w:p w:rsidR="008056BF" w:rsidRDefault="008056BF" w:rsidP="00A038F8">
      <w:pPr>
        <w:pStyle w:val="a9"/>
        <w:numPr>
          <w:ilvl w:val="0"/>
          <w:numId w:val="1"/>
        </w:numPr>
        <w:tabs>
          <w:tab w:val="left" w:pos="425"/>
        </w:tabs>
        <w:spacing w:line="360" w:lineRule="auto"/>
        <w:ind w:left="357"/>
        <w:contextualSpacing w:val="0"/>
        <w:jc w:val="both"/>
        <w:rPr>
          <w:rFonts w:ascii="David" w:hAnsi="David" w:cs="David"/>
        </w:rPr>
      </w:pPr>
      <w:r>
        <w:rPr>
          <w:rFonts w:ascii="David" w:hAnsi="David" w:cs="David" w:hint="cs"/>
          <w:rtl/>
        </w:rPr>
        <w:t xml:space="preserve">לטענת החברה הועדה המקומית אינה חולקת על כך שעלות הבניה הציבורית גבוהה מאומדן שמאי הועדה המקומית לעלותה ואינה חולקת על כך שהחברה אינה זכאית לנכות כמס תשומות את המע"מ בגין תשלומים עבור ביצוע הבניה הציבורית. </w:t>
      </w:r>
    </w:p>
    <w:p w:rsidR="008056BF" w:rsidRDefault="008056BF" w:rsidP="00A038F8">
      <w:pPr>
        <w:pStyle w:val="a9"/>
        <w:tabs>
          <w:tab w:val="left" w:pos="1244"/>
        </w:tabs>
        <w:spacing w:line="360" w:lineRule="auto"/>
        <w:ind w:left="357"/>
        <w:contextualSpacing w:val="0"/>
        <w:jc w:val="both"/>
        <w:rPr>
          <w:rFonts w:ascii="David" w:hAnsi="David" w:cs="David"/>
          <w:rtl/>
        </w:rPr>
      </w:pPr>
      <w:r>
        <w:rPr>
          <w:rFonts w:ascii="David" w:hAnsi="David" w:cs="David" w:hint="cs"/>
          <w:rtl/>
        </w:rPr>
        <w:t>כלומר, בהסתמך על הסכם חיצוני לתכנית ובניגוד למציאות מבקשת הועדה המקומית לגבות היטל השבחה ביתר ולהתעשר על חשבון החברה.</w:t>
      </w:r>
    </w:p>
    <w:p w:rsidR="008056BF" w:rsidRDefault="008056BF" w:rsidP="00A038F8">
      <w:pPr>
        <w:pStyle w:val="a9"/>
        <w:numPr>
          <w:ilvl w:val="0"/>
          <w:numId w:val="1"/>
        </w:numPr>
        <w:tabs>
          <w:tab w:val="left" w:pos="425"/>
        </w:tabs>
        <w:spacing w:line="360" w:lineRule="auto"/>
        <w:ind w:left="357"/>
        <w:contextualSpacing w:val="0"/>
        <w:jc w:val="both"/>
        <w:rPr>
          <w:rFonts w:ascii="David" w:hAnsi="David" w:cs="David"/>
        </w:rPr>
      </w:pPr>
      <w:r>
        <w:rPr>
          <w:rFonts w:ascii="David" w:hAnsi="David" w:cs="David" w:hint="cs"/>
          <w:rtl/>
        </w:rPr>
        <w:t>מדובר בטענה לא ראויה בוודאי שהיא מועלית על ידי גוף ציבורי כדוגמת ועדה מקומית. כמו כן, אם אומדן שמאי הועדה המקומית היה גבוה מעלות הבניה הציבורית בפועל</w:t>
      </w:r>
      <w:r w:rsidR="00311A6B">
        <w:rPr>
          <w:rFonts w:ascii="David" w:hAnsi="David" w:cs="David" w:hint="cs"/>
          <w:rtl/>
        </w:rPr>
        <w:t xml:space="preserve">, </w:t>
      </w:r>
      <w:r>
        <w:rPr>
          <w:rFonts w:ascii="David" w:hAnsi="David" w:cs="David" w:hint="cs"/>
          <w:rtl/>
        </w:rPr>
        <w:t xml:space="preserve">לא </w:t>
      </w:r>
      <w:proofErr w:type="spellStart"/>
      <w:r>
        <w:rPr>
          <w:rFonts w:ascii="David" w:hAnsi="David" w:cs="David" w:hint="cs"/>
          <w:rtl/>
        </w:rPr>
        <w:t>היתה</w:t>
      </w:r>
      <w:proofErr w:type="spellEnd"/>
      <w:r>
        <w:rPr>
          <w:rFonts w:ascii="David" w:hAnsi="David" w:cs="David" w:hint="cs"/>
          <w:rtl/>
        </w:rPr>
        <w:t xml:space="preserve"> הועדה המקומית מערערת על החלטת השמאית המכריעה להתחשב בעלות הבניה האמיתית. </w:t>
      </w:r>
    </w:p>
    <w:p w:rsidR="008056BF" w:rsidRDefault="008056BF" w:rsidP="00A038F8">
      <w:pPr>
        <w:pStyle w:val="a9"/>
        <w:numPr>
          <w:ilvl w:val="0"/>
          <w:numId w:val="1"/>
        </w:numPr>
        <w:tabs>
          <w:tab w:val="left" w:pos="425"/>
        </w:tabs>
        <w:spacing w:line="360" w:lineRule="auto"/>
        <w:ind w:left="357"/>
        <w:contextualSpacing w:val="0"/>
        <w:jc w:val="both"/>
        <w:rPr>
          <w:rFonts w:ascii="David" w:hAnsi="David" w:cs="David"/>
        </w:rPr>
      </w:pPr>
      <w:r w:rsidRPr="002C4987">
        <w:rPr>
          <w:rFonts w:ascii="David" w:hAnsi="David" w:cs="David" w:hint="cs"/>
          <w:rtl/>
        </w:rPr>
        <w:t>לא יכול להיות חולק כי ביצ</w:t>
      </w:r>
      <w:r>
        <w:rPr>
          <w:rFonts w:ascii="David" w:hAnsi="David" w:cs="David" w:hint="cs"/>
          <w:rtl/>
        </w:rPr>
        <w:t>וע</w:t>
      </w:r>
      <w:r w:rsidRPr="002C4987">
        <w:rPr>
          <w:rFonts w:ascii="David" w:hAnsi="David" w:cs="David" w:hint="cs"/>
          <w:rtl/>
        </w:rPr>
        <w:t xml:space="preserve"> הבניה הציבורית משפיע על הערכת שווים האובייקטיבי של המקרקעין בהתאם לאומדן עלות ביצוען בפועל (ולא בהתאם לאומדן שמאי הועדה המקומית) ובתוספת מע"מ.</w:t>
      </w:r>
    </w:p>
    <w:p w:rsidR="007628D6" w:rsidRDefault="007628D6" w:rsidP="00CD4258">
      <w:pPr>
        <w:pStyle w:val="a9"/>
        <w:tabs>
          <w:tab w:val="left" w:pos="425"/>
        </w:tabs>
        <w:spacing w:line="360" w:lineRule="auto"/>
        <w:ind w:left="357"/>
        <w:contextualSpacing w:val="0"/>
        <w:jc w:val="both"/>
        <w:rPr>
          <w:rFonts w:ascii="David" w:hAnsi="David" w:cs="David"/>
        </w:rPr>
      </w:pPr>
    </w:p>
    <w:p w:rsidR="008056BF" w:rsidRDefault="008056BF" w:rsidP="00A038F8">
      <w:pPr>
        <w:pStyle w:val="a9"/>
        <w:numPr>
          <w:ilvl w:val="0"/>
          <w:numId w:val="1"/>
        </w:numPr>
        <w:tabs>
          <w:tab w:val="left" w:pos="425"/>
        </w:tabs>
        <w:spacing w:line="360" w:lineRule="auto"/>
        <w:ind w:left="357"/>
        <w:contextualSpacing w:val="0"/>
        <w:jc w:val="both"/>
        <w:rPr>
          <w:rFonts w:ascii="David" w:hAnsi="David" w:cs="David"/>
        </w:rPr>
      </w:pPr>
      <w:r w:rsidRPr="002C4987">
        <w:rPr>
          <w:rFonts w:ascii="David" w:hAnsi="David" w:cs="David" w:hint="cs"/>
          <w:rtl/>
        </w:rPr>
        <w:t xml:space="preserve">החברה מפנה לערר </w:t>
      </w:r>
      <w:r>
        <w:rPr>
          <w:rFonts w:ascii="David" w:hAnsi="David" w:cs="David" w:hint="cs"/>
          <w:rtl/>
        </w:rPr>
        <w:t>שרה פרטוש</w:t>
      </w:r>
      <w:r w:rsidRPr="002C4987">
        <w:rPr>
          <w:rFonts w:ascii="David" w:hAnsi="David" w:cs="David" w:hint="cs"/>
          <w:rtl/>
        </w:rPr>
        <w:t xml:space="preserve"> (8092/21) בו נקבע כי יש להפחית את שווי ביצוע המטלה הציבורית משווי המקרקעין במצב החדש למרות קיומה של הוראות הפקעה בתכנית המשביחה. זאת לאור התנהלותה השגרתית של הועדה המקומית אשר מבטלת דה פקטו את חובתה לבצע הפקעה ולשלם פיצויים עבור ההשקעה במחוברים על ידי חיוב יזמים לוותר על תביעות פיצויים.</w:t>
      </w:r>
    </w:p>
    <w:p w:rsidR="00B56CE3" w:rsidRDefault="00B56CE3" w:rsidP="00A038F8">
      <w:pPr>
        <w:pStyle w:val="a9"/>
        <w:numPr>
          <w:ilvl w:val="0"/>
          <w:numId w:val="1"/>
        </w:numPr>
        <w:tabs>
          <w:tab w:val="left" w:pos="425"/>
        </w:tabs>
        <w:spacing w:line="360" w:lineRule="auto"/>
        <w:ind w:left="357"/>
        <w:contextualSpacing w:val="0"/>
        <w:jc w:val="both"/>
        <w:rPr>
          <w:rFonts w:ascii="David" w:hAnsi="David" w:cs="David"/>
        </w:rPr>
      </w:pPr>
      <w:r>
        <w:rPr>
          <w:rFonts w:ascii="David" w:hAnsi="David" w:cs="David" w:hint="cs"/>
          <w:rtl/>
        </w:rPr>
        <w:t xml:space="preserve">לנוכח כל האמור דין טענת הועדה המקומית להידחות. </w:t>
      </w:r>
    </w:p>
    <w:p w:rsidR="00795817" w:rsidRDefault="00795817" w:rsidP="008056BF">
      <w:pPr>
        <w:tabs>
          <w:tab w:val="left" w:pos="1244"/>
        </w:tabs>
        <w:spacing w:line="360" w:lineRule="auto"/>
        <w:jc w:val="both"/>
        <w:rPr>
          <w:rFonts w:ascii="David" w:hAnsi="David" w:cs="David"/>
          <w:b/>
          <w:bCs/>
          <w:u w:val="thick"/>
          <w:rtl/>
        </w:rPr>
      </w:pPr>
    </w:p>
    <w:p w:rsidR="008056BF" w:rsidRDefault="008056BF" w:rsidP="008056BF">
      <w:pPr>
        <w:tabs>
          <w:tab w:val="left" w:pos="1244"/>
        </w:tabs>
        <w:spacing w:line="360" w:lineRule="auto"/>
        <w:jc w:val="both"/>
        <w:rPr>
          <w:rFonts w:ascii="David" w:hAnsi="David" w:cs="David"/>
          <w:b/>
          <w:bCs/>
          <w:u w:val="thick"/>
          <w:rtl/>
        </w:rPr>
      </w:pPr>
      <w:r w:rsidRPr="004B30C1">
        <w:rPr>
          <w:rFonts w:ascii="David" w:hAnsi="David" w:cs="David" w:hint="cs"/>
          <w:b/>
          <w:bCs/>
          <w:u w:val="thick"/>
          <w:rtl/>
        </w:rPr>
        <w:t xml:space="preserve">דיון והכרעה </w:t>
      </w:r>
    </w:p>
    <w:p w:rsidR="002E4289" w:rsidRDefault="002E4289" w:rsidP="00A038F8">
      <w:pPr>
        <w:pStyle w:val="a9"/>
        <w:numPr>
          <w:ilvl w:val="0"/>
          <w:numId w:val="1"/>
        </w:numPr>
        <w:tabs>
          <w:tab w:val="left" w:pos="425"/>
        </w:tabs>
        <w:spacing w:line="360" w:lineRule="auto"/>
        <w:ind w:left="357" w:hanging="357"/>
        <w:contextualSpacing w:val="0"/>
        <w:jc w:val="both"/>
        <w:rPr>
          <w:rFonts w:ascii="David" w:hAnsi="David" w:cs="David"/>
        </w:rPr>
      </w:pPr>
      <w:r>
        <w:rPr>
          <w:rFonts w:ascii="David" w:hAnsi="David" w:cs="David" w:hint="cs"/>
          <w:rtl/>
        </w:rPr>
        <w:t xml:space="preserve">כפי שציינו לעיל בעניין מקדם סיכון להתכלות תכנית, </w:t>
      </w:r>
      <w:r w:rsidRPr="000334EC">
        <w:rPr>
          <w:rFonts w:ascii="David" w:hAnsi="David" w:cs="David" w:hint="cs"/>
          <w:rtl/>
        </w:rPr>
        <w:t xml:space="preserve">בחינת ההשבחה נעשית למועד "אירוע המס" הוא המועד הקובע ובעניינינו מועד אישור התכנית ועל כן אין נפקות לאירועים שהתרחשו לאחר המועד הקובע. </w:t>
      </w:r>
    </w:p>
    <w:p w:rsidR="00795817" w:rsidRPr="002E4289" w:rsidRDefault="002E4289" w:rsidP="00A038F8">
      <w:pPr>
        <w:pStyle w:val="a9"/>
        <w:numPr>
          <w:ilvl w:val="0"/>
          <w:numId w:val="1"/>
        </w:numPr>
        <w:tabs>
          <w:tab w:val="left" w:pos="425"/>
        </w:tabs>
        <w:spacing w:line="360" w:lineRule="auto"/>
        <w:ind w:hanging="357"/>
        <w:contextualSpacing w:val="0"/>
        <w:jc w:val="both"/>
        <w:rPr>
          <w:rFonts w:ascii="David" w:hAnsi="David" w:cs="David"/>
        </w:rPr>
      </w:pPr>
      <w:r w:rsidRPr="002E4289">
        <w:rPr>
          <w:rFonts w:ascii="David" w:hAnsi="David" w:cs="David" w:hint="cs"/>
          <w:rtl/>
        </w:rPr>
        <w:t xml:space="preserve">לטעמנו הנחה זאת רלוונטית והדין זהה </w:t>
      </w:r>
      <w:r>
        <w:rPr>
          <w:rFonts w:ascii="David" w:hAnsi="David" w:cs="David" w:hint="cs"/>
          <w:rtl/>
        </w:rPr>
        <w:t xml:space="preserve">גם בהתייחס </w:t>
      </w:r>
      <w:r w:rsidR="000458FF" w:rsidRPr="002E4289">
        <w:rPr>
          <w:rFonts w:ascii="David" w:hAnsi="David" w:cs="David" w:hint="cs"/>
          <w:rtl/>
        </w:rPr>
        <w:t>ל</w:t>
      </w:r>
      <w:r w:rsidR="00795817" w:rsidRPr="002E4289">
        <w:rPr>
          <w:rFonts w:ascii="David" w:hAnsi="David" w:cs="David" w:hint="cs"/>
          <w:rtl/>
        </w:rPr>
        <w:t xml:space="preserve">אומדן </w:t>
      </w:r>
      <w:r w:rsidR="000458FF" w:rsidRPr="002E4289">
        <w:rPr>
          <w:rFonts w:ascii="David" w:hAnsi="David" w:cs="David" w:hint="cs"/>
          <w:rtl/>
        </w:rPr>
        <w:t>מט</w:t>
      </w:r>
      <w:r w:rsidR="00795817" w:rsidRPr="002E4289">
        <w:rPr>
          <w:rFonts w:ascii="David" w:hAnsi="David" w:cs="David" w:hint="cs"/>
          <w:rtl/>
        </w:rPr>
        <w:t>לה ציבורית</w:t>
      </w:r>
      <w:r w:rsidR="000334EC" w:rsidRPr="002E4289">
        <w:rPr>
          <w:rFonts w:ascii="David" w:hAnsi="David" w:cs="David" w:hint="cs"/>
          <w:rtl/>
        </w:rPr>
        <w:t xml:space="preserve">,  שכן </w:t>
      </w:r>
      <w:r w:rsidR="000334EC" w:rsidRPr="002E4289">
        <w:rPr>
          <w:rFonts w:ascii="David" w:hAnsi="David" w:cs="David"/>
          <w:rtl/>
        </w:rPr>
        <w:t>את שאלת ההשבחה</w:t>
      </w:r>
      <w:r w:rsidR="000334EC" w:rsidRPr="002E4289">
        <w:rPr>
          <w:rFonts w:ascii="David" w:hAnsi="David" w:cs="David" w:hint="cs"/>
          <w:rtl/>
        </w:rPr>
        <w:t xml:space="preserve"> </w:t>
      </w:r>
      <w:r w:rsidR="00BE5C61">
        <w:rPr>
          <w:rFonts w:ascii="David" w:hAnsi="David" w:cs="David" w:hint="cs"/>
          <w:rtl/>
        </w:rPr>
        <w:t xml:space="preserve">כאמור </w:t>
      </w:r>
      <w:r w:rsidR="000334EC" w:rsidRPr="002E4289">
        <w:rPr>
          <w:rFonts w:ascii="David" w:hAnsi="David" w:cs="David"/>
          <w:rtl/>
        </w:rPr>
        <w:t xml:space="preserve">יש לבחון למועד </w:t>
      </w:r>
      <w:r w:rsidR="000334EC" w:rsidRPr="002E4289">
        <w:rPr>
          <w:rFonts w:ascii="David" w:hAnsi="David" w:cs="David" w:hint="cs"/>
          <w:rtl/>
        </w:rPr>
        <w:t xml:space="preserve">הקובע בו אושר האקט המשביח </w:t>
      </w:r>
      <w:r w:rsidR="004E149D" w:rsidRPr="004E149D">
        <w:rPr>
          <w:rFonts w:ascii="David" w:hAnsi="David" w:cs="David"/>
          <w:rtl/>
        </w:rPr>
        <w:t>ובעניינ</w:t>
      </w:r>
      <w:r w:rsidR="004E149D">
        <w:rPr>
          <w:rFonts w:ascii="David" w:hAnsi="David" w:cs="David" w:hint="cs"/>
          <w:rtl/>
        </w:rPr>
        <w:t>נ</w:t>
      </w:r>
      <w:r w:rsidR="004E149D" w:rsidRPr="004E149D">
        <w:rPr>
          <w:rFonts w:ascii="David" w:hAnsi="David" w:cs="David"/>
          <w:rtl/>
        </w:rPr>
        <w:t>ו</w:t>
      </w:r>
      <w:r w:rsidR="000334EC" w:rsidRPr="002E4289">
        <w:rPr>
          <w:rFonts w:ascii="David" w:hAnsi="David" w:cs="David" w:hint="cs"/>
          <w:rtl/>
        </w:rPr>
        <w:t xml:space="preserve"> התכנית,</w:t>
      </w:r>
      <w:r w:rsidR="000334EC" w:rsidRPr="002E4289">
        <w:rPr>
          <w:rFonts w:ascii="David" w:hAnsi="David" w:cs="David"/>
          <w:rtl/>
        </w:rPr>
        <w:t xml:space="preserve"> על פי שיטת המדרגות כפי שנקבע בעניין ע"א 4217/04 </w:t>
      </w:r>
      <w:r w:rsidR="000334EC" w:rsidRPr="002E4289">
        <w:rPr>
          <w:rFonts w:ascii="David" w:hAnsi="David" w:cs="David"/>
          <w:b/>
          <w:bCs/>
          <w:u w:val="single"/>
          <w:rtl/>
        </w:rPr>
        <w:t xml:space="preserve">ציון </w:t>
      </w:r>
      <w:proofErr w:type="spellStart"/>
      <w:r w:rsidR="000334EC" w:rsidRPr="002E4289">
        <w:rPr>
          <w:rFonts w:ascii="David" w:hAnsi="David" w:cs="David"/>
          <w:b/>
          <w:bCs/>
          <w:u w:val="single"/>
          <w:rtl/>
        </w:rPr>
        <w:t>פמיני</w:t>
      </w:r>
      <w:proofErr w:type="spellEnd"/>
      <w:r w:rsidR="000334EC" w:rsidRPr="002E4289">
        <w:rPr>
          <w:rFonts w:ascii="David" w:hAnsi="David" w:cs="David"/>
          <w:b/>
          <w:bCs/>
          <w:u w:val="single"/>
          <w:rtl/>
        </w:rPr>
        <w:t xml:space="preserve"> נ' הועדה המקומית לתכנון ובניה ירושלים</w:t>
      </w:r>
      <w:r w:rsidR="000334EC" w:rsidRPr="002E4289">
        <w:rPr>
          <w:rFonts w:ascii="David" w:hAnsi="David" w:cs="David"/>
          <w:rtl/>
        </w:rPr>
        <w:t>, (נבו, 22.10.06)</w:t>
      </w:r>
      <w:r w:rsidR="000334EC" w:rsidRPr="002E4289">
        <w:rPr>
          <w:rFonts w:ascii="David" w:hAnsi="David" w:cs="David" w:hint="cs"/>
          <w:rtl/>
        </w:rPr>
        <w:t xml:space="preserve"> </w:t>
      </w:r>
      <w:r w:rsidR="00795817" w:rsidRPr="002E4289">
        <w:rPr>
          <w:rFonts w:ascii="David" w:hAnsi="David" w:cs="David" w:hint="cs"/>
          <w:rtl/>
        </w:rPr>
        <w:t>ולא בהתאם להסכמים שנחת</w:t>
      </w:r>
      <w:r w:rsidR="00901044" w:rsidRPr="002E4289">
        <w:rPr>
          <w:rFonts w:ascii="David" w:hAnsi="David" w:cs="David" w:hint="cs"/>
          <w:rtl/>
        </w:rPr>
        <w:t>מו</w:t>
      </w:r>
      <w:r w:rsidR="00795817" w:rsidRPr="002E4289">
        <w:rPr>
          <w:rFonts w:ascii="David" w:hAnsi="David" w:cs="David" w:hint="cs"/>
          <w:rtl/>
        </w:rPr>
        <w:t xml:space="preserve"> מספר שנים לאחר המועד הקובע.  </w:t>
      </w:r>
    </w:p>
    <w:p w:rsidR="00672545" w:rsidRDefault="00672545" w:rsidP="00A038F8">
      <w:pPr>
        <w:pStyle w:val="a9"/>
        <w:numPr>
          <w:ilvl w:val="0"/>
          <w:numId w:val="1"/>
        </w:numPr>
        <w:tabs>
          <w:tab w:val="left" w:pos="425"/>
        </w:tabs>
        <w:spacing w:line="360" w:lineRule="auto"/>
        <w:ind w:hanging="357"/>
        <w:contextualSpacing w:val="0"/>
        <w:jc w:val="both"/>
        <w:rPr>
          <w:rFonts w:ascii="David" w:hAnsi="David" w:cs="David"/>
        </w:rPr>
      </w:pPr>
      <w:r w:rsidRPr="00672545">
        <w:rPr>
          <w:rFonts w:ascii="David" w:hAnsi="David" w:cs="David" w:hint="cs"/>
          <w:rtl/>
        </w:rPr>
        <w:t>לשון אחר,</w:t>
      </w:r>
      <w:r w:rsidR="000334EC">
        <w:rPr>
          <w:rFonts w:ascii="David" w:hAnsi="David" w:cs="David" w:hint="cs"/>
          <w:rtl/>
        </w:rPr>
        <w:t xml:space="preserve"> על ההשבחה להיעשות </w:t>
      </w:r>
      <w:r w:rsidR="008056BF" w:rsidRPr="000334EC">
        <w:rPr>
          <w:rFonts w:ascii="David" w:hAnsi="David" w:cs="David" w:hint="cs"/>
          <w:rtl/>
        </w:rPr>
        <w:t>לפי הערכת שווי אובייקטיבי לפי כל המידע שיש</w:t>
      </w:r>
      <w:r w:rsidR="00795817" w:rsidRPr="000334EC">
        <w:rPr>
          <w:rFonts w:ascii="David" w:hAnsi="David" w:cs="David" w:hint="cs"/>
          <w:rtl/>
        </w:rPr>
        <w:t xml:space="preserve"> לקונה סביר</w:t>
      </w:r>
      <w:r w:rsidR="008056BF" w:rsidRPr="000334EC">
        <w:rPr>
          <w:rFonts w:ascii="David" w:hAnsi="David" w:cs="David" w:hint="cs"/>
          <w:rtl/>
        </w:rPr>
        <w:t xml:space="preserve"> במועד הקוב</w:t>
      </w:r>
      <w:r w:rsidRPr="000334EC">
        <w:rPr>
          <w:rFonts w:ascii="David" w:hAnsi="David" w:cs="David" w:hint="cs"/>
          <w:rtl/>
        </w:rPr>
        <w:t xml:space="preserve">ע והעובדה שבשלב מאוחר יותר נחתם הסכם חוזי בין הצדדים </w:t>
      </w:r>
      <w:r w:rsidR="000334EC">
        <w:rPr>
          <w:rFonts w:ascii="David" w:hAnsi="David" w:cs="David" w:hint="cs"/>
          <w:rtl/>
        </w:rPr>
        <w:t xml:space="preserve">או ארעה התנהלות ממושכת, </w:t>
      </w:r>
      <w:r w:rsidRPr="000334EC">
        <w:rPr>
          <w:rFonts w:ascii="David" w:hAnsi="David" w:cs="David" w:hint="cs"/>
          <w:rtl/>
        </w:rPr>
        <w:t>אין בה כדי לאיין את בחינת השווי למועד קובע.</w:t>
      </w:r>
    </w:p>
    <w:p w:rsidR="000334EC" w:rsidRPr="00901044" w:rsidRDefault="000334EC" w:rsidP="00A038F8">
      <w:pPr>
        <w:pStyle w:val="a9"/>
        <w:numPr>
          <w:ilvl w:val="0"/>
          <w:numId w:val="1"/>
        </w:numPr>
        <w:tabs>
          <w:tab w:val="left" w:pos="425"/>
        </w:tabs>
        <w:spacing w:line="360" w:lineRule="auto"/>
        <w:ind w:hanging="357"/>
        <w:contextualSpacing w:val="0"/>
        <w:jc w:val="both"/>
        <w:rPr>
          <w:rFonts w:ascii="David" w:hAnsi="David" w:cs="David"/>
          <w:u w:val="single"/>
        </w:rPr>
      </w:pPr>
      <w:r w:rsidRPr="00901044">
        <w:rPr>
          <w:rFonts w:ascii="David" w:hAnsi="David" w:cs="David"/>
          <w:rtl/>
        </w:rPr>
        <w:t xml:space="preserve">ר' </w:t>
      </w:r>
      <w:r>
        <w:rPr>
          <w:rFonts w:ascii="David" w:hAnsi="David" w:cs="David" w:hint="cs"/>
          <w:rtl/>
        </w:rPr>
        <w:t xml:space="preserve">עוד לעניין זה </w:t>
      </w:r>
      <w:r w:rsidRPr="00901044">
        <w:rPr>
          <w:rFonts w:ascii="David" w:hAnsi="David" w:cs="David"/>
          <w:rtl/>
        </w:rPr>
        <w:t xml:space="preserve">ערר </w:t>
      </w:r>
      <w:r>
        <w:rPr>
          <w:rFonts w:ascii="David" w:hAnsi="David" w:cs="David" w:hint="cs"/>
          <w:rtl/>
        </w:rPr>
        <w:t xml:space="preserve">תא- </w:t>
      </w:r>
      <w:r w:rsidRPr="00901044">
        <w:rPr>
          <w:rFonts w:ascii="David" w:hAnsi="David" w:cs="David"/>
          <w:rtl/>
        </w:rPr>
        <w:t xml:space="preserve">81077-07-21 </w:t>
      </w:r>
      <w:r w:rsidRPr="00A80EBF">
        <w:rPr>
          <w:rFonts w:ascii="David" w:hAnsi="David" w:cs="David"/>
          <w:b/>
          <w:bCs/>
          <w:u w:val="single"/>
          <w:rtl/>
        </w:rPr>
        <w:t>הוועדה המקומית לתכנון ולבניה תל אביב נ' אברהם כספי ז"ל</w:t>
      </w:r>
      <w:r w:rsidRPr="00A80EBF">
        <w:rPr>
          <w:rFonts w:ascii="David" w:hAnsi="David" w:cs="David" w:hint="cs"/>
          <w:rtl/>
        </w:rPr>
        <w:t xml:space="preserve"> (נבו 19.8.24) </w:t>
      </w:r>
      <w:r w:rsidR="00EA090E">
        <w:rPr>
          <w:rFonts w:ascii="David" w:hAnsi="David" w:cs="David" w:hint="cs"/>
          <w:rtl/>
        </w:rPr>
        <w:t xml:space="preserve">(להלן </w:t>
      </w:r>
      <w:r w:rsidR="00EA090E">
        <w:rPr>
          <w:rFonts w:ascii="David" w:hAnsi="David" w:cs="David"/>
          <w:rtl/>
        </w:rPr>
        <w:t>–</w:t>
      </w:r>
      <w:r w:rsidR="00EA090E">
        <w:rPr>
          <w:rFonts w:ascii="David" w:hAnsi="David" w:cs="David" w:hint="cs"/>
          <w:rtl/>
        </w:rPr>
        <w:t xml:space="preserve"> "</w:t>
      </w:r>
      <w:r w:rsidR="00EA090E" w:rsidRPr="00EA090E">
        <w:rPr>
          <w:rFonts w:ascii="David" w:hAnsi="David" w:cs="David" w:hint="cs"/>
          <w:b/>
          <w:bCs/>
          <w:rtl/>
        </w:rPr>
        <w:t>אברהם כספי</w:t>
      </w:r>
      <w:r w:rsidR="00EA090E">
        <w:rPr>
          <w:rFonts w:ascii="David" w:hAnsi="David" w:cs="David" w:hint="cs"/>
          <w:rtl/>
        </w:rPr>
        <w:t>")</w:t>
      </w:r>
      <w:r w:rsidR="00D77C12">
        <w:rPr>
          <w:rStyle w:val="af9"/>
          <w:rFonts w:ascii="David" w:hAnsi="David" w:cs="David"/>
          <w:rtl/>
        </w:rPr>
        <w:footnoteReference w:id="9"/>
      </w:r>
      <w:r w:rsidR="00EA090E">
        <w:rPr>
          <w:rFonts w:ascii="David" w:hAnsi="David" w:cs="David" w:hint="cs"/>
          <w:rtl/>
        </w:rPr>
        <w:t xml:space="preserve">. </w:t>
      </w:r>
      <w:r w:rsidRPr="00A80EBF">
        <w:rPr>
          <w:rFonts w:ascii="David" w:hAnsi="David" w:cs="David" w:hint="cs"/>
          <w:rtl/>
        </w:rPr>
        <w:t xml:space="preserve">כן ר' </w:t>
      </w:r>
      <w:r w:rsidRPr="00A80EBF">
        <w:rPr>
          <w:rFonts w:ascii="David" w:hAnsi="David" w:cs="David"/>
          <w:rtl/>
        </w:rPr>
        <w:t>ערר</w:t>
      </w:r>
      <w:r w:rsidRPr="00A80EBF">
        <w:rPr>
          <w:rFonts w:ascii="David" w:hAnsi="David" w:cs="David" w:hint="cs"/>
          <w:rtl/>
        </w:rPr>
        <w:t xml:space="preserve"> תא-</w:t>
      </w:r>
      <w:r w:rsidRPr="00A80EBF">
        <w:rPr>
          <w:rFonts w:ascii="David" w:hAnsi="David" w:cs="David"/>
          <w:rtl/>
        </w:rPr>
        <w:t xml:space="preserve"> 85090-17</w:t>
      </w:r>
      <w:r w:rsidRPr="00A80EBF">
        <w:rPr>
          <w:rFonts w:ascii="David" w:hAnsi="David" w:cs="David"/>
          <w:u w:val="single"/>
          <w:rtl/>
        </w:rPr>
        <w:t xml:space="preserve"> </w:t>
      </w:r>
      <w:r w:rsidRPr="00A80EBF">
        <w:rPr>
          <w:rFonts w:ascii="David" w:hAnsi="David" w:cs="David"/>
          <w:b/>
          <w:bCs/>
          <w:u w:val="single"/>
          <w:rtl/>
        </w:rPr>
        <w:t>שרה קרול רפיח נ' הוועדה המקומית לתכנון ובניה הרצליה</w:t>
      </w:r>
      <w:r>
        <w:rPr>
          <w:rFonts w:ascii="David" w:hAnsi="David" w:cs="David" w:hint="cs"/>
          <w:u w:val="single"/>
          <w:rtl/>
        </w:rPr>
        <w:t xml:space="preserve"> </w:t>
      </w:r>
      <w:r w:rsidRPr="00A80EBF">
        <w:rPr>
          <w:rFonts w:ascii="David" w:hAnsi="David" w:cs="David" w:hint="cs"/>
          <w:rtl/>
        </w:rPr>
        <w:t>(נבו</w:t>
      </w:r>
      <w:r>
        <w:rPr>
          <w:rFonts w:ascii="David" w:hAnsi="David" w:cs="David" w:hint="cs"/>
          <w:u w:val="single"/>
          <w:rtl/>
        </w:rPr>
        <w:t xml:space="preserve"> </w:t>
      </w:r>
      <w:r w:rsidRPr="00A80EBF">
        <w:rPr>
          <w:rFonts w:ascii="David" w:hAnsi="David" w:cs="David" w:hint="cs"/>
          <w:rtl/>
        </w:rPr>
        <w:t xml:space="preserve">26.5.2020). </w:t>
      </w:r>
    </w:p>
    <w:p w:rsidR="00672545" w:rsidRDefault="000334EC" w:rsidP="00A038F8">
      <w:pPr>
        <w:pStyle w:val="a9"/>
        <w:numPr>
          <w:ilvl w:val="0"/>
          <w:numId w:val="1"/>
        </w:numPr>
        <w:tabs>
          <w:tab w:val="left" w:pos="425"/>
        </w:tabs>
        <w:spacing w:line="360" w:lineRule="auto"/>
        <w:ind w:hanging="357"/>
        <w:contextualSpacing w:val="0"/>
        <w:jc w:val="both"/>
        <w:rPr>
          <w:rFonts w:ascii="David" w:hAnsi="David" w:cs="David"/>
        </w:rPr>
      </w:pPr>
      <w:r>
        <w:rPr>
          <w:rFonts w:ascii="David" w:hAnsi="David" w:cs="David" w:hint="cs"/>
          <w:rtl/>
        </w:rPr>
        <w:t>לאור האמור,</w:t>
      </w:r>
      <w:r w:rsidR="00672545">
        <w:rPr>
          <w:rFonts w:ascii="David" w:hAnsi="David" w:cs="David" w:hint="cs"/>
          <w:rtl/>
        </w:rPr>
        <w:t xml:space="preserve"> </w:t>
      </w:r>
      <w:r w:rsidR="00795817" w:rsidRPr="00672545">
        <w:rPr>
          <w:rFonts w:ascii="David" w:hAnsi="David" w:cs="David" w:hint="cs"/>
          <w:rtl/>
        </w:rPr>
        <w:t xml:space="preserve">אנו סבורים שדין טענת הועדה המקומית </w:t>
      </w:r>
      <w:r w:rsidR="00901044" w:rsidRPr="00672545">
        <w:rPr>
          <w:rFonts w:ascii="David" w:hAnsi="David" w:cs="David" w:hint="cs"/>
          <w:rtl/>
        </w:rPr>
        <w:t>כנגד קביעת השמאית המכריעה בעניין אומדן המטלה הציבורית</w:t>
      </w:r>
      <w:r w:rsidR="00187C7B">
        <w:rPr>
          <w:rFonts w:ascii="David" w:hAnsi="David" w:cs="David" w:hint="cs"/>
          <w:rtl/>
        </w:rPr>
        <w:t xml:space="preserve"> להידחות</w:t>
      </w:r>
      <w:r>
        <w:rPr>
          <w:rFonts w:ascii="David" w:hAnsi="David" w:cs="David" w:hint="cs"/>
          <w:rtl/>
        </w:rPr>
        <w:t>.</w:t>
      </w:r>
    </w:p>
    <w:p w:rsidR="002E4289" w:rsidRDefault="009D4A14" w:rsidP="00A038F8">
      <w:pPr>
        <w:pStyle w:val="a9"/>
        <w:numPr>
          <w:ilvl w:val="0"/>
          <w:numId w:val="1"/>
        </w:numPr>
        <w:tabs>
          <w:tab w:val="left" w:pos="425"/>
        </w:tabs>
        <w:spacing w:line="360" w:lineRule="auto"/>
        <w:ind w:hanging="357"/>
        <w:contextualSpacing w:val="0"/>
        <w:jc w:val="both"/>
        <w:rPr>
          <w:rFonts w:ascii="David" w:hAnsi="David" w:cs="David"/>
        </w:rPr>
      </w:pPr>
      <w:r w:rsidRPr="00901044">
        <w:rPr>
          <w:rFonts w:ascii="David" w:hAnsi="David" w:cs="David" w:hint="cs"/>
          <w:rtl/>
        </w:rPr>
        <w:t>כמו כן ולעניין המע"מ עולה</w:t>
      </w:r>
      <w:r w:rsidR="002E4289">
        <w:rPr>
          <w:rFonts w:ascii="David" w:hAnsi="David" w:cs="David" w:hint="cs"/>
          <w:rtl/>
        </w:rPr>
        <w:t>,</w:t>
      </w:r>
      <w:r w:rsidRPr="00901044">
        <w:rPr>
          <w:rFonts w:ascii="David" w:hAnsi="David" w:cs="David" w:hint="cs"/>
          <w:rtl/>
        </w:rPr>
        <w:t xml:space="preserve"> כי השמאית המכריעה כללה בחישוב עלות המטרה הציבורית גם את המע"מ</w:t>
      </w:r>
      <w:r w:rsidR="002E4289">
        <w:rPr>
          <w:rFonts w:ascii="David" w:hAnsi="David" w:cs="David" w:hint="cs"/>
          <w:rtl/>
        </w:rPr>
        <w:t>.</w:t>
      </w:r>
    </w:p>
    <w:p w:rsidR="00311A6B" w:rsidRPr="00901044" w:rsidRDefault="00311A6B" w:rsidP="00A038F8">
      <w:pPr>
        <w:pStyle w:val="a9"/>
        <w:numPr>
          <w:ilvl w:val="0"/>
          <w:numId w:val="1"/>
        </w:numPr>
        <w:tabs>
          <w:tab w:val="left" w:pos="425"/>
        </w:tabs>
        <w:spacing w:line="360" w:lineRule="auto"/>
        <w:ind w:hanging="357"/>
        <w:contextualSpacing w:val="0"/>
        <w:jc w:val="both"/>
        <w:rPr>
          <w:rFonts w:ascii="David" w:hAnsi="David" w:cs="David"/>
        </w:rPr>
      </w:pPr>
      <w:r w:rsidRPr="00901044">
        <w:rPr>
          <w:rFonts w:ascii="David" w:hAnsi="David" w:cs="David" w:hint="cs"/>
          <w:rtl/>
        </w:rPr>
        <w:t>אנו סבורים כי גם בכך לא נפלה כל טעות בשומות המכריעות</w:t>
      </w:r>
      <w:r w:rsidR="00203CBF">
        <w:rPr>
          <w:rFonts w:ascii="David" w:hAnsi="David" w:cs="David" w:hint="cs"/>
          <w:rtl/>
        </w:rPr>
        <w:t>,</w:t>
      </w:r>
      <w:r w:rsidR="003B7E91" w:rsidRPr="00901044">
        <w:rPr>
          <w:rFonts w:ascii="David" w:hAnsi="David" w:cs="David" w:hint="cs"/>
          <w:rtl/>
        </w:rPr>
        <w:t xml:space="preserve"> נוכח הפסיקה בעניין לפיה מטלות ציבוריות מסוג זה </w:t>
      </w:r>
      <w:proofErr w:type="spellStart"/>
      <w:r w:rsidR="003B7E91" w:rsidRPr="00901044">
        <w:rPr>
          <w:rFonts w:ascii="David" w:hAnsi="David" w:cs="David" w:hint="cs"/>
          <w:rtl/>
        </w:rPr>
        <w:t>מחוייבות</w:t>
      </w:r>
      <w:proofErr w:type="spellEnd"/>
      <w:r w:rsidR="003B7E91" w:rsidRPr="00901044">
        <w:rPr>
          <w:rFonts w:ascii="David" w:hAnsi="David" w:cs="David" w:hint="cs"/>
          <w:rtl/>
        </w:rPr>
        <w:t xml:space="preserve"> במע"מ ומשכך</w:t>
      </w:r>
      <w:r w:rsidR="002E4289">
        <w:rPr>
          <w:rFonts w:ascii="David" w:hAnsi="David" w:cs="David" w:hint="cs"/>
          <w:rtl/>
        </w:rPr>
        <w:t>,</w:t>
      </w:r>
      <w:r w:rsidR="003B7E91" w:rsidRPr="00901044">
        <w:rPr>
          <w:rFonts w:ascii="David" w:hAnsi="David" w:cs="David" w:hint="cs"/>
          <w:rtl/>
        </w:rPr>
        <w:t xml:space="preserve"> לטעמנו צדקה השמאית המכריעה עת הביאה אותן בחשבון. </w:t>
      </w:r>
    </w:p>
    <w:p w:rsidR="003B7E91" w:rsidRDefault="00311A6B" w:rsidP="00A038F8">
      <w:pPr>
        <w:pStyle w:val="a9"/>
        <w:numPr>
          <w:ilvl w:val="0"/>
          <w:numId w:val="1"/>
        </w:numPr>
        <w:tabs>
          <w:tab w:val="left" w:pos="425"/>
        </w:tabs>
        <w:spacing w:line="360" w:lineRule="auto"/>
        <w:ind w:hanging="357"/>
        <w:contextualSpacing w:val="0"/>
        <w:jc w:val="both"/>
        <w:rPr>
          <w:rFonts w:ascii="David" w:hAnsi="David" w:cs="David"/>
        </w:rPr>
      </w:pPr>
      <w:r w:rsidRPr="00901044">
        <w:rPr>
          <w:rFonts w:ascii="David" w:hAnsi="David" w:cs="David" w:hint="cs"/>
          <w:rtl/>
        </w:rPr>
        <w:t>כתמיכה ל</w:t>
      </w:r>
      <w:r w:rsidR="00203CBF">
        <w:rPr>
          <w:rFonts w:ascii="David" w:hAnsi="David" w:cs="David" w:hint="cs"/>
          <w:rtl/>
        </w:rPr>
        <w:t>קביעתנו</w:t>
      </w:r>
      <w:r w:rsidRPr="00901044">
        <w:rPr>
          <w:rFonts w:ascii="David" w:hAnsi="David" w:cs="David" w:hint="cs"/>
          <w:rtl/>
        </w:rPr>
        <w:t xml:space="preserve"> נתכבד להפנות לפסק דינו של בית המשפט המחוזי בתל אביב בעניין </w:t>
      </w:r>
      <w:proofErr w:type="spellStart"/>
      <w:r w:rsidRPr="00901044">
        <w:rPr>
          <w:rFonts w:ascii="David" w:hAnsi="David" w:cs="David" w:hint="cs"/>
          <w:rtl/>
        </w:rPr>
        <w:t>עמ</w:t>
      </w:r>
      <w:proofErr w:type="spellEnd"/>
      <w:r w:rsidRPr="00901044">
        <w:rPr>
          <w:rFonts w:ascii="David" w:hAnsi="David" w:cs="David" w:hint="cs"/>
          <w:rtl/>
        </w:rPr>
        <w:t xml:space="preserve"> (ת"א) 62970-03-22 </w:t>
      </w:r>
      <w:r w:rsidRPr="00203CBF">
        <w:rPr>
          <w:rFonts w:ascii="David" w:hAnsi="David" w:cs="David" w:hint="cs"/>
          <w:b/>
          <w:bCs/>
          <w:u w:val="single"/>
          <w:rtl/>
        </w:rPr>
        <w:t>אאורה השקעות בע"מ נ' מנהל מס ערך מוסף תל אביב מרכז</w:t>
      </w:r>
      <w:r>
        <w:rPr>
          <w:rFonts w:ascii="David" w:hAnsi="David" w:cs="David" w:hint="cs"/>
          <w:rtl/>
        </w:rPr>
        <w:t xml:space="preserve"> (</w:t>
      </w:r>
      <w:r w:rsidR="00203CBF">
        <w:rPr>
          <w:rFonts w:ascii="David" w:hAnsi="David" w:cs="David" w:hint="cs"/>
          <w:rtl/>
        </w:rPr>
        <w:t>נבו 13.2.2025</w:t>
      </w:r>
      <w:r>
        <w:rPr>
          <w:rFonts w:ascii="David" w:hAnsi="David" w:cs="David" w:hint="cs"/>
          <w:rtl/>
        </w:rPr>
        <w:t xml:space="preserve">) מפי כב' השופטת ירדנה סרוסי שם קבע בית המשפט </w:t>
      </w:r>
      <w:r w:rsidR="003B7E91">
        <w:rPr>
          <w:rFonts w:ascii="David" w:hAnsi="David" w:cs="David" w:hint="cs"/>
          <w:rtl/>
        </w:rPr>
        <w:t xml:space="preserve">הנכבד </w:t>
      </w:r>
      <w:r>
        <w:rPr>
          <w:rFonts w:ascii="David" w:hAnsi="David" w:cs="David" w:hint="cs"/>
          <w:rtl/>
        </w:rPr>
        <w:t xml:space="preserve">כי </w:t>
      </w:r>
      <w:r w:rsidRPr="003B7E91">
        <w:rPr>
          <w:rFonts w:ascii="David" w:hAnsi="David" w:cs="David" w:hint="cs"/>
          <w:b/>
          <w:bCs/>
          <w:rtl/>
        </w:rPr>
        <w:t>עבודות שונות שבצעה המערערת עבור העירייה מהוות "עסקה" לפי חוק מס ערך מוסף ועל כך חייבות בתשלום מס עסקאות</w:t>
      </w:r>
      <w:r>
        <w:rPr>
          <w:rFonts w:ascii="David" w:hAnsi="David" w:cs="David" w:hint="cs"/>
          <w:rtl/>
        </w:rPr>
        <w:t xml:space="preserve">. </w:t>
      </w:r>
    </w:p>
    <w:p w:rsidR="00311A6B" w:rsidRDefault="00311A6B" w:rsidP="00A038F8">
      <w:pPr>
        <w:pStyle w:val="a9"/>
        <w:numPr>
          <w:ilvl w:val="0"/>
          <w:numId w:val="1"/>
        </w:numPr>
        <w:tabs>
          <w:tab w:val="left" w:pos="425"/>
        </w:tabs>
        <w:spacing w:line="360" w:lineRule="auto"/>
        <w:ind w:hanging="357"/>
        <w:contextualSpacing w:val="0"/>
        <w:jc w:val="both"/>
        <w:rPr>
          <w:rFonts w:ascii="David" w:hAnsi="David" w:cs="David"/>
        </w:rPr>
      </w:pPr>
      <w:r>
        <w:rPr>
          <w:rFonts w:ascii="David" w:hAnsi="David" w:cs="David" w:hint="cs"/>
          <w:rtl/>
        </w:rPr>
        <w:t xml:space="preserve">כן ר' החלטת ביניים בערר </w:t>
      </w:r>
      <w:proofErr w:type="spellStart"/>
      <w:r>
        <w:rPr>
          <w:rFonts w:ascii="David" w:hAnsi="David" w:cs="David" w:hint="cs"/>
          <w:rtl/>
        </w:rPr>
        <w:t>בב</w:t>
      </w:r>
      <w:proofErr w:type="spellEnd"/>
      <w:r>
        <w:rPr>
          <w:rFonts w:ascii="David" w:hAnsi="David" w:cs="David" w:hint="cs"/>
          <w:rtl/>
        </w:rPr>
        <w:t xml:space="preserve">/85039/0324 </w:t>
      </w:r>
      <w:r w:rsidRPr="00311A6B">
        <w:rPr>
          <w:rFonts w:ascii="David" w:hAnsi="David" w:cs="David" w:hint="cs"/>
          <w:b/>
          <w:bCs/>
          <w:u w:val="single"/>
          <w:rtl/>
        </w:rPr>
        <w:t>טובה הבר ואח' נ' הועדה המקומית לתכנון ולבניה בני ברק</w:t>
      </w:r>
      <w:r>
        <w:rPr>
          <w:rFonts w:ascii="David" w:hAnsi="David" w:cs="David" w:hint="cs"/>
          <w:rtl/>
        </w:rPr>
        <w:t xml:space="preserve"> (13.3.25) מפי כב' היו"ר רויטל </w:t>
      </w:r>
      <w:proofErr w:type="spellStart"/>
      <w:r>
        <w:rPr>
          <w:rFonts w:ascii="David" w:hAnsi="David" w:cs="David" w:hint="cs"/>
          <w:rtl/>
        </w:rPr>
        <w:t>אפלבוים</w:t>
      </w:r>
      <w:proofErr w:type="spellEnd"/>
      <w:r>
        <w:rPr>
          <w:rFonts w:ascii="David" w:hAnsi="David" w:cs="David" w:hint="cs"/>
          <w:rtl/>
        </w:rPr>
        <w:t xml:space="preserve"> שם נקבע בין היתר</w:t>
      </w:r>
      <w:r w:rsidR="00203CBF">
        <w:rPr>
          <w:rFonts w:ascii="David" w:hAnsi="David" w:cs="David" w:hint="cs"/>
          <w:rtl/>
        </w:rPr>
        <w:t xml:space="preserve"> על בסיס הפסיקה כי אכן הקמת מבנה ציבור עבור רשות מקומית מהווה עסקה החייבת במע"מ ו</w:t>
      </w:r>
      <w:r w:rsidR="002E4289">
        <w:rPr>
          <w:rFonts w:ascii="David" w:hAnsi="David" w:cs="David" w:hint="cs"/>
          <w:rtl/>
        </w:rPr>
        <w:t xml:space="preserve">בנוסף </w:t>
      </w:r>
      <w:r w:rsidR="00203CBF">
        <w:rPr>
          <w:rFonts w:ascii="David" w:hAnsi="David" w:cs="David" w:hint="cs"/>
          <w:rtl/>
        </w:rPr>
        <w:t xml:space="preserve">שליזם אין אפשרות קיזוז בגינו </w:t>
      </w:r>
      <w:proofErr w:type="spellStart"/>
      <w:r w:rsidR="00203CBF">
        <w:rPr>
          <w:rFonts w:ascii="David" w:hAnsi="David" w:cs="David" w:hint="cs"/>
          <w:rtl/>
        </w:rPr>
        <w:t>וכדלקמן</w:t>
      </w:r>
      <w:proofErr w:type="spellEnd"/>
      <w:r w:rsidR="00203CBF">
        <w:rPr>
          <w:rFonts w:ascii="David" w:hAnsi="David" w:cs="David" w:hint="cs"/>
          <w:rtl/>
        </w:rPr>
        <w:t>:</w:t>
      </w:r>
    </w:p>
    <w:p w:rsidR="00311A6B" w:rsidRPr="00A038F8" w:rsidRDefault="00311A6B" w:rsidP="00311A6B">
      <w:pPr>
        <w:pStyle w:val="a9"/>
        <w:tabs>
          <w:tab w:val="left" w:pos="425"/>
        </w:tabs>
        <w:spacing w:line="360" w:lineRule="auto"/>
        <w:ind w:left="992" w:right="1276"/>
        <w:jc w:val="both"/>
        <w:rPr>
          <w:rFonts w:ascii="David" w:hAnsi="David" w:cs="David"/>
          <w:b/>
          <w:bCs/>
          <w:i/>
          <w:iCs/>
        </w:rPr>
      </w:pPr>
      <w:r w:rsidRPr="00A038F8">
        <w:rPr>
          <w:rFonts w:ascii="David" w:hAnsi="David" w:cs="David"/>
          <w:b/>
          <w:bCs/>
          <w:i/>
          <w:iCs/>
          <w:rtl/>
        </w:rPr>
        <w:t>"עלות הקמת שטחי ציבור – נוכח העבודה כי בפס</w:t>
      </w:r>
      <w:r w:rsidR="003B7E91" w:rsidRPr="00A038F8">
        <w:rPr>
          <w:rFonts w:ascii="David" w:hAnsi="David" w:cs="David" w:hint="eastAsia"/>
          <w:b/>
          <w:bCs/>
          <w:i/>
          <w:iCs/>
          <w:rtl/>
        </w:rPr>
        <w:t>י</w:t>
      </w:r>
      <w:r w:rsidRPr="00A038F8">
        <w:rPr>
          <w:rFonts w:ascii="David" w:hAnsi="David" w:cs="David" w:hint="eastAsia"/>
          <w:b/>
          <w:bCs/>
          <w:i/>
          <w:iCs/>
          <w:rtl/>
        </w:rPr>
        <w:t>קה</w:t>
      </w:r>
      <w:r w:rsidRPr="00A038F8">
        <w:rPr>
          <w:rFonts w:ascii="David" w:hAnsi="David" w:cs="David"/>
          <w:b/>
          <w:bCs/>
          <w:i/>
          <w:iCs/>
          <w:rtl/>
        </w:rPr>
        <w:t xml:space="preserve"> קיימת נקבע כי הקמת מבנה ציבור עבור רשות מקומית מהווה עסקה החייבת מע"מ, אשר ליזם אין אפשרות קיזוז בגינו, אנו סבורים כי עלות הקמת מבנה ציבור בתחשיב ההשבחה צריכה לכלול מע"מ"</w:t>
      </w:r>
    </w:p>
    <w:p w:rsidR="00B56CE3" w:rsidRPr="002E4289" w:rsidRDefault="00B56CE3" w:rsidP="002E4289">
      <w:pPr>
        <w:pStyle w:val="a9"/>
        <w:numPr>
          <w:ilvl w:val="0"/>
          <w:numId w:val="1"/>
        </w:numPr>
        <w:tabs>
          <w:tab w:val="left" w:pos="425"/>
        </w:tabs>
        <w:spacing w:line="360" w:lineRule="auto"/>
        <w:jc w:val="both"/>
        <w:rPr>
          <w:rFonts w:ascii="David" w:hAnsi="David" w:cs="David"/>
        </w:rPr>
      </w:pPr>
      <w:r>
        <w:rPr>
          <w:rFonts w:ascii="David" w:hAnsi="David" w:cs="David" w:hint="cs"/>
          <w:rtl/>
        </w:rPr>
        <w:t xml:space="preserve">לסיכום האמור, </w:t>
      </w:r>
      <w:r w:rsidRPr="002C4987">
        <w:rPr>
          <w:rFonts w:ascii="David" w:hAnsi="David" w:cs="David" w:hint="cs"/>
          <w:rtl/>
        </w:rPr>
        <w:t xml:space="preserve">השמאית המכריעה פעלה כנדרש ובהתאם לדין כשהעריכה את עלות הבניה הציבורית </w:t>
      </w:r>
      <w:r>
        <w:rPr>
          <w:rFonts w:ascii="David" w:hAnsi="David" w:cs="David" w:hint="cs"/>
          <w:rtl/>
        </w:rPr>
        <w:t>נכון למועד הקובע</w:t>
      </w:r>
      <w:r w:rsidR="002E4289">
        <w:rPr>
          <w:rFonts w:ascii="David" w:hAnsi="David" w:cs="David" w:hint="cs"/>
          <w:rtl/>
        </w:rPr>
        <w:t xml:space="preserve"> (</w:t>
      </w:r>
      <w:r w:rsidR="002E4289" w:rsidRPr="002E4289">
        <w:rPr>
          <w:rFonts w:ascii="David" w:hAnsi="David" w:cs="David" w:hint="cs"/>
          <w:rtl/>
        </w:rPr>
        <w:t xml:space="preserve">ולא בהתאם לאירועים עתידיים </w:t>
      </w:r>
      <w:r w:rsidR="002E4289">
        <w:rPr>
          <w:rFonts w:ascii="David" w:hAnsi="David" w:cs="David" w:hint="cs"/>
          <w:rtl/>
        </w:rPr>
        <w:t>שיתרחשו לאחר המועד הקובע)</w:t>
      </w:r>
      <w:r w:rsidRPr="002E4289">
        <w:rPr>
          <w:rFonts w:ascii="David" w:hAnsi="David" w:cs="David" w:hint="cs"/>
          <w:rtl/>
        </w:rPr>
        <w:t xml:space="preserve"> וגם </w:t>
      </w:r>
      <w:r w:rsidR="002E4289" w:rsidRPr="002E4289">
        <w:rPr>
          <w:rFonts w:ascii="David" w:hAnsi="David" w:cs="David" w:hint="cs"/>
          <w:rtl/>
        </w:rPr>
        <w:t xml:space="preserve">צדקה </w:t>
      </w:r>
      <w:r w:rsidR="002E4289">
        <w:rPr>
          <w:rFonts w:ascii="David" w:hAnsi="David" w:cs="David" w:hint="cs"/>
          <w:rtl/>
        </w:rPr>
        <w:t>עת כללה את המע"מ</w:t>
      </w:r>
      <w:r w:rsidR="00203CBF" w:rsidRPr="002E4289">
        <w:rPr>
          <w:rFonts w:ascii="David" w:hAnsi="David" w:cs="David" w:hint="cs"/>
          <w:rtl/>
        </w:rPr>
        <w:t xml:space="preserve"> שלא ניתן כאמור להתקזז בגינו</w:t>
      </w:r>
      <w:r w:rsidRPr="002E4289">
        <w:rPr>
          <w:rFonts w:ascii="David" w:hAnsi="David" w:cs="David" w:hint="cs"/>
          <w:rtl/>
        </w:rPr>
        <w:t xml:space="preserve">. </w:t>
      </w:r>
      <w:r w:rsidR="002E4289">
        <w:rPr>
          <w:rFonts w:ascii="David" w:hAnsi="David" w:cs="David" w:hint="cs"/>
          <w:rtl/>
        </w:rPr>
        <w:t xml:space="preserve"> נוכח האמור נראה כי </w:t>
      </w:r>
      <w:r w:rsidRPr="002E4289">
        <w:rPr>
          <w:rFonts w:ascii="David" w:hAnsi="David" w:cs="David" w:hint="cs"/>
          <w:rtl/>
        </w:rPr>
        <w:t xml:space="preserve">הועדה המקומית </w:t>
      </w:r>
      <w:r w:rsidR="002E4289">
        <w:rPr>
          <w:rFonts w:ascii="David" w:hAnsi="David" w:cs="David" w:hint="cs"/>
          <w:rtl/>
        </w:rPr>
        <w:t>לא ה</w:t>
      </w:r>
      <w:r w:rsidRPr="002E4289">
        <w:rPr>
          <w:rFonts w:ascii="David" w:hAnsi="David" w:cs="David" w:hint="cs"/>
          <w:rtl/>
        </w:rPr>
        <w:t>צביעה על פגם או טעות בהכרעה בנושאים אלה</w:t>
      </w:r>
      <w:r w:rsidR="00203CBF" w:rsidRPr="002E4289">
        <w:rPr>
          <w:rFonts w:ascii="David" w:hAnsi="David" w:cs="David" w:hint="cs"/>
          <w:rtl/>
        </w:rPr>
        <w:t>,</w:t>
      </w:r>
      <w:r w:rsidRPr="002E4289">
        <w:rPr>
          <w:rFonts w:ascii="David" w:hAnsi="David" w:cs="David" w:hint="cs"/>
          <w:rtl/>
        </w:rPr>
        <w:t xml:space="preserve"> לפיכך דין הטענה בעניין עלות המטלה הציבורית והמע"מ להידחות.</w:t>
      </w:r>
    </w:p>
    <w:p w:rsidR="00781926" w:rsidRDefault="00781926" w:rsidP="00805CB1">
      <w:pPr>
        <w:tabs>
          <w:tab w:val="left" w:pos="142"/>
        </w:tabs>
        <w:spacing w:line="360" w:lineRule="auto"/>
        <w:jc w:val="both"/>
        <w:rPr>
          <w:rFonts w:ascii="David" w:hAnsi="David" w:cs="David"/>
          <w:b/>
          <w:bCs/>
          <w:sz w:val="28"/>
          <w:szCs w:val="28"/>
          <w:u w:val="single"/>
          <w:rtl/>
        </w:rPr>
      </w:pPr>
    </w:p>
    <w:p w:rsidR="00023F4C" w:rsidRPr="0008237A" w:rsidRDefault="00232DBC" w:rsidP="00A038F8">
      <w:pPr>
        <w:pStyle w:val="2"/>
        <w:spacing w:line="360" w:lineRule="auto"/>
      </w:pPr>
      <w:bookmarkStart w:id="33" w:name="_Toc203992516"/>
      <w:bookmarkStart w:id="34" w:name="_Toc204504398"/>
      <w:r>
        <w:rPr>
          <w:rFonts w:hint="cs"/>
          <w:rtl/>
        </w:rPr>
        <w:t>ד</w:t>
      </w:r>
      <w:r w:rsidR="00023F4C" w:rsidRPr="0008237A">
        <w:rPr>
          <w:rFonts w:hint="cs"/>
          <w:rtl/>
        </w:rPr>
        <w:t>. טעות בחישוב שווי הפטור בגין שיקום שכונות ללא מרכיב הממ"דים באומדן השבחה בגי</w:t>
      </w:r>
      <w:r w:rsidR="00187C7B">
        <w:rPr>
          <w:rFonts w:hint="cs"/>
          <w:rtl/>
        </w:rPr>
        <w:t xml:space="preserve">ן </w:t>
      </w:r>
      <w:r w:rsidR="00023F4C" w:rsidRPr="0008237A">
        <w:rPr>
          <w:rFonts w:hint="cs"/>
          <w:rtl/>
        </w:rPr>
        <w:t>תכניות בי/517,</w:t>
      </w:r>
      <w:r w:rsidR="00805CB1" w:rsidRPr="0008237A">
        <w:rPr>
          <w:rFonts w:hint="cs"/>
          <w:rtl/>
        </w:rPr>
        <w:t xml:space="preserve"> </w:t>
      </w:r>
      <w:r w:rsidR="00023F4C" w:rsidRPr="0008237A">
        <w:rPr>
          <w:rFonts w:hint="cs"/>
          <w:rtl/>
        </w:rPr>
        <w:t>בי/1/517, והקלות.</w:t>
      </w:r>
      <w:bookmarkEnd w:id="33"/>
      <w:bookmarkEnd w:id="34"/>
      <w:r w:rsidR="00023F4C" w:rsidRPr="0008237A">
        <w:rPr>
          <w:rFonts w:hint="cs"/>
          <w:rtl/>
        </w:rPr>
        <w:t xml:space="preserve"> </w:t>
      </w:r>
    </w:p>
    <w:p w:rsidR="00023F4C" w:rsidRPr="004B30C1" w:rsidRDefault="00023F4C" w:rsidP="00023F4C">
      <w:pPr>
        <w:spacing w:line="360" w:lineRule="auto"/>
        <w:jc w:val="both"/>
        <w:rPr>
          <w:rFonts w:ascii="David" w:hAnsi="David" w:cs="David"/>
          <w:u w:val="thick"/>
        </w:rPr>
      </w:pPr>
      <w:r w:rsidRPr="004B30C1">
        <w:rPr>
          <w:rFonts w:ascii="David" w:hAnsi="David" w:cs="David" w:hint="cs"/>
          <w:u w:val="thick"/>
          <w:rtl/>
        </w:rPr>
        <w:t xml:space="preserve">טיעון הועדה המקומית </w:t>
      </w:r>
    </w:p>
    <w:p w:rsidR="00023F4C" w:rsidRPr="00221799" w:rsidRDefault="00023F4C" w:rsidP="00023F4C">
      <w:pPr>
        <w:pStyle w:val="a9"/>
        <w:numPr>
          <w:ilvl w:val="0"/>
          <w:numId w:val="1"/>
        </w:numPr>
        <w:tabs>
          <w:tab w:val="left" w:pos="425"/>
        </w:tabs>
        <w:spacing w:line="360" w:lineRule="auto"/>
        <w:jc w:val="both"/>
        <w:rPr>
          <w:rFonts w:ascii="David" w:hAnsi="David" w:cs="David"/>
        </w:rPr>
      </w:pPr>
      <w:r w:rsidRPr="00221799">
        <w:rPr>
          <w:rFonts w:ascii="David" w:hAnsi="David" w:cs="David" w:hint="cs"/>
          <w:rtl/>
        </w:rPr>
        <w:t xml:space="preserve">הועדה המקומית טוענת שבאומדן ההשבחה </w:t>
      </w:r>
      <w:r w:rsidR="00013DD7">
        <w:rPr>
          <w:rFonts w:ascii="David" w:hAnsi="David" w:cs="David" w:hint="cs"/>
          <w:rtl/>
        </w:rPr>
        <w:t xml:space="preserve">הן </w:t>
      </w:r>
      <w:r w:rsidRPr="00221799">
        <w:rPr>
          <w:rFonts w:ascii="David" w:hAnsi="David" w:cs="David" w:hint="cs"/>
          <w:rtl/>
        </w:rPr>
        <w:t xml:space="preserve">בגין </w:t>
      </w:r>
      <w:r>
        <w:rPr>
          <w:rFonts w:ascii="David" w:hAnsi="David" w:cs="David" w:hint="cs"/>
          <w:rtl/>
        </w:rPr>
        <w:t>התכניות המשביחות וה</w:t>
      </w:r>
      <w:r w:rsidR="00013DD7">
        <w:rPr>
          <w:rFonts w:ascii="David" w:hAnsi="David" w:cs="David" w:hint="cs"/>
          <w:rtl/>
        </w:rPr>
        <w:t>ן בגין ה</w:t>
      </w:r>
      <w:r>
        <w:rPr>
          <w:rFonts w:ascii="David" w:hAnsi="David" w:cs="David" w:hint="cs"/>
          <w:rtl/>
        </w:rPr>
        <w:t>הקלה</w:t>
      </w:r>
      <w:r w:rsidRPr="00221799">
        <w:rPr>
          <w:rFonts w:ascii="David" w:hAnsi="David" w:cs="David" w:hint="cs"/>
          <w:rtl/>
        </w:rPr>
        <w:t xml:space="preserve"> טעתה השמאית המכריעה בחישוב פטור בגין שיקום שכונות ללא מרכיב הממ"דים. זאת מאחר ושווי המגרש שנלקח בחשבון לצורך החישוב אינו כולל את מרכיב הממ"דים ואילו סך שווי זכויות הבעלים שנלקח בחשבון כולל את שווי מרכיב הממ"דים. בהתאמה, לעמדת הועדה המקומית חישוב נכון צריך להביא בחשבון </w:t>
      </w:r>
      <w:r w:rsidR="00013DD7">
        <w:rPr>
          <w:rFonts w:ascii="David" w:hAnsi="David" w:cs="David" w:hint="cs"/>
          <w:rtl/>
        </w:rPr>
        <w:t xml:space="preserve">הן </w:t>
      </w:r>
      <w:r>
        <w:rPr>
          <w:rFonts w:ascii="David" w:hAnsi="David" w:cs="David" w:hint="cs"/>
          <w:rtl/>
        </w:rPr>
        <w:t>בתכניות המשביחות ו</w:t>
      </w:r>
      <w:r w:rsidR="00013DD7">
        <w:rPr>
          <w:rFonts w:ascii="David" w:hAnsi="David" w:cs="David" w:hint="cs"/>
          <w:rtl/>
        </w:rPr>
        <w:t xml:space="preserve">הן </w:t>
      </w:r>
      <w:r>
        <w:rPr>
          <w:rFonts w:ascii="David" w:hAnsi="David" w:cs="David" w:hint="cs"/>
          <w:rtl/>
        </w:rPr>
        <w:t xml:space="preserve">בהקלות </w:t>
      </w:r>
      <w:r w:rsidRPr="00221799">
        <w:rPr>
          <w:rFonts w:ascii="David" w:hAnsi="David" w:cs="David" w:hint="cs"/>
          <w:rtl/>
        </w:rPr>
        <w:t>שווי זכויות ללא מרכיב הממ"דים גם במונה וגם במכנה, דהיינו</w:t>
      </w:r>
      <w:r w:rsidR="00013DD7">
        <w:rPr>
          <w:rFonts w:ascii="David" w:hAnsi="David" w:cs="David" w:hint="cs"/>
          <w:rtl/>
        </w:rPr>
        <w:t>,</w:t>
      </w:r>
      <w:r w:rsidRPr="00221799">
        <w:rPr>
          <w:rFonts w:ascii="David" w:hAnsi="David" w:cs="David" w:hint="cs"/>
          <w:rtl/>
        </w:rPr>
        <w:t xml:space="preserve"> גם בסך שווי המגרש וגם בסך שווי זכויות הבעלים בתוך המגרש. </w:t>
      </w:r>
    </w:p>
    <w:p w:rsidR="00023F4C" w:rsidRPr="004B30C1" w:rsidRDefault="00023F4C" w:rsidP="00023F4C">
      <w:pPr>
        <w:spacing w:line="360" w:lineRule="auto"/>
        <w:jc w:val="both"/>
        <w:rPr>
          <w:rFonts w:ascii="David" w:hAnsi="David" w:cs="David"/>
          <w:u w:val="thick"/>
          <w:rtl/>
        </w:rPr>
      </w:pPr>
      <w:r w:rsidRPr="004B30C1">
        <w:rPr>
          <w:rFonts w:ascii="David" w:hAnsi="David" w:cs="David" w:hint="cs"/>
          <w:u w:val="thick"/>
          <w:rtl/>
        </w:rPr>
        <w:t xml:space="preserve">תשובת החברה </w:t>
      </w:r>
    </w:p>
    <w:p w:rsidR="00652E42" w:rsidRDefault="00652E42" w:rsidP="00A038F8">
      <w:pPr>
        <w:pStyle w:val="a9"/>
        <w:numPr>
          <w:ilvl w:val="0"/>
          <w:numId w:val="1"/>
        </w:numPr>
        <w:tabs>
          <w:tab w:val="left" w:pos="425"/>
        </w:tabs>
        <w:spacing w:line="360" w:lineRule="auto"/>
        <w:ind w:left="357" w:hanging="357"/>
        <w:contextualSpacing w:val="0"/>
        <w:jc w:val="both"/>
        <w:rPr>
          <w:rFonts w:ascii="David" w:hAnsi="David" w:cs="David"/>
        </w:rPr>
      </w:pPr>
      <w:r>
        <w:rPr>
          <w:rFonts w:ascii="David" w:hAnsi="David" w:cs="David" w:hint="cs"/>
          <w:rtl/>
        </w:rPr>
        <w:t xml:space="preserve">טענה זו של הועדה המקומית אינה על עצם מתן הפטור לדירות הבעלים בגין שיקום שכונות אלא על אופן חישובו. </w:t>
      </w:r>
    </w:p>
    <w:p w:rsidR="00652E42" w:rsidRDefault="00652E42" w:rsidP="00A038F8">
      <w:pPr>
        <w:pStyle w:val="a9"/>
        <w:numPr>
          <w:ilvl w:val="0"/>
          <w:numId w:val="1"/>
        </w:numPr>
        <w:tabs>
          <w:tab w:val="left" w:pos="425"/>
        </w:tabs>
        <w:spacing w:line="360" w:lineRule="auto"/>
        <w:ind w:left="357" w:hanging="357"/>
        <w:contextualSpacing w:val="0"/>
        <w:jc w:val="both"/>
        <w:rPr>
          <w:rFonts w:ascii="David" w:hAnsi="David" w:cs="David"/>
        </w:rPr>
      </w:pPr>
      <w:r>
        <w:rPr>
          <w:rFonts w:ascii="David" w:hAnsi="David" w:cs="David" w:hint="cs"/>
          <w:rtl/>
        </w:rPr>
        <w:t xml:space="preserve">מדובר בטענה </w:t>
      </w:r>
      <w:r w:rsidR="001000F6">
        <w:rPr>
          <w:rFonts w:ascii="David" w:hAnsi="David" w:cs="David" w:hint="cs"/>
          <w:rtl/>
        </w:rPr>
        <w:t xml:space="preserve">שגויה </w:t>
      </w:r>
      <w:r>
        <w:rPr>
          <w:rFonts w:ascii="David" w:hAnsi="David" w:cs="David" w:hint="cs"/>
          <w:rtl/>
        </w:rPr>
        <w:t>ומטעה.</w:t>
      </w:r>
    </w:p>
    <w:p w:rsidR="00023F4C" w:rsidRDefault="00023F4C" w:rsidP="00A038F8">
      <w:pPr>
        <w:pStyle w:val="a9"/>
        <w:numPr>
          <w:ilvl w:val="0"/>
          <w:numId w:val="1"/>
        </w:numPr>
        <w:tabs>
          <w:tab w:val="left" w:pos="425"/>
        </w:tabs>
        <w:spacing w:line="360" w:lineRule="auto"/>
        <w:ind w:left="357" w:hanging="357"/>
        <w:contextualSpacing w:val="0"/>
        <w:jc w:val="both"/>
        <w:rPr>
          <w:rFonts w:ascii="David" w:hAnsi="David" w:cs="David"/>
        </w:rPr>
      </w:pPr>
      <w:r w:rsidRPr="00221799">
        <w:rPr>
          <w:rFonts w:ascii="David" w:hAnsi="David" w:cs="David" w:hint="cs"/>
          <w:rtl/>
        </w:rPr>
        <w:t>השמאית המכריעה קבעה כי יובא בחשבון פטור שיקום שכונות לדירות הבעלים בלבד ופטור מהיטל השבחה ביחס לכלל הממ"דים. למרות זאת, השמאית המכריעה כללה בשומות המכריעות, גם תחשיב חלופי, במסגרתו הובא בחשבון פטור מהיטל השבחה רק ביחס לממ"דים של דירות הבעלים.</w:t>
      </w:r>
    </w:p>
    <w:p w:rsidR="00023F4C" w:rsidRDefault="00023F4C" w:rsidP="00A038F8">
      <w:pPr>
        <w:pStyle w:val="a9"/>
        <w:numPr>
          <w:ilvl w:val="0"/>
          <w:numId w:val="1"/>
        </w:numPr>
        <w:tabs>
          <w:tab w:val="left" w:pos="425"/>
        </w:tabs>
        <w:spacing w:line="360" w:lineRule="auto"/>
        <w:ind w:left="357" w:hanging="357"/>
        <w:contextualSpacing w:val="0"/>
        <w:jc w:val="both"/>
        <w:rPr>
          <w:rFonts w:ascii="David" w:hAnsi="David" w:cs="David"/>
        </w:rPr>
      </w:pPr>
      <w:r w:rsidRPr="00221799">
        <w:rPr>
          <w:rFonts w:ascii="David" w:hAnsi="David" w:cs="David" w:hint="cs"/>
          <w:rtl/>
        </w:rPr>
        <w:t>החברה טוענת כי בניגוד לאמור בערר הועדה המקומית, שווי דירות הבעלים אינו משתנה ואינו אמור להשתנות בשני התחשיבים הנ"ל. אין כל בסיס לטענת הועדה המקומית שבחישוב החלופי הנ"ל צריך להביא את שווי דירות הבעלים ללא מרכיב הממ"דים. בשני התחשיבים שווי המצב החדש של דירות התמורה הינו זהה וכולל גם את שווי הממ"דים של דירות הבעלים (הפטור מהיטל השבחה). מאחר ובין התחשיבים יש שוני בשווי המגרש במצב החדש (שכן בתחשיב אחד נלקח בחשבון גם שווי הממ"דים של דירות הקבלן ובתחשיב השני שווי זה לא נלקח בחשבון) התוצאה הינה שהחלק היחסי של דירות הבעלים משתנה בין שני התחשיבים.</w:t>
      </w:r>
      <w:r w:rsidR="00652E42">
        <w:rPr>
          <w:rFonts w:ascii="David" w:hAnsi="David" w:cs="David" w:hint="cs"/>
          <w:rtl/>
        </w:rPr>
        <w:t xml:space="preserve"> </w:t>
      </w:r>
      <w:r w:rsidRPr="00652E42">
        <w:rPr>
          <w:rFonts w:ascii="David" w:hAnsi="David" w:cs="David" w:hint="cs"/>
          <w:rtl/>
        </w:rPr>
        <w:t>כלומר</w:t>
      </w:r>
      <w:r w:rsidR="00013DD7" w:rsidRPr="00652E42">
        <w:rPr>
          <w:rFonts w:ascii="David" w:hAnsi="David" w:cs="David" w:hint="cs"/>
          <w:rtl/>
        </w:rPr>
        <w:t>,</w:t>
      </w:r>
      <w:r w:rsidRPr="00652E42">
        <w:rPr>
          <w:rFonts w:ascii="David" w:hAnsi="David" w:cs="David" w:hint="cs"/>
          <w:rtl/>
        </w:rPr>
        <w:t xml:space="preserve"> לא מדובר בשגגה אלא בתוצאה מכך שהשוני בין התחשיבים קיים רק בשאלת חיוב /אי חיוב בהיטל השבחה בגין הממ"דים של דירות הקבלן. </w:t>
      </w:r>
    </w:p>
    <w:p w:rsidR="00652E42" w:rsidRPr="00652E42" w:rsidRDefault="00652E42" w:rsidP="00A038F8">
      <w:pPr>
        <w:pStyle w:val="a9"/>
        <w:numPr>
          <w:ilvl w:val="0"/>
          <w:numId w:val="1"/>
        </w:numPr>
        <w:tabs>
          <w:tab w:val="left" w:pos="425"/>
        </w:tabs>
        <w:spacing w:line="360" w:lineRule="auto"/>
        <w:ind w:left="357" w:hanging="357"/>
        <w:contextualSpacing w:val="0"/>
        <w:jc w:val="both"/>
        <w:rPr>
          <w:rFonts w:ascii="David" w:hAnsi="David" w:cs="David"/>
          <w:rtl/>
        </w:rPr>
      </w:pPr>
      <w:r>
        <w:rPr>
          <w:rFonts w:ascii="David" w:hAnsi="David" w:cs="David" w:hint="cs"/>
          <w:rtl/>
        </w:rPr>
        <w:t xml:space="preserve">לאור האמור סבורה החברה כי דין טענת הועדה המקומית על טעות בחישובים הנ"ל, להידחות. </w:t>
      </w:r>
    </w:p>
    <w:p w:rsidR="007628D6" w:rsidRDefault="007628D6" w:rsidP="00023F4C">
      <w:pPr>
        <w:tabs>
          <w:tab w:val="left" w:pos="1244"/>
        </w:tabs>
        <w:spacing w:line="360" w:lineRule="auto"/>
        <w:jc w:val="both"/>
        <w:rPr>
          <w:rFonts w:ascii="David" w:hAnsi="David" w:cs="David"/>
          <w:b/>
          <w:bCs/>
          <w:u w:val="thick"/>
          <w:rtl/>
        </w:rPr>
      </w:pPr>
    </w:p>
    <w:p w:rsidR="007628D6" w:rsidRDefault="007628D6" w:rsidP="00023F4C">
      <w:pPr>
        <w:tabs>
          <w:tab w:val="left" w:pos="1244"/>
        </w:tabs>
        <w:spacing w:line="360" w:lineRule="auto"/>
        <w:jc w:val="both"/>
        <w:rPr>
          <w:rFonts w:ascii="David" w:hAnsi="David" w:cs="David"/>
          <w:b/>
          <w:bCs/>
          <w:u w:val="thick"/>
          <w:rtl/>
        </w:rPr>
      </w:pPr>
    </w:p>
    <w:p w:rsidR="00023F4C" w:rsidRDefault="00710D0D" w:rsidP="00023F4C">
      <w:pPr>
        <w:tabs>
          <w:tab w:val="left" w:pos="1244"/>
        </w:tabs>
        <w:spacing w:line="360" w:lineRule="auto"/>
        <w:jc w:val="both"/>
        <w:rPr>
          <w:rFonts w:ascii="David" w:hAnsi="David" w:cs="David"/>
          <w:b/>
          <w:bCs/>
          <w:u w:val="thick"/>
          <w:rtl/>
        </w:rPr>
      </w:pPr>
      <w:r>
        <w:rPr>
          <w:rFonts w:ascii="David" w:hAnsi="David" w:cs="David"/>
          <w:b/>
          <w:bCs/>
          <w:u w:val="thick"/>
          <w:rtl/>
        </w:rPr>
        <w:br/>
      </w:r>
      <w:r w:rsidR="00023F4C" w:rsidRPr="004B30C1">
        <w:rPr>
          <w:rFonts w:ascii="David" w:hAnsi="David" w:cs="David" w:hint="cs"/>
          <w:b/>
          <w:bCs/>
          <w:u w:val="thick"/>
          <w:rtl/>
        </w:rPr>
        <w:t xml:space="preserve">דיון והכרעה </w:t>
      </w:r>
    </w:p>
    <w:p w:rsidR="00023F4C" w:rsidRDefault="00023F4C" w:rsidP="00A038F8">
      <w:pPr>
        <w:pStyle w:val="a9"/>
        <w:numPr>
          <w:ilvl w:val="0"/>
          <w:numId w:val="1"/>
        </w:numPr>
        <w:tabs>
          <w:tab w:val="left" w:pos="425"/>
        </w:tabs>
        <w:spacing w:line="360" w:lineRule="auto"/>
        <w:ind w:left="357" w:hanging="357"/>
        <w:contextualSpacing w:val="0"/>
        <w:jc w:val="both"/>
        <w:rPr>
          <w:rFonts w:ascii="David" w:hAnsi="David" w:cs="David"/>
        </w:rPr>
      </w:pPr>
      <w:r>
        <w:rPr>
          <w:rFonts w:ascii="David" w:hAnsi="David" w:cs="David" w:hint="cs"/>
          <w:rtl/>
        </w:rPr>
        <w:t>נוכח טענת הועדה המקומית ובטרם התקיים הדיון</w:t>
      </w:r>
      <w:r w:rsidR="00672545">
        <w:rPr>
          <w:rFonts w:ascii="David" w:hAnsi="David" w:cs="David" w:hint="cs"/>
          <w:rtl/>
        </w:rPr>
        <w:t xml:space="preserve">, </w:t>
      </w:r>
      <w:r>
        <w:rPr>
          <w:rFonts w:ascii="David" w:hAnsi="David" w:cs="David" w:hint="cs"/>
          <w:rtl/>
        </w:rPr>
        <w:t xml:space="preserve">נתנה </w:t>
      </w:r>
      <w:r w:rsidR="00672545">
        <w:rPr>
          <w:rFonts w:ascii="David" w:hAnsi="David" w:cs="David" w:hint="cs"/>
          <w:rtl/>
        </w:rPr>
        <w:t xml:space="preserve">על ידנו </w:t>
      </w:r>
      <w:r>
        <w:rPr>
          <w:rFonts w:ascii="David" w:hAnsi="David" w:cs="David" w:hint="cs"/>
          <w:rtl/>
        </w:rPr>
        <w:t>החלטת ביניים ביום 13.5.2025 בה נתבקשה השמאי</w:t>
      </w:r>
      <w:r w:rsidR="00013DD7">
        <w:rPr>
          <w:rFonts w:ascii="David" w:hAnsi="David" w:cs="David" w:hint="cs"/>
          <w:rtl/>
        </w:rPr>
        <w:t>ת</w:t>
      </w:r>
      <w:r>
        <w:rPr>
          <w:rFonts w:ascii="David" w:hAnsi="David" w:cs="David" w:hint="cs"/>
          <w:rtl/>
        </w:rPr>
        <w:t xml:space="preserve"> המכריעה בין ה</w:t>
      </w:r>
      <w:r w:rsidR="00013DD7">
        <w:rPr>
          <w:rFonts w:ascii="David" w:hAnsi="David" w:cs="David" w:hint="cs"/>
          <w:rtl/>
        </w:rPr>
        <w:t>יתר</w:t>
      </w:r>
      <w:r>
        <w:rPr>
          <w:rFonts w:ascii="David" w:hAnsi="David" w:cs="David" w:hint="cs"/>
          <w:rtl/>
        </w:rPr>
        <w:t xml:space="preserve"> להבהיר כיצד הגיעה לשווים המשקפים את "שווי מצב חדש 43 דירות התמורה" (ובהתאמה למגרש האחר </w:t>
      </w:r>
      <w:r w:rsidR="00672545">
        <w:rPr>
          <w:rFonts w:ascii="David" w:hAnsi="David" w:cs="David" w:hint="cs"/>
          <w:rtl/>
        </w:rPr>
        <w:t>"שווי מצב חדש 61</w:t>
      </w:r>
      <w:r>
        <w:rPr>
          <w:rFonts w:ascii="David" w:hAnsi="David" w:cs="David" w:hint="cs"/>
          <w:rtl/>
        </w:rPr>
        <w:t xml:space="preserve"> דירות תמורה</w:t>
      </w:r>
      <w:r w:rsidR="00672545">
        <w:rPr>
          <w:rFonts w:ascii="David" w:hAnsi="David" w:cs="David" w:hint="cs"/>
          <w:rtl/>
        </w:rPr>
        <w:t>"</w:t>
      </w:r>
      <w:r>
        <w:rPr>
          <w:rFonts w:ascii="David" w:hAnsi="David" w:cs="David" w:hint="cs"/>
          <w:rtl/>
        </w:rPr>
        <w:t xml:space="preserve">) כפי שפורט בשומות המכריעות ובנוסף נתבקשה השמאית המכריעה לעדכן האם ערכי שווי אלה כוללים את רכיב שווי הממ"דים? </w:t>
      </w:r>
    </w:p>
    <w:p w:rsidR="00023F4C" w:rsidRDefault="00023F4C" w:rsidP="00A038F8">
      <w:pPr>
        <w:pStyle w:val="a9"/>
        <w:numPr>
          <w:ilvl w:val="0"/>
          <w:numId w:val="1"/>
        </w:numPr>
        <w:tabs>
          <w:tab w:val="left" w:pos="425"/>
        </w:tabs>
        <w:spacing w:line="360" w:lineRule="auto"/>
        <w:ind w:left="357" w:hanging="357"/>
        <w:contextualSpacing w:val="0"/>
        <w:jc w:val="both"/>
        <w:rPr>
          <w:rFonts w:ascii="David" w:hAnsi="David" w:cs="David"/>
        </w:rPr>
      </w:pPr>
      <w:r>
        <w:rPr>
          <w:rFonts w:ascii="David" w:hAnsi="David" w:cs="David" w:hint="cs"/>
          <w:rtl/>
        </w:rPr>
        <w:t xml:space="preserve">ביום 14.5.2025 התקבלה התייחסות השמאית המכריעה בה צרפה תחשיבים לכל סעיף מבוקש (היינו תחשיב לגבי כל מגרש בנוגע לכל מדרגת השבחה הקבועה בשומות המכריעות). וכן ציינה בין השאר כי "השווי המיוחס לדירות התמורה של הדיירים </w:t>
      </w:r>
      <w:r w:rsidRPr="0069788F">
        <w:rPr>
          <w:rFonts w:ascii="David" w:hAnsi="David" w:cs="David" w:hint="cs"/>
          <w:u w:val="single"/>
          <w:rtl/>
        </w:rPr>
        <w:t xml:space="preserve">אינו </w:t>
      </w:r>
      <w:r>
        <w:rPr>
          <w:rFonts w:ascii="David" w:hAnsi="David" w:cs="David" w:hint="cs"/>
          <w:rtl/>
        </w:rPr>
        <w:t xml:space="preserve">כולל את רכיב הממ"ד כמפורט בטבלאות המצורפות". (להלן </w:t>
      </w:r>
      <w:r>
        <w:rPr>
          <w:rFonts w:ascii="David" w:hAnsi="David" w:cs="David"/>
          <w:rtl/>
        </w:rPr>
        <w:t>–</w:t>
      </w:r>
      <w:r>
        <w:rPr>
          <w:rFonts w:ascii="David" w:hAnsi="David" w:cs="David" w:hint="cs"/>
          <w:rtl/>
        </w:rPr>
        <w:t xml:space="preserve"> "</w:t>
      </w:r>
      <w:r w:rsidR="00013DD7" w:rsidRPr="00013DD7">
        <w:rPr>
          <w:rFonts w:ascii="David" w:hAnsi="David" w:cs="David" w:hint="cs"/>
          <w:b/>
          <w:bCs/>
          <w:rtl/>
        </w:rPr>
        <w:t xml:space="preserve">מסמך </w:t>
      </w:r>
      <w:r w:rsidRPr="00013DD7">
        <w:rPr>
          <w:rFonts w:ascii="David" w:hAnsi="David" w:cs="David" w:hint="cs"/>
          <w:b/>
          <w:bCs/>
          <w:rtl/>
        </w:rPr>
        <w:t>ההבהרות</w:t>
      </w:r>
      <w:r>
        <w:rPr>
          <w:rFonts w:ascii="David" w:hAnsi="David" w:cs="David" w:hint="cs"/>
          <w:rtl/>
        </w:rPr>
        <w:t xml:space="preserve">"). </w:t>
      </w:r>
    </w:p>
    <w:p w:rsidR="00023F4C" w:rsidRDefault="00023F4C" w:rsidP="00A038F8">
      <w:pPr>
        <w:pStyle w:val="a9"/>
        <w:numPr>
          <w:ilvl w:val="0"/>
          <w:numId w:val="1"/>
        </w:numPr>
        <w:tabs>
          <w:tab w:val="left" w:pos="425"/>
        </w:tabs>
        <w:spacing w:line="360" w:lineRule="auto"/>
        <w:ind w:left="357" w:hanging="357"/>
        <w:contextualSpacing w:val="0"/>
        <w:jc w:val="both"/>
        <w:rPr>
          <w:rFonts w:ascii="David" w:hAnsi="David" w:cs="David"/>
        </w:rPr>
      </w:pPr>
      <w:r>
        <w:rPr>
          <w:rFonts w:ascii="David" w:hAnsi="David" w:cs="David" w:hint="cs"/>
          <w:rtl/>
        </w:rPr>
        <w:t>במסגרת הדיון שהתקיים בפנינו ביום 3.6.2025 הצביעה הועדה המקומית על אי התאמה בין הערכים הבסיסים למ"ר אקוויוולנט</w:t>
      </w:r>
      <w:r>
        <w:rPr>
          <w:rFonts w:ascii="David" w:hAnsi="David" w:cs="David" w:hint="eastAsia"/>
          <w:rtl/>
        </w:rPr>
        <w:t>י</w:t>
      </w:r>
      <w:r>
        <w:rPr>
          <w:rFonts w:ascii="David" w:hAnsi="David" w:cs="David" w:hint="cs"/>
          <w:rtl/>
        </w:rPr>
        <w:t xml:space="preserve"> אשר נקבעו</w:t>
      </w:r>
      <w:r w:rsidR="00672545">
        <w:rPr>
          <w:rFonts w:ascii="David" w:hAnsi="David" w:cs="David" w:hint="cs"/>
          <w:rtl/>
        </w:rPr>
        <w:t xml:space="preserve"> על ידי השמאית המכריעה </w:t>
      </w:r>
      <w:r>
        <w:rPr>
          <w:rFonts w:ascii="David" w:hAnsi="David" w:cs="David" w:hint="cs"/>
          <w:rtl/>
        </w:rPr>
        <w:t xml:space="preserve">במסמך ההבהרות </w:t>
      </w:r>
      <w:r w:rsidRPr="00326140">
        <w:rPr>
          <w:rFonts w:ascii="David" w:hAnsi="David" w:cs="David" w:hint="cs"/>
          <w:b/>
          <w:bCs/>
          <w:rtl/>
        </w:rPr>
        <w:t>לעומת</w:t>
      </w:r>
      <w:r>
        <w:rPr>
          <w:rFonts w:ascii="David" w:hAnsi="David" w:cs="David" w:hint="cs"/>
          <w:rtl/>
        </w:rPr>
        <w:t xml:space="preserve"> הערכים הבסיסיים למ"ר אקוויוולנט</w:t>
      </w:r>
      <w:r>
        <w:rPr>
          <w:rFonts w:ascii="David" w:hAnsi="David" w:cs="David" w:hint="eastAsia"/>
          <w:rtl/>
        </w:rPr>
        <w:t>י</w:t>
      </w:r>
      <w:r>
        <w:rPr>
          <w:rFonts w:ascii="David" w:hAnsi="David" w:cs="David" w:hint="cs"/>
          <w:rtl/>
        </w:rPr>
        <w:t xml:space="preserve"> אשר נקבעו </w:t>
      </w:r>
      <w:r w:rsidR="00672545">
        <w:rPr>
          <w:rFonts w:ascii="David" w:hAnsi="David" w:cs="David" w:hint="cs"/>
          <w:rtl/>
        </w:rPr>
        <w:t xml:space="preserve">על ידה </w:t>
      </w:r>
      <w:r>
        <w:rPr>
          <w:rFonts w:ascii="David" w:hAnsi="David" w:cs="David" w:hint="cs"/>
          <w:rtl/>
        </w:rPr>
        <w:t xml:space="preserve">בשומות המכריעות. </w:t>
      </w:r>
    </w:p>
    <w:p w:rsidR="00023F4C" w:rsidRDefault="00023F4C" w:rsidP="00A038F8">
      <w:pPr>
        <w:pStyle w:val="a9"/>
        <w:numPr>
          <w:ilvl w:val="0"/>
          <w:numId w:val="1"/>
        </w:numPr>
        <w:tabs>
          <w:tab w:val="left" w:pos="425"/>
        </w:tabs>
        <w:spacing w:line="360" w:lineRule="auto"/>
        <w:ind w:left="357" w:hanging="357"/>
        <w:contextualSpacing w:val="0"/>
        <w:jc w:val="both"/>
        <w:rPr>
          <w:rFonts w:ascii="David" w:hAnsi="David" w:cs="David"/>
        </w:rPr>
      </w:pPr>
      <w:r>
        <w:rPr>
          <w:rFonts w:ascii="David" w:hAnsi="David" w:cs="David" w:hint="cs"/>
          <w:rtl/>
        </w:rPr>
        <w:t>להלן טבלת השוואה בין ערכי השווי למ"ר כפי שבוטאו במסמך ההבהרות לבין ערכי השווי כפי שנקבעו בשומות המכריעות</w:t>
      </w:r>
      <w:r w:rsidR="002D4B39">
        <w:rPr>
          <w:rFonts w:ascii="David" w:hAnsi="David" w:cs="David" w:hint="cs"/>
          <w:rtl/>
        </w:rPr>
        <w:t>:</w:t>
      </w:r>
    </w:p>
    <w:p w:rsidR="00013DD7" w:rsidRDefault="00013DD7" w:rsidP="00013DD7">
      <w:pPr>
        <w:pStyle w:val="a9"/>
        <w:tabs>
          <w:tab w:val="left" w:pos="425"/>
        </w:tabs>
        <w:spacing w:line="360" w:lineRule="auto"/>
        <w:ind w:left="502"/>
        <w:jc w:val="both"/>
        <w:rPr>
          <w:rFonts w:ascii="David" w:hAnsi="David"/>
        </w:rPr>
      </w:pPr>
      <w:r w:rsidRPr="00BB7EA2">
        <w:rPr>
          <w:rFonts w:ascii="David" w:hAnsi="David"/>
          <w:noProof/>
          <w:lang w:val="he-IL"/>
        </w:rPr>
        <w:drawing>
          <wp:inline distT="0" distB="0" distL="0" distR="0" wp14:anchorId="059AD91E" wp14:editId="2087F864">
            <wp:extent cx="5276850" cy="2863850"/>
            <wp:effectExtent l="0" t="0" r="0" b="0"/>
            <wp:docPr id="182330451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6850" cy="2863850"/>
                    </a:xfrm>
                    <a:prstGeom prst="rect">
                      <a:avLst/>
                    </a:prstGeom>
                    <a:noFill/>
                    <a:ln>
                      <a:noFill/>
                    </a:ln>
                  </pic:spPr>
                </pic:pic>
              </a:graphicData>
            </a:graphic>
          </wp:inline>
        </w:drawing>
      </w:r>
    </w:p>
    <w:p w:rsidR="00013DD7" w:rsidRDefault="00013DD7" w:rsidP="00023F4C">
      <w:pPr>
        <w:pStyle w:val="a9"/>
        <w:tabs>
          <w:tab w:val="left" w:pos="425"/>
        </w:tabs>
        <w:spacing w:line="360" w:lineRule="auto"/>
        <w:ind w:left="360"/>
        <w:jc w:val="both"/>
        <w:rPr>
          <w:rFonts w:ascii="David" w:hAnsi="David" w:cs="David"/>
        </w:rPr>
      </w:pPr>
    </w:p>
    <w:p w:rsidR="00023F4C" w:rsidRDefault="00023F4C" w:rsidP="007E5672">
      <w:pPr>
        <w:pStyle w:val="a9"/>
        <w:numPr>
          <w:ilvl w:val="0"/>
          <w:numId w:val="1"/>
        </w:numPr>
        <w:spacing w:line="360" w:lineRule="auto"/>
        <w:ind w:left="283" w:hanging="425"/>
        <w:contextualSpacing w:val="0"/>
        <w:jc w:val="both"/>
        <w:rPr>
          <w:rFonts w:ascii="David" w:hAnsi="David" w:cs="David"/>
        </w:rPr>
      </w:pPr>
      <w:r>
        <w:rPr>
          <w:rFonts w:ascii="David" w:hAnsi="David" w:cs="David" w:hint="cs"/>
          <w:rtl/>
        </w:rPr>
        <w:t>החברה מצידה הסבירה כי הפער נעוץ במאפיינים השונים של דירות הדיירים המצויות בקומות הנמוכות</w:t>
      </w:r>
      <w:r w:rsidR="00672545">
        <w:rPr>
          <w:rFonts w:ascii="David" w:hAnsi="David" w:cs="David" w:hint="cs"/>
          <w:rtl/>
        </w:rPr>
        <w:t>,</w:t>
      </w:r>
      <w:r>
        <w:rPr>
          <w:rFonts w:ascii="David" w:hAnsi="David" w:cs="David" w:hint="cs"/>
          <w:rtl/>
        </w:rPr>
        <w:t xml:space="preserve"> לעומת ממוצע כלל הדירות בפרויקט (הכולל דירות דיירים) המצוי בקומות </w:t>
      </w:r>
      <w:r w:rsidR="00672545">
        <w:rPr>
          <w:rFonts w:ascii="David" w:hAnsi="David" w:cs="David" w:hint="cs"/>
          <w:rtl/>
        </w:rPr>
        <w:t>ה</w:t>
      </w:r>
      <w:r>
        <w:rPr>
          <w:rFonts w:ascii="David" w:hAnsi="David" w:cs="David" w:hint="cs"/>
          <w:rtl/>
        </w:rPr>
        <w:t>גבוהות יותר</w:t>
      </w:r>
      <w:r w:rsidR="00013DD7">
        <w:rPr>
          <w:rFonts w:ascii="David" w:hAnsi="David" w:cs="David" w:hint="cs"/>
          <w:rtl/>
        </w:rPr>
        <w:t>.</w:t>
      </w:r>
    </w:p>
    <w:p w:rsidR="00672545" w:rsidRDefault="00023F4C" w:rsidP="007E5672">
      <w:pPr>
        <w:pStyle w:val="a9"/>
        <w:numPr>
          <w:ilvl w:val="0"/>
          <w:numId w:val="1"/>
        </w:numPr>
        <w:spacing w:line="360" w:lineRule="auto"/>
        <w:ind w:left="283" w:hanging="425"/>
        <w:contextualSpacing w:val="0"/>
        <w:jc w:val="both"/>
        <w:rPr>
          <w:rFonts w:ascii="David" w:hAnsi="David" w:cs="David"/>
        </w:rPr>
      </w:pPr>
      <w:r w:rsidRPr="00AE422B">
        <w:rPr>
          <w:rFonts w:ascii="David" w:hAnsi="David" w:cs="David" w:hint="cs"/>
          <w:rtl/>
        </w:rPr>
        <w:t>מכאן עולה השאלה</w:t>
      </w:r>
      <w:r w:rsidRPr="00AE422B">
        <w:rPr>
          <w:rFonts w:ascii="David" w:hAnsi="David" w:cs="David"/>
          <w:rtl/>
        </w:rPr>
        <w:t xml:space="preserve"> לעניין ערך בסיסי למ"ר </w:t>
      </w:r>
      <w:r w:rsidRPr="00AE422B">
        <w:rPr>
          <w:rFonts w:ascii="David" w:hAnsi="David" w:cs="David" w:hint="cs"/>
          <w:rtl/>
        </w:rPr>
        <w:t>אק</w:t>
      </w:r>
      <w:r>
        <w:rPr>
          <w:rFonts w:ascii="David" w:hAnsi="David" w:cs="David" w:hint="cs"/>
          <w:rtl/>
        </w:rPr>
        <w:t>וויוולנט</w:t>
      </w:r>
      <w:r>
        <w:rPr>
          <w:rFonts w:ascii="David" w:hAnsi="David" w:cs="David" w:hint="eastAsia"/>
          <w:rtl/>
        </w:rPr>
        <w:t>י</w:t>
      </w:r>
      <w:r w:rsidRPr="00AE422B">
        <w:rPr>
          <w:rFonts w:ascii="David" w:hAnsi="David" w:cs="David"/>
          <w:rtl/>
        </w:rPr>
        <w:t xml:space="preserve"> שנקבע לכלל הדירות  (ובכללן דירות הדיירים)  </w:t>
      </w:r>
      <w:r>
        <w:rPr>
          <w:rFonts w:ascii="David" w:hAnsi="David" w:cs="David" w:hint="cs"/>
          <w:rtl/>
        </w:rPr>
        <w:t xml:space="preserve">במסמך ההבהרות </w:t>
      </w:r>
      <w:r w:rsidRPr="00013DD7">
        <w:rPr>
          <w:rFonts w:ascii="David" w:hAnsi="David" w:cs="David"/>
          <w:u w:val="single"/>
          <w:rtl/>
        </w:rPr>
        <w:t>השונה</w:t>
      </w:r>
      <w:r w:rsidRPr="00AE422B">
        <w:rPr>
          <w:rFonts w:ascii="David" w:hAnsi="David" w:cs="David"/>
          <w:rtl/>
        </w:rPr>
        <w:t xml:space="preserve"> מן הערך הבסיסי שנקבע לדירות הדיירים בלבד</w:t>
      </w:r>
      <w:r>
        <w:rPr>
          <w:rFonts w:ascii="David" w:hAnsi="David" w:cs="David" w:hint="cs"/>
          <w:rtl/>
        </w:rPr>
        <w:t xml:space="preserve"> בשומות המכריעות. </w:t>
      </w:r>
    </w:p>
    <w:p w:rsidR="00672545" w:rsidRDefault="00023F4C" w:rsidP="007E5672">
      <w:pPr>
        <w:pStyle w:val="a9"/>
        <w:numPr>
          <w:ilvl w:val="0"/>
          <w:numId w:val="1"/>
        </w:numPr>
        <w:spacing w:line="360" w:lineRule="auto"/>
        <w:ind w:left="283" w:hanging="425"/>
        <w:contextualSpacing w:val="0"/>
        <w:jc w:val="both"/>
        <w:rPr>
          <w:rFonts w:ascii="David" w:hAnsi="David" w:cs="David"/>
        </w:rPr>
      </w:pPr>
      <w:r w:rsidRPr="00672545">
        <w:rPr>
          <w:rFonts w:ascii="David" w:hAnsi="David" w:cs="David" w:hint="cs"/>
          <w:rtl/>
        </w:rPr>
        <w:t xml:space="preserve">אי לכך </w:t>
      </w:r>
      <w:r w:rsidR="00013DD7" w:rsidRPr="00672545">
        <w:rPr>
          <w:rFonts w:ascii="David" w:hAnsi="David" w:cs="David" w:hint="cs"/>
          <w:rtl/>
        </w:rPr>
        <w:t>במסגרת החלטת ביניים</w:t>
      </w:r>
      <w:r w:rsidR="00672545" w:rsidRPr="00672545">
        <w:rPr>
          <w:rFonts w:ascii="David" w:hAnsi="David" w:cs="David" w:hint="cs"/>
          <w:rtl/>
        </w:rPr>
        <w:t xml:space="preserve"> נוספת</w:t>
      </w:r>
      <w:r w:rsidR="00013DD7" w:rsidRPr="00672545">
        <w:rPr>
          <w:rFonts w:ascii="David" w:hAnsi="David" w:cs="David" w:hint="cs"/>
          <w:rtl/>
        </w:rPr>
        <w:t xml:space="preserve"> מיום 8.6.25 התבקשה בין היתר השמאית המכריעה כדלקמן:</w:t>
      </w:r>
      <w:r w:rsidR="00013DD7" w:rsidRPr="00672545">
        <w:rPr>
          <w:rFonts w:ascii="David" w:hAnsi="David" w:cs="David" w:hint="cs"/>
          <w:b/>
          <w:bCs/>
          <w:rtl/>
        </w:rPr>
        <w:t xml:space="preserve"> </w:t>
      </w:r>
      <w:r w:rsidRPr="00672545">
        <w:rPr>
          <w:rFonts w:ascii="David" w:hAnsi="David" w:cs="David" w:hint="cs"/>
          <w:rtl/>
        </w:rPr>
        <w:t xml:space="preserve"> </w:t>
      </w:r>
    </w:p>
    <w:p w:rsidR="00013DD7" w:rsidRPr="00672545" w:rsidRDefault="00013DD7" w:rsidP="007E5672">
      <w:pPr>
        <w:pStyle w:val="a9"/>
        <w:spacing w:line="360" w:lineRule="auto"/>
        <w:ind w:left="850" w:right="709"/>
        <w:contextualSpacing w:val="0"/>
        <w:jc w:val="both"/>
        <w:rPr>
          <w:rFonts w:ascii="David" w:hAnsi="David" w:cs="David"/>
        </w:rPr>
      </w:pPr>
      <w:r w:rsidRPr="00672545">
        <w:rPr>
          <w:rFonts w:ascii="David" w:hAnsi="David" w:cs="David" w:hint="cs"/>
          <w:rtl/>
        </w:rPr>
        <w:t>"</w:t>
      </w:r>
      <w:r w:rsidRPr="00672545">
        <w:rPr>
          <w:rFonts w:ascii="David" w:hAnsi="David" w:cs="David"/>
          <w:b/>
          <w:bCs/>
          <w:rtl/>
        </w:rPr>
        <w:t>ליתן הסבר לשוני בין השווי הבסיסי למ"ר אקוויוולנטי שנקבע לכלל הדירות ובין השווי הבסיסי למ"ר אקוויוולנטי שנקבע לדירות הדיירים. ככל והשמאית המכריעה תסבור כי נפלה שגגה בתחשיביה נוכח הפערים בין ערכי השווי, מתבקשת היא לעדכן את מסמך ההבהרות מטעמה בהתאם לערכי השווי הבסיסי ההתחלתי שנקבעו על ידה בשומות המכריעות</w:t>
      </w:r>
      <w:r w:rsidRPr="00672545">
        <w:rPr>
          <w:rFonts w:ascii="David" w:hAnsi="David" w:cs="David" w:hint="cs"/>
          <w:rtl/>
        </w:rPr>
        <w:t>"</w:t>
      </w:r>
      <w:r w:rsidRPr="00672545">
        <w:rPr>
          <w:rFonts w:ascii="David" w:hAnsi="David" w:cs="David"/>
          <w:rtl/>
        </w:rPr>
        <w:t xml:space="preserve">. </w:t>
      </w:r>
    </w:p>
    <w:p w:rsidR="00CA0E5D" w:rsidRPr="008E7406" w:rsidRDefault="00CA0E5D" w:rsidP="008E7406">
      <w:pPr>
        <w:pStyle w:val="a9"/>
        <w:numPr>
          <w:ilvl w:val="0"/>
          <w:numId w:val="1"/>
        </w:numPr>
        <w:tabs>
          <w:tab w:val="left" w:pos="425"/>
        </w:tabs>
        <w:spacing w:line="360" w:lineRule="auto"/>
        <w:contextualSpacing w:val="0"/>
        <w:jc w:val="both"/>
        <w:rPr>
          <w:rFonts w:ascii="David" w:hAnsi="David" w:cs="David"/>
        </w:rPr>
      </w:pPr>
      <w:r w:rsidRPr="008E7406">
        <w:rPr>
          <w:rFonts w:ascii="David" w:hAnsi="David" w:cs="David" w:hint="cs"/>
          <w:rtl/>
        </w:rPr>
        <w:t>ביום 2</w:t>
      </w:r>
      <w:r w:rsidR="00095A69">
        <w:rPr>
          <w:rFonts w:ascii="David" w:hAnsi="David" w:cs="David" w:hint="cs"/>
          <w:rtl/>
        </w:rPr>
        <w:t>5</w:t>
      </w:r>
      <w:r w:rsidRPr="008E7406">
        <w:rPr>
          <w:rFonts w:ascii="David" w:hAnsi="David" w:cs="David" w:hint="cs"/>
          <w:rtl/>
        </w:rPr>
        <w:t xml:space="preserve">.6.2025 הגישה השמאית המכריעה מענה לשאלות ההבהרה </w:t>
      </w:r>
      <w:r>
        <w:rPr>
          <w:rFonts w:ascii="David" w:hAnsi="David" w:cs="David" w:hint="cs"/>
          <w:rtl/>
        </w:rPr>
        <w:t>(להלן</w:t>
      </w:r>
      <w:r>
        <w:rPr>
          <w:rFonts w:ascii="David" w:hAnsi="David" w:cs="David"/>
          <w:rtl/>
        </w:rPr>
        <w:t>–</w:t>
      </w:r>
      <w:r>
        <w:rPr>
          <w:rFonts w:ascii="David" w:hAnsi="David" w:cs="David" w:hint="cs"/>
          <w:rtl/>
        </w:rPr>
        <w:t xml:space="preserve"> "</w:t>
      </w:r>
      <w:r w:rsidRPr="008E7406">
        <w:rPr>
          <w:rFonts w:ascii="David" w:hAnsi="David" w:cs="David" w:hint="cs"/>
          <w:b/>
          <w:bCs/>
          <w:rtl/>
        </w:rPr>
        <w:t>תשובה להבהרות</w:t>
      </w:r>
      <w:r>
        <w:rPr>
          <w:rFonts w:ascii="David" w:hAnsi="David" w:cs="David" w:hint="cs"/>
          <w:rtl/>
        </w:rPr>
        <w:t xml:space="preserve">") </w:t>
      </w:r>
      <w:r w:rsidRPr="008E7406">
        <w:rPr>
          <w:rFonts w:ascii="David" w:hAnsi="David" w:cs="David" w:hint="cs"/>
          <w:rtl/>
        </w:rPr>
        <w:t>ובין היתר לשאלה זו ממנה עולה</w:t>
      </w:r>
      <w:r>
        <w:rPr>
          <w:rFonts w:ascii="David" w:hAnsi="David" w:cs="David" w:hint="cs"/>
          <w:rtl/>
        </w:rPr>
        <w:t xml:space="preserve"> כי </w:t>
      </w:r>
      <w:r w:rsidRPr="008E7406">
        <w:rPr>
          <w:rFonts w:ascii="David" w:hAnsi="David" w:cs="David" w:hint="cs"/>
          <w:rtl/>
        </w:rPr>
        <w:t xml:space="preserve"> </w:t>
      </w:r>
      <w:r>
        <w:rPr>
          <w:rFonts w:ascii="David" w:hAnsi="David" w:cs="David" w:hint="cs"/>
          <w:rtl/>
        </w:rPr>
        <w:t>"</w:t>
      </w:r>
      <w:r w:rsidRPr="008E7406">
        <w:rPr>
          <w:rFonts w:ascii="David" w:hAnsi="David" w:cs="David" w:hint="cs"/>
          <w:b/>
          <w:bCs/>
          <w:i/>
          <w:iCs/>
          <w:rtl/>
        </w:rPr>
        <w:t>לאחר בדיקה נוספת עולה כי נפלה שגגה בחישוב הפטור לדירות הקיימות בכל מדרגות ההשבחה שכן השווי ההתחלתי צריך להיות זהה הן בתחשיב שווי המצב החדש המיוחס לכלל הדירות והן בתחשיב שווי הזכויות המיוחס לדירות הקיימות</w:t>
      </w:r>
      <w:r>
        <w:rPr>
          <w:rFonts w:ascii="David" w:hAnsi="David" w:cs="David" w:hint="cs"/>
          <w:rtl/>
        </w:rPr>
        <w:t>"</w:t>
      </w:r>
      <w:r w:rsidRPr="008E7406">
        <w:rPr>
          <w:rFonts w:ascii="David" w:hAnsi="David" w:cs="David" w:hint="cs"/>
          <w:rtl/>
        </w:rPr>
        <w:t xml:space="preserve">. </w:t>
      </w:r>
    </w:p>
    <w:p w:rsidR="00CA0E5D" w:rsidRPr="008E7406" w:rsidRDefault="00CA0E5D" w:rsidP="008E7406">
      <w:pPr>
        <w:pStyle w:val="a9"/>
        <w:spacing w:line="360" w:lineRule="auto"/>
        <w:ind w:left="360"/>
        <w:contextualSpacing w:val="0"/>
        <w:jc w:val="both"/>
        <w:rPr>
          <w:rFonts w:ascii="David" w:hAnsi="David" w:cs="David"/>
        </w:rPr>
      </w:pPr>
      <w:r w:rsidRPr="008E7406">
        <w:rPr>
          <w:rFonts w:ascii="David" w:hAnsi="David" w:cs="David" w:hint="cs"/>
          <w:rtl/>
        </w:rPr>
        <w:t xml:space="preserve">בהתאם לאמור </w:t>
      </w:r>
      <w:r>
        <w:rPr>
          <w:rFonts w:ascii="David" w:hAnsi="David" w:cs="David" w:hint="cs"/>
          <w:rtl/>
        </w:rPr>
        <w:t xml:space="preserve">צרפה השמאית המכריעה כנספח מס' 1 ריכוז מתוקן של ההשבחה בהתאם לערכי השווי הבסיסי ההתחלתי שנקבעו על ידה בשומות המכריעות. </w:t>
      </w:r>
    </w:p>
    <w:p w:rsidR="00756F8D" w:rsidRPr="00756F8D" w:rsidRDefault="00756F8D" w:rsidP="00A038F8">
      <w:pPr>
        <w:pStyle w:val="a9"/>
        <w:numPr>
          <w:ilvl w:val="0"/>
          <w:numId w:val="1"/>
        </w:numPr>
        <w:spacing w:line="360" w:lineRule="auto"/>
        <w:ind w:left="283" w:hanging="425"/>
        <w:contextualSpacing w:val="0"/>
        <w:jc w:val="both"/>
        <w:rPr>
          <w:rFonts w:ascii="David" w:hAnsi="David" w:cs="David"/>
        </w:rPr>
      </w:pPr>
      <w:r w:rsidRPr="00756F8D">
        <w:rPr>
          <w:rFonts w:ascii="David" w:hAnsi="David" w:cs="David" w:hint="cs"/>
          <w:rtl/>
        </w:rPr>
        <w:t>הצדדים הגישו התייחסויותיהם לתשובת ה</w:t>
      </w:r>
      <w:r w:rsidR="00590E2A">
        <w:rPr>
          <w:rFonts w:ascii="David" w:hAnsi="David" w:cs="David" w:hint="cs"/>
          <w:rtl/>
        </w:rPr>
        <w:t>שמ</w:t>
      </w:r>
      <w:r w:rsidRPr="00756F8D">
        <w:rPr>
          <w:rFonts w:ascii="David" w:hAnsi="David" w:cs="David" w:hint="cs"/>
          <w:rtl/>
        </w:rPr>
        <w:t xml:space="preserve">אית המכריעה. </w:t>
      </w:r>
    </w:p>
    <w:p w:rsidR="00756F8D" w:rsidRPr="00756F8D" w:rsidRDefault="00756F8D" w:rsidP="00A038F8">
      <w:pPr>
        <w:pStyle w:val="a9"/>
        <w:spacing w:line="360" w:lineRule="auto"/>
        <w:ind w:left="283"/>
        <w:contextualSpacing w:val="0"/>
        <w:jc w:val="both"/>
        <w:rPr>
          <w:rFonts w:ascii="David" w:hAnsi="David" w:cs="David"/>
        </w:rPr>
      </w:pPr>
      <w:r w:rsidRPr="00265FE5">
        <w:rPr>
          <w:rFonts w:ascii="David" w:hAnsi="David" w:cs="David" w:hint="cs"/>
          <w:u w:val="single"/>
          <w:rtl/>
        </w:rPr>
        <w:t>החברה</w:t>
      </w:r>
      <w:r w:rsidRPr="00756F8D">
        <w:rPr>
          <w:rFonts w:ascii="David" w:hAnsi="David" w:cs="David" w:hint="cs"/>
          <w:rtl/>
        </w:rPr>
        <w:t xml:space="preserve"> מצידה טענה בהקשר לאמור כי התחשיב המתוקן שצרפה השמאית שגוי</w:t>
      </w:r>
      <w:r>
        <w:rPr>
          <w:rFonts w:ascii="David" w:hAnsi="David" w:cs="David" w:hint="cs"/>
          <w:rtl/>
        </w:rPr>
        <w:t>,</w:t>
      </w:r>
      <w:r w:rsidRPr="00756F8D">
        <w:rPr>
          <w:rFonts w:ascii="David" w:hAnsi="David" w:cs="David" w:hint="cs"/>
          <w:rtl/>
        </w:rPr>
        <w:t xml:space="preserve"> שכן יש בו כדי להגדיל את השווי אותו קבעה השמאית המכריעה בעצמה ובכך להגדיל את היטל ההשבחה בצורה שגויה. </w:t>
      </w:r>
    </w:p>
    <w:p w:rsidR="00756F8D" w:rsidRPr="00756F8D" w:rsidRDefault="00756F8D" w:rsidP="00A038F8">
      <w:pPr>
        <w:pStyle w:val="a9"/>
        <w:spacing w:line="360" w:lineRule="auto"/>
        <w:ind w:left="283"/>
        <w:contextualSpacing w:val="0"/>
        <w:jc w:val="both"/>
        <w:rPr>
          <w:rFonts w:ascii="David" w:hAnsi="David" w:cs="David"/>
          <w:rtl/>
        </w:rPr>
      </w:pPr>
      <w:r w:rsidRPr="00756F8D">
        <w:rPr>
          <w:rFonts w:ascii="David" w:hAnsi="David" w:cs="David" w:hint="cs"/>
          <w:rtl/>
        </w:rPr>
        <w:t xml:space="preserve">החברה סבורה כי ערכי שווי מ"ר מבונה </w:t>
      </w:r>
      <w:r>
        <w:rPr>
          <w:rFonts w:ascii="David" w:hAnsi="David" w:cs="David" w:hint="cs"/>
          <w:rtl/>
        </w:rPr>
        <w:t xml:space="preserve">כפי שנקבעו על ידי השמאית המכריעה </w:t>
      </w:r>
      <w:r w:rsidR="00590E2A">
        <w:rPr>
          <w:rFonts w:ascii="David" w:hAnsi="David" w:cs="David" w:hint="cs"/>
          <w:rtl/>
        </w:rPr>
        <w:t>ב</w:t>
      </w:r>
      <w:r>
        <w:rPr>
          <w:rFonts w:ascii="David" w:hAnsi="David" w:cs="David" w:hint="cs"/>
          <w:rtl/>
        </w:rPr>
        <w:t>יחס לכל אחת ממדרגות ההשבחה התבססו על שווי מ"ר אקוויוולנט</w:t>
      </w:r>
      <w:r>
        <w:rPr>
          <w:rFonts w:ascii="David" w:hAnsi="David" w:cs="David" w:hint="eastAsia"/>
          <w:rtl/>
        </w:rPr>
        <w:t>י</w:t>
      </w:r>
      <w:r>
        <w:rPr>
          <w:rFonts w:ascii="David" w:hAnsi="David" w:cs="David" w:hint="cs"/>
          <w:rtl/>
        </w:rPr>
        <w:t xml:space="preserve"> שנבח</w:t>
      </w:r>
      <w:r w:rsidRPr="00756F8D">
        <w:rPr>
          <w:rFonts w:ascii="David" w:hAnsi="David" w:cs="David" w:hint="cs"/>
          <w:rtl/>
        </w:rPr>
        <w:t xml:space="preserve">ן ביחס לשטחי </w:t>
      </w:r>
      <w:proofErr w:type="spellStart"/>
      <w:r w:rsidRPr="00756F8D">
        <w:rPr>
          <w:rFonts w:ascii="David" w:hAnsi="David" w:cs="David" w:hint="cs"/>
          <w:rtl/>
        </w:rPr>
        <w:t>פלדלדת</w:t>
      </w:r>
      <w:proofErr w:type="spellEnd"/>
      <w:r w:rsidRPr="00756F8D">
        <w:rPr>
          <w:rFonts w:ascii="David" w:hAnsi="David" w:cs="David" w:hint="cs"/>
          <w:rtl/>
        </w:rPr>
        <w:t xml:space="preserve"> ומרפסות ושמכ</w:t>
      </w:r>
      <w:r>
        <w:rPr>
          <w:rFonts w:ascii="David" w:hAnsi="David" w:cs="David" w:hint="cs"/>
          <w:rtl/>
        </w:rPr>
        <w:t>ך,</w:t>
      </w:r>
      <w:r w:rsidRPr="00756F8D">
        <w:rPr>
          <w:rFonts w:ascii="David" w:hAnsi="David" w:cs="David" w:hint="cs"/>
          <w:rtl/>
        </w:rPr>
        <w:t xml:space="preserve"> גילם בתוכו את מרכיב </w:t>
      </w:r>
      <w:r w:rsidR="004E149D">
        <w:rPr>
          <w:rFonts w:ascii="David" w:hAnsi="David" w:cs="David" w:hint="cs"/>
          <w:rtl/>
        </w:rPr>
        <w:t xml:space="preserve">הקומות </w:t>
      </w:r>
      <w:r w:rsidRPr="00756F8D">
        <w:rPr>
          <w:rFonts w:ascii="David" w:hAnsi="David" w:cs="David" w:hint="cs"/>
          <w:rtl/>
        </w:rPr>
        <w:t>ולכן לשיטת החברה הכפלת השווי שנקבע על ידי השמאית המכריעה בשטח אקוויוולנטי הכולל בנוסף את</w:t>
      </w:r>
      <w:r>
        <w:rPr>
          <w:rFonts w:ascii="David" w:hAnsi="David" w:cs="David" w:hint="cs"/>
          <w:rtl/>
        </w:rPr>
        <w:t xml:space="preserve"> </w:t>
      </w:r>
      <w:r w:rsidRPr="00756F8D">
        <w:rPr>
          <w:rFonts w:ascii="David" w:hAnsi="David" w:cs="David" w:hint="cs"/>
          <w:rtl/>
        </w:rPr>
        <w:t xml:space="preserve">מרכיב </w:t>
      </w:r>
      <w:r>
        <w:rPr>
          <w:rFonts w:ascii="David" w:hAnsi="David" w:cs="David" w:hint="cs"/>
          <w:rtl/>
        </w:rPr>
        <w:t>הקומות</w:t>
      </w:r>
      <w:r w:rsidR="00590E2A">
        <w:rPr>
          <w:rFonts w:ascii="David" w:hAnsi="David" w:cs="David" w:hint="cs"/>
          <w:rtl/>
        </w:rPr>
        <w:t>,</w:t>
      </w:r>
      <w:r>
        <w:rPr>
          <w:rFonts w:ascii="David" w:hAnsi="David" w:cs="David" w:hint="cs"/>
          <w:rtl/>
        </w:rPr>
        <w:t xml:space="preserve"> הינו שגוי</w:t>
      </w:r>
      <w:r w:rsidRPr="00756F8D">
        <w:rPr>
          <w:rFonts w:ascii="David" w:hAnsi="David" w:cs="David" w:hint="cs"/>
          <w:rtl/>
        </w:rPr>
        <w:t xml:space="preserve">. </w:t>
      </w:r>
    </w:p>
    <w:p w:rsidR="00756F8D" w:rsidRDefault="00756F8D" w:rsidP="00A038F8">
      <w:pPr>
        <w:pStyle w:val="a9"/>
        <w:spacing w:line="360" w:lineRule="auto"/>
        <w:ind w:left="283"/>
        <w:contextualSpacing w:val="0"/>
        <w:jc w:val="both"/>
        <w:rPr>
          <w:rFonts w:ascii="David" w:hAnsi="David" w:cs="David"/>
          <w:rtl/>
        </w:rPr>
      </w:pPr>
      <w:r w:rsidRPr="00265FE5">
        <w:rPr>
          <w:rFonts w:ascii="David" w:hAnsi="David" w:cs="David" w:hint="cs"/>
          <w:u w:val="single"/>
          <w:rtl/>
        </w:rPr>
        <w:t>הועדה המקומית</w:t>
      </w:r>
      <w:r>
        <w:rPr>
          <w:rFonts w:ascii="David" w:hAnsi="David" w:cs="David" w:hint="cs"/>
          <w:rtl/>
        </w:rPr>
        <w:t xml:space="preserve"> מצידה מסכימה לתחשיב המתוקן שהוצג בנספח 1 שצורף</w:t>
      </w:r>
      <w:r w:rsidRPr="00756F8D">
        <w:rPr>
          <w:rFonts w:ascii="David" w:hAnsi="David" w:cs="David" w:hint="cs"/>
          <w:rtl/>
        </w:rPr>
        <w:t xml:space="preserve"> להתייחסות השמאית המכריעה למעט טענה לטעות טכנית כמפורט להלן</w:t>
      </w:r>
      <w:r w:rsidR="00265FE5">
        <w:rPr>
          <w:rFonts w:ascii="David" w:hAnsi="David" w:cs="David" w:hint="cs"/>
          <w:rtl/>
        </w:rPr>
        <w:t>:</w:t>
      </w:r>
    </w:p>
    <w:p w:rsidR="00590E2A" w:rsidRDefault="00265FE5" w:rsidP="00A038F8">
      <w:pPr>
        <w:pStyle w:val="a9"/>
        <w:spacing w:line="360" w:lineRule="auto"/>
        <w:ind w:left="283"/>
        <w:contextualSpacing w:val="0"/>
        <w:jc w:val="both"/>
        <w:rPr>
          <w:rFonts w:ascii="David" w:hAnsi="David" w:cs="David"/>
          <w:rtl/>
        </w:rPr>
      </w:pPr>
      <w:r>
        <w:rPr>
          <w:rFonts w:ascii="David" w:hAnsi="David" w:cs="David" w:hint="cs"/>
          <w:rtl/>
        </w:rPr>
        <w:t xml:space="preserve">הטענה היא ליישום מקדמי שוליות בגובה 1.0177 ביחס לשווי הזכויות בדירת התמורה במדרגת תכנית בי/1/517 וההקלות. כך מקדם זה התקבל על בסיס טעות טכנית לפיה השטח </w:t>
      </w:r>
      <w:proofErr w:type="spellStart"/>
      <w:r>
        <w:rPr>
          <w:rFonts w:ascii="David" w:hAnsi="David" w:cs="David" w:hint="cs"/>
          <w:rtl/>
        </w:rPr>
        <w:t>הדירתי</w:t>
      </w:r>
      <w:proofErr w:type="spellEnd"/>
      <w:r>
        <w:rPr>
          <w:rFonts w:ascii="David" w:hAnsi="David" w:cs="David" w:hint="cs"/>
          <w:rtl/>
        </w:rPr>
        <w:t xml:space="preserve"> הממוצע </w:t>
      </w:r>
      <w:proofErr w:type="spellStart"/>
      <w:r>
        <w:rPr>
          <w:rFonts w:ascii="David" w:hAnsi="David" w:cs="David" w:hint="cs"/>
          <w:rtl/>
        </w:rPr>
        <w:t>הממוצע</w:t>
      </w:r>
      <w:proofErr w:type="spellEnd"/>
      <w:r>
        <w:rPr>
          <w:rFonts w:ascii="David" w:hAnsi="David" w:cs="David" w:hint="cs"/>
          <w:rtl/>
        </w:rPr>
        <w:t xml:space="preserve"> בדירות הבעלים הינו 92.23 מ"ר ואולם עובדתית השטח </w:t>
      </w:r>
      <w:proofErr w:type="spellStart"/>
      <w:r>
        <w:rPr>
          <w:rFonts w:ascii="David" w:hAnsi="David" w:cs="David" w:hint="cs"/>
          <w:rtl/>
        </w:rPr>
        <w:t>הדירתי</w:t>
      </w:r>
      <w:proofErr w:type="spellEnd"/>
      <w:r>
        <w:rPr>
          <w:rFonts w:ascii="David" w:hAnsi="David" w:cs="David" w:hint="cs"/>
          <w:rtl/>
        </w:rPr>
        <w:t xml:space="preserve"> הממוצע של דירות הבעלים הינו קבוע בסך של 111.63 מ"ר בכל מדרגות ההשבחה. ביחס לשטח דירתי דומה, נקבע בשומה המכרעת מקדם שוליות בגובה 0.9938.</w:t>
      </w:r>
    </w:p>
    <w:p w:rsidR="00B930FD" w:rsidRPr="00B930FD" w:rsidRDefault="00590E2A" w:rsidP="00A038F8">
      <w:pPr>
        <w:pStyle w:val="a9"/>
        <w:numPr>
          <w:ilvl w:val="0"/>
          <w:numId w:val="1"/>
        </w:numPr>
        <w:tabs>
          <w:tab w:val="left" w:pos="425"/>
        </w:tabs>
        <w:spacing w:line="360" w:lineRule="auto"/>
        <w:contextualSpacing w:val="0"/>
        <w:jc w:val="both"/>
        <w:rPr>
          <w:rFonts w:ascii="David" w:hAnsi="David" w:cs="David"/>
        </w:rPr>
      </w:pPr>
      <w:r w:rsidRPr="00B930FD">
        <w:rPr>
          <w:rFonts w:ascii="David" w:hAnsi="David" w:cs="David" w:hint="cs"/>
          <w:rtl/>
        </w:rPr>
        <w:t>לאחר עיון בתשובה להבהרות מטעם השמאית ולאחר שבחנו את טענות הצדדים אנו סבורים</w:t>
      </w:r>
      <w:r w:rsidR="00BA3FAE" w:rsidRPr="00B930FD">
        <w:rPr>
          <w:rFonts w:ascii="David" w:hAnsi="David" w:cs="David" w:hint="cs"/>
          <w:rtl/>
        </w:rPr>
        <w:t>,</w:t>
      </w:r>
      <w:r w:rsidRPr="00B930FD">
        <w:rPr>
          <w:rFonts w:ascii="David" w:hAnsi="David" w:cs="David" w:hint="cs"/>
          <w:rtl/>
        </w:rPr>
        <w:t xml:space="preserve"> כי ערכי השווי האקוויוולנט</w:t>
      </w:r>
      <w:r w:rsidRPr="00B930FD">
        <w:rPr>
          <w:rFonts w:ascii="David" w:hAnsi="David" w:cs="David" w:hint="eastAsia"/>
          <w:rtl/>
        </w:rPr>
        <w:t>י</w:t>
      </w:r>
      <w:r w:rsidRPr="00B930FD">
        <w:rPr>
          <w:rFonts w:ascii="David" w:hAnsi="David" w:cs="David" w:hint="cs"/>
          <w:rtl/>
        </w:rPr>
        <w:t xml:space="preserve"> שש</w:t>
      </w:r>
      <w:r w:rsidR="00B930FD" w:rsidRPr="00B930FD">
        <w:rPr>
          <w:rFonts w:ascii="David" w:hAnsi="David" w:cs="David" w:hint="cs"/>
          <w:rtl/>
        </w:rPr>
        <w:t>י</w:t>
      </w:r>
      <w:r w:rsidRPr="00B930FD">
        <w:rPr>
          <w:rFonts w:ascii="David" w:hAnsi="David" w:cs="David" w:hint="cs"/>
          <w:rtl/>
        </w:rPr>
        <w:t>משו בתחשיב לצורך השומות המכריעות תוקנו</w:t>
      </w:r>
      <w:r w:rsidR="00B930FD" w:rsidRPr="00B930FD">
        <w:rPr>
          <w:rFonts w:ascii="David" w:hAnsi="David" w:cs="David" w:hint="cs"/>
          <w:rtl/>
        </w:rPr>
        <w:t>,</w:t>
      </w:r>
      <w:r w:rsidRPr="00B930FD">
        <w:rPr>
          <w:rFonts w:ascii="David" w:hAnsi="David" w:cs="David" w:hint="cs"/>
          <w:rtl/>
        </w:rPr>
        <w:t xml:space="preserve"> באופן שהערך לפי</w:t>
      </w:r>
      <w:r w:rsidR="00BA3FAE" w:rsidRPr="00B930FD">
        <w:rPr>
          <w:rFonts w:ascii="David" w:hAnsi="David" w:cs="David" w:hint="cs"/>
          <w:rtl/>
        </w:rPr>
        <w:t>ו</w:t>
      </w:r>
      <w:r w:rsidRPr="00B930FD">
        <w:rPr>
          <w:rFonts w:ascii="David" w:hAnsi="David" w:cs="David" w:hint="cs"/>
          <w:rtl/>
        </w:rPr>
        <w:t xml:space="preserve"> חושבו כלל הדירות והערך לפיו חושבו דירות הדיירים הינו זהה ויש לאמצו</w:t>
      </w:r>
      <w:r w:rsidR="00BA3FAE" w:rsidRPr="00B930FD">
        <w:rPr>
          <w:rFonts w:ascii="David" w:hAnsi="David" w:cs="David" w:hint="cs"/>
          <w:rtl/>
        </w:rPr>
        <w:t>,</w:t>
      </w:r>
      <w:r w:rsidRPr="00B930FD">
        <w:rPr>
          <w:rFonts w:ascii="David" w:hAnsi="David" w:cs="David" w:hint="cs"/>
          <w:rtl/>
        </w:rPr>
        <w:t xml:space="preserve"> למע</w:t>
      </w:r>
      <w:r w:rsidR="00B930FD" w:rsidRPr="00B930FD">
        <w:rPr>
          <w:rFonts w:ascii="David" w:hAnsi="David" w:cs="David" w:hint="cs"/>
          <w:rtl/>
        </w:rPr>
        <w:t xml:space="preserve">ט </w:t>
      </w:r>
      <w:r w:rsidR="00B930FD" w:rsidRPr="00B930FD">
        <w:rPr>
          <w:rFonts w:ascii="David" w:hAnsi="David" w:cs="David"/>
          <w:rtl/>
        </w:rPr>
        <w:t>–</w:t>
      </w:r>
      <w:r w:rsidR="00B930FD" w:rsidRPr="00B930FD">
        <w:rPr>
          <w:rFonts w:ascii="David" w:hAnsi="David" w:cs="David" w:hint="cs"/>
          <w:rtl/>
        </w:rPr>
        <w:t xml:space="preserve"> ע</w:t>
      </w:r>
      <w:r w:rsidRPr="00B930FD">
        <w:rPr>
          <w:rFonts w:ascii="David" w:hAnsi="David" w:cs="David" w:hint="cs"/>
          <w:rtl/>
        </w:rPr>
        <w:t xml:space="preserve">ניין אותו העלתה הועדה המקומית לפיו </w:t>
      </w:r>
      <w:r w:rsidR="00265FE5" w:rsidRPr="00B930FD">
        <w:rPr>
          <w:rFonts w:ascii="David" w:hAnsi="David" w:cs="David" w:hint="cs"/>
          <w:rtl/>
        </w:rPr>
        <w:t>מעיון בתחשיב המתוקן שצרפה השמאית המכריעה כנספח 1 לתשוב</w:t>
      </w:r>
      <w:r w:rsidRPr="00B930FD">
        <w:rPr>
          <w:rFonts w:ascii="David" w:hAnsi="David" w:cs="David" w:hint="cs"/>
          <w:rtl/>
        </w:rPr>
        <w:t>ה</w:t>
      </w:r>
      <w:r w:rsidR="00265FE5" w:rsidRPr="00B930FD">
        <w:rPr>
          <w:rFonts w:ascii="David" w:hAnsi="David" w:cs="David" w:hint="cs"/>
          <w:rtl/>
        </w:rPr>
        <w:t xml:space="preserve"> </w:t>
      </w:r>
      <w:r w:rsidRPr="00B930FD">
        <w:rPr>
          <w:rFonts w:ascii="David" w:hAnsi="David" w:cs="David" w:hint="cs"/>
          <w:rtl/>
        </w:rPr>
        <w:t>ל</w:t>
      </w:r>
      <w:r w:rsidR="00265FE5" w:rsidRPr="00B930FD">
        <w:rPr>
          <w:rFonts w:ascii="David" w:hAnsi="David" w:cs="David" w:hint="cs"/>
          <w:rtl/>
        </w:rPr>
        <w:t>הבהרות עולה</w:t>
      </w:r>
      <w:r w:rsidR="00B930FD" w:rsidRPr="00B930FD">
        <w:rPr>
          <w:rFonts w:ascii="David" w:hAnsi="David" w:cs="David" w:hint="cs"/>
          <w:rtl/>
        </w:rPr>
        <w:t>,</w:t>
      </w:r>
      <w:r w:rsidR="00265FE5" w:rsidRPr="00B930FD">
        <w:rPr>
          <w:rFonts w:ascii="David" w:hAnsi="David" w:cs="David" w:hint="cs"/>
          <w:rtl/>
        </w:rPr>
        <w:t xml:space="preserve"> כי שטח דירתי ממוצע בדירות הבעלים חושב באופן שונה בשלוש מדרגות ההשבחה</w:t>
      </w:r>
      <w:r w:rsidR="00B930FD" w:rsidRPr="00B930FD">
        <w:rPr>
          <w:rFonts w:ascii="David" w:hAnsi="David" w:cs="David" w:hint="cs"/>
          <w:rtl/>
        </w:rPr>
        <w:t xml:space="preserve">, </w:t>
      </w:r>
      <w:r w:rsidR="00265FE5" w:rsidRPr="00B930FD">
        <w:rPr>
          <w:rFonts w:ascii="David" w:hAnsi="David" w:cs="David" w:hint="cs"/>
          <w:rtl/>
        </w:rPr>
        <w:t>כך שבתכנית בי/517 והה</w:t>
      </w:r>
      <w:r w:rsidRPr="00B930FD">
        <w:rPr>
          <w:rFonts w:ascii="David" w:hAnsi="David" w:cs="David" w:hint="cs"/>
          <w:rtl/>
        </w:rPr>
        <w:t>קל</w:t>
      </w:r>
      <w:r w:rsidR="00265FE5" w:rsidRPr="00B930FD">
        <w:rPr>
          <w:rFonts w:ascii="David" w:hAnsi="David" w:cs="David" w:hint="cs"/>
          <w:rtl/>
        </w:rPr>
        <w:t>ות חושב לפי שטח של 111.62 מ"ר</w:t>
      </w:r>
      <w:r w:rsidR="00B930FD" w:rsidRPr="00B930FD">
        <w:rPr>
          <w:rFonts w:ascii="David" w:hAnsi="David" w:cs="David" w:hint="cs"/>
          <w:rtl/>
        </w:rPr>
        <w:t>,</w:t>
      </w:r>
      <w:r w:rsidR="00265FE5" w:rsidRPr="00B930FD">
        <w:rPr>
          <w:rFonts w:ascii="David" w:hAnsi="David" w:cs="David" w:hint="cs"/>
          <w:rtl/>
        </w:rPr>
        <w:t xml:space="preserve"> בעוד שבמדרגת תכנית בי/1/517 חושב לפי שטח דירתי ממוצע של 92.23 מ"ר. </w:t>
      </w:r>
    </w:p>
    <w:p w:rsidR="00265FE5" w:rsidRPr="00590E2A" w:rsidRDefault="00590E2A" w:rsidP="00A038F8">
      <w:pPr>
        <w:pStyle w:val="a9"/>
        <w:tabs>
          <w:tab w:val="left" w:pos="425"/>
        </w:tabs>
        <w:spacing w:line="360" w:lineRule="auto"/>
        <w:ind w:left="360"/>
        <w:contextualSpacing w:val="0"/>
        <w:jc w:val="both"/>
        <w:rPr>
          <w:rFonts w:ascii="David" w:hAnsi="David" w:cs="David"/>
          <w:rtl/>
        </w:rPr>
      </w:pPr>
      <w:r>
        <w:rPr>
          <w:rFonts w:ascii="David" w:hAnsi="David" w:cs="David" w:hint="cs"/>
          <w:rtl/>
        </w:rPr>
        <w:t>הואיל ו</w:t>
      </w:r>
      <w:r w:rsidR="00265FE5" w:rsidRPr="00590E2A">
        <w:rPr>
          <w:rFonts w:ascii="David" w:hAnsi="David" w:cs="David" w:hint="cs"/>
          <w:rtl/>
        </w:rPr>
        <w:t xml:space="preserve">לגודל </w:t>
      </w:r>
      <w:r>
        <w:rPr>
          <w:rFonts w:ascii="David" w:hAnsi="David" w:cs="David" w:hint="cs"/>
          <w:rtl/>
        </w:rPr>
        <w:t xml:space="preserve">שטחה של </w:t>
      </w:r>
      <w:r w:rsidR="00265FE5" w:rsidRPr="00590E2A">
        <w:rPr>
          <w:rFonts w:ascii="David" w:hAnsi="David" w:cs="David" w:hint="cs"/>
          <w:rtl/>
        </w:rPr>
        <w:t>דירה ישנה השפעה על מקדם ה</w:t>
      </w:r>
      <w:r w:rsidR="00B930FD">
        <w:rPr>
          <w:rFonts w:ascii="David" w:hAnsi="David" w:cs="David" w:hint="cs"/>
          <w:rtl/>
        </w:rPr>
        <w:t>"</w:t>
      </w:r>
      <w:r w:rsidR="00265FE5" w:rsidRPr="00590E2A">
        <w:rPr>
          <w:rFonts w:ascii="David" w:hAnsi="David" w:cs="David" w:hint="cs"/>
          <w:rtl/>
        </w:rPr>
        <w:t>שוליות</w:t>
      </w:r>
      <w:r w:rsidR="00B930FD">
        <w:rPr>
          <w:rFonts w:ascii="David" w:hAnsi="David" w:cs="David" w:hint="cs"/>
          <w:rtl/>
        </w:rPr>
        <w:t>"</w:t>
      </w:r>
      <w:r>
        <w:rPr>
          <w:rFonts w:ascii="David" w:hAnsi="David" w:cs="David" w:hint="cs"/>
          <w:rtl/>
        </w:rPr>
        <w:t xml:space="preserve">, ולאור שטחי הדירה השונים שהופיעו בתחשיב המתוקן במדרגות ההשבחה, </w:t>
      </w:r>
      <w:r w:rsidRPr="00590E2A">
        <w:rPr>
          <w:rFonts w:ascii="David" w:hAnsi="David" w:cs="David" w:hint="cs"/>
          <w:rtl/>
        </w:rPr>
        <w:t xml:space="preserve">מתבקשת השמאית המכריעה לבדוק את עניין שטחי הדירות </w:t>
      </w:r>
      <w:r>
        <w:rPr>
          <w:rFonts w:ascii="David" w:hAnsi="David" w:cs="David" w:hint="cs"/>
          <w:rtl/>
        </w:rPr>
        <w:t>ב</w:t>
      </w:r>
      <w:r w:rsidRPr="00B930FD">
        <w:rPr>
          <w:rFonts w:ascii="David" w:hAnsi="David" w:cs="David" w:hint="cs"/>
          <w:b/>
          <w:bCs/>
          <w:rtl/>
        </w:rPr>
        <w:t>כל</w:t>
      </w:r>
      <w:r>
        <w:rPr>
          <w:rFonts w:ascii="David" w:hAnsi="David" w:cs="David" w:hint="cs"/>
          <w:rtl/>
        </w:rPr>
        <w:t xml:space="preserve"> מדרגות ההשבחה</w:t>
      </w:r>
      <w:r w:rsidRPr="00590E2A">
        <w:rPr>
          <w:rFonts w:ascii="David" w:hAnsi="David" w:cs="David" w:hint="cs"/>
          <w:rtl/>
        </w:rPr>
        <w:t>, באופן שככל ויימצא כי אכן נפלה טעות בשטחי הדירות באיזו מדרגה ממדרג</w:t>
      </w:r>
      <w:r w:rsidR="002D4B39">
        <w:rPr>
          <w:rFonts w:ascii="David" w:hAnsi="David" w:cs="David" w:hint="cs"/>
          <w:rtl/>
        </w:rPr>
        <w:t>ו</w:t>
      </w:r>
      <w:r w:rsidRPr="00590E2A">
        <w:rPr>
          <w:rFonts w:ascii="David" w:hAnsi="David" w:cs="David" w:hint="cs"/>
          <w:rtl/>
        </w:rPr>
        <w:t>ת ההשבחה תתקנה</w:t>
      </w:r>
      <w:r>
        <w:rPr>
          <w:rFonts w:ascii="David" w:hAnsi="David" w:cs="David" w:hint="cs"/>
          <w:rtl/>
        </w:rPr>
        <w:t xml:space="preserve"> בהתאם</w:t>
      </w:r>
      <w:r w:rsidR="00B930FD">
        <w:rPr>
          <w:rFonts w:ascii="David" w:hAnsi="David" w:cs="David" w:hint="cs"/>
          <w:rtl/>
        </w:rPr>
        <w:t>,</w:t>
      </w:r>
      <w:r w:rsidRPr="00590E2A">
        <w:rPr>
          <w:rFonts w:ascii="David" w:hAnsi="David" w:cs="David" w:hint="cs"/>
          <w:rtl/>
        </w:rPr>
        <w:t xml:space="preserve"> וככל ולא</w:t>
      </w:r>
      <w:r w:rsidR="00B930FD">
        <w:rPr>
          <w:rFonts w:ascii="David" w:hAnsi="David" w:cs="David" w:hint="cs"/>
          <w:rtl/>
        </w:rPr>
        <w:t>,</w:t>
      </w:r>
      <w:r w:rsidRPr="00590E2A">
        <w:rPr>
          <w:rFonts w:ascii="David" w:hAnsi="David" w:cs="David" w:hint="cs"/>
          <w:rtl/>
        </w:rPr>
        <w:t xml:space="preserve"> תסביר את הסיבות לפער </w:t>
      </w:r>
      <w:r>
        <w:rPr>
          <w:rFonts w:ascii="David" w:hAnsi="David" w:cs="David" w:hint="cs"/>
          <w:rtl/>
        </w:rPr>
        <w:t xml:space="preserve">בין שטחי הדירות </w:t>
      </w:r>
      <w:r w:rsidR="00B930FD">
        <w:rPr>
          <w:rFonts w:ascii="David" w:hAnsi="David" w:cs="David" w:hint="cs"/>
          <w:rtl/>
        </w:rPr>
        <w:t xml:space="preserve">בכל מדרגות ההשבחה </w:t>
      </w:r>
      <w:r>
        <w:rPr>
          <w:rFonts w:ascii="David" w:hAnsi="David" w:cs="David" w:hint="cs"/>
          <w:rtl/>
        </w:rPr>
        <w:t xml:space="preserve">כאמור. </w:t>
      </w:r>
      <w:r w:rsidRPr="00590E2A">
        <w:rPr>
          <w:rFonts w:ascii="David" w:hAnsi="David" w:cs="David" w:hint="cs"/>
          <w:rtl/>
        </w:rPr>
        <w:t xml:space="preserve"> </w:t>
      </w:r>
    </w:p>
    <w:p w:rsidR="0065542D" w:rsidRPr="00756F8D" w:rsidRDefault="0065542D" w:rsidP="00756F8D">
      <w:pPr>
        <w:pStyle w:val="a9"/>
        <w:spacing w:line="360" w:lineRule="auto"/>
        <w:ind w:left="283"/>
        <w:jc w:val="both"/>
        <w:rPr>
          <w:rFonts w:ascii="David" w:hAnsi="David" w:cs="David"/>
        </w:rPr>
      </w:pPr>
    </w:p>
    <w:p w:rsidR="00013DD7" w:rsidRDefault="00023F4C" w:rsidP="00013DD7">
      <w:pPr>
        <w:pStyle w:val="a9"/>
        <w:numPr>
          <w:ilvl w:val="0"/>
          <w:numId w:val="1"/>
        </w:numPr>
        <w:spacing w:line="360" w:lineRule="auto"/>
        <w:ind w:left="283" w:hanging="425"/>
        <w:jc w:val="both"/>
        <w:rPr>
          <w:rFonts w:ascii="David" w:hAnsi="David" w:cs="David"/>
          <w:b/>
          <w:bCs/>
        </w:rPr>
      </w:pPr>
      <w:r w:rsidRPr="00013DD7">
        <w:rPr>
          <w:rFonts w:ascii="David" w:hAnsi="David" w:cs="David" w:hint="cs"/>
          <w:rtl/>
        </w:rPr>
        <w:t xml:space="preserve">שאלה נוספת </w:t>
      </w:r>
      <w:r w:rsidR="00013DD7">
        <w:rPr>
          <w:rFonts w:ascii="David" w:hAnsi="David" w:cs="David" w:hint="cs"/>
          <w:rtl/>
        </w:rPr>
        <w:t xml:space="preserve">שעלתה במסגרת החלטת הביניים מיום 6.8.2025 </w:t>
      </w:r>
      <w:r w:rsidR="006E435E">
        <w:rPr>
          <w:rFonts w:ascii="David" w:hAnsi="David" w:cs="David" w:hint="cs"/>
          <w:rtl/>
        </w:rPr>
        <w:t xml:space="preserve">לשמאית המכריעה </w:t>
      </w:r>
      <w:r w:rsidRPr="00013DD7">
        <w:rPr>
          <w:rFonts w:ascii="David" w:hAnsi="David" w:cs="David" w:hint="cs"/>
          <w:rtl/>
        </w:rPr>
        <w:t>הינה בנוגע לעני</w:t>
      </w:r>
      <w:r w:rsidRPr="00013DD7">
        <w:rPr>
          <w:rFonts w:ascii="David" w:hAnsi="David" w:cs="David"/>
          <w:rtl/>
        </w:rPr>
        <w:t xml:space="preserve">ין </w:t>
      </w:r>
      <w:r w:rsidRPr="00013DD7">
        <w:rPr>
          <w:rFonts w:ascii="David" w:hAnsi="David" w:cs="David"/>
          <w:b/>
          <w:bCs/>
          <w:rtl/>
        </w:rPr>
        <w:t>חישוב יחס השווי של רכיב הקרקע לדירות הדיירים מתוך רכיב הקרקע לכלל הדירות (</w:t>
      </w:r>
      <w:r w:rsidR="00013DD7" w:rsidRPr="00013DD7">
        <w:rPr>
          <w:rFonts w:ascii="David" w:hAnsi="David" w:cs="David" w:hint="cs"/>
          <w:b/>
          <w:bCs/>
          <w:rtl/>
        </w:rPr>
        <w:t>לרבות</w:t>
      </w:r>
      <w:r w:rsidRPr="00013DD7">
        <w:rPr>
          <w:rFonts w:ascii="David" w:hAnsi="David" w:cs="David"/>
          <w:b/>
          <w:bCs/>
          <w:rtl/>
        </w:rPr>
        <w:t xml:space="preserve"> דירות הדיירים</w:t>
      </w:r>
      <w:r w:rsidRPr="00013DD7">
        <w:rPr>
          <w:rFonts w:ascii="David" w:hAnsi="David" w:cs="David" w:hint="cs"/>
          <w:b/>
          <w:bCs/>
          <w:rtl/>
        </w:rPr>
        <w:t>).</w:t>
      </w:r>
      <w:r w:rsidR="00013DD7">
        <w:rPr>
          <w:rFonts w:ascii="David" w:hAnsi="David" w:cs="David" w:hint="cs"/>
          <w:b/>
          <w:bCs/>
          <w:rtl/>
        </w:rPr>
        <w:t xml:space="preserve"> ונסביר:</w:t>
      </w:r>
    </w:p>
    <w:p w:rsidR="00013DD7" w:rsidRDefault="00013DD7" w:rsidP="00672545">
      <w:pPr>
        <w:pStyle w:val="a9"/>
        <w:spacing w:line="360" w:lineRule="auto"/>
        <w:ind w:left="709" w:right="709"/>
        <w:jc w:val="both"/>
        <w:rPr>
          <w:rFonts w:ascii="David" w:hAnsi="David" w:cs="David"/>
          <w:rtl/>
        </w:rPr>
      </w:pPr>
      <w:r w:rsidRPr="00013DD7">
        <w:rPr>
          <w:rFonts w:ascii="David" w:hAnsi="David" w:cs="David"/>
          <w:rtl/>
        </w:rPr>
        <w:t xml:space="preserve">בכל אחת משלוש מדרגות ההשבחה שבשומות </w:t>
      </w:r>
      <w:r>
        <w:rPr>
          <w:rFonts w:ascii="David" w:hAnsi="David" w:cs="David" w:hint="cs"/>
          <w:rtl/>
        </w:rPr>
        <w:t xml:space="preserve">המכריעות </w:t>
      </w:r>
      <w:r w:rsidRPr="00013DD7">
        <w:rPr>
          <w:rFonts w:ascii="David" w:hAnsi="David" w:cs="David"/>
          <w:rtl/>
        </w:rPr>
        <w:t xml:space="preserve">חושב היחס הנ"ל, זאת לצורך תחשיבים הכוללים פטור שיקום שכונות, בכל אחת משלוש מדרגות ההשבחה חושב היחס בשתי חלופות - האחת עם  חיוב ממ"דים, </w:t>
      </w:r>
      <w:proofErr w:type="spellStart"/>
      <w:r w:rsidRPr="00013DD7">
        <w:rPr>
          <w:rFonts w:ascii="David" w:hAnsi="David" w:cs="David"/>
          <w:rtl/>
        </w:rPr>
        <w:t>השניה</w:t>
      </w:r>
      <w:proofErr w:type="spellEnd"/>
      <w:r w:rsidRPr="00013DD7">
        <w:rPr>
          <w:rFonts w:ascii="David" w:hAnsi="David" w:cs="David"/>
          <w:rtl/>
        </w:rPr>
        <w:t xml:space="preserve"> ללא חיוב ממ"דים.</w:t>
      </w:r>
    </w:p>
    <w:p w:rsidR="00013DD7" w:rsidRDefault="00013DD7" w:rsidP="00672545">
      <w:pPr>
        <w:pStyle w:val="a9"/>
        <w:spacing w:line="360" w:lineRule="auto"/>
        <w:ind w:left="709" w:right="709"/>
        <w:jc w:val="both"/>
        <w:rPr>
          <w:rFonts w:ascii="David" w:hAnsi="David" w:cs="David"/>
          <w:rtl/>
        </w:rPr>
      </w:pPr>
      <w:r w:rsidRPr="00013DD7">
        <w:rPr>
          <w:rFonts w:ascii="David" w:hAnsi="David" w:cs="David"/>
          <w:rtl/>
        </w:rPr>
        <w:t>בחלופה עם חיוב ממ"דים חושב שווי רכיב הקרקע לכלל הדירות כשהוא כולל את שווי הממ"דים.</w:t>
      </w:r>
    </w:p>
    <w:p w:rsidR="00013DD7" w:rsidRDefault="00013DD7" w:rsidP="00672545">
      <w:pPr>
        <w:pStyle w:val="a9"/>
        <w:spacing w:line="360" w:lineRule="auto"/>
        <w:ind w:left="709" w:right="709"/>
        <w:jc w:val="both"/>
        <w:rPr>
          <w:rFonts w:ascii="David" w:hAnsi="David" w:cs="David"/>
          <w:rtl/>
        </w:rPr>
      </w:pPr>
      <w:r w:rsidRPr="00013DD7">
        <w:rPr>
          <w:rFonts w:ascii="David" w:hAnsi="David" w:cs="David"/>
          <w:rtl/>
        </w:rPr>
        <w:t>בחלופה ללא חיוב ממ"דים חושב שווי רכיב הקרקע לכלל הדירות כשהוא אינו כולל את שווי הממ"דים.</w:t>
      </w:r>
    </w:p>
    <w:p w:rsidR="00013DD7" w:rsidRDefault="00013DD7" w:rsidP="00672545">
      <w:pPr>
        <w:pStyle w:val="a9"/>
        <w:spacing w:line="360" w:lineRule="auto"/>
        <w:ind w:left="709" w:right="709"/>
        <w:jc w:val="both"/>
        <w:rPr>
          <w:rFonts w:ascii="David" w:hAnsi="David" w:cs="David"/>
          <w:rtl/>
        </w:rPr>
      </w:pPr>
      <w:r w:rsidRPr="00013DD7">
        <w:rPr>
          <w:rFonts w:ascii="David" w:hAnsi="David" w:cs="David"/>
          <w:rtl/>
        </w:rPr>
        <w:t>אולם שווי רכיב הקרקע לדירות הדיירים, הן בחלופה עם חיוב ממ"דים והן בחלופה ללא חיוב ממ"דים</w:t>
      </w:r>
      <w:r w:rsidR="006E435E">
        <w:rPr>
          <w:rFonts w:ascii="David" w:hAnsi="David" w:cs="David" w:hint="cs"/>
          <w:rtl/>
        </w:rPr>
        <w:t>,</w:t>
      </w:r>
      <w:r w:rsidR="00590F0A">
        <w:rPr>
          <w:rFonts w:ascii="David" w:hAnsi="David" w:cs="David" w:hint="cs"/>
          <w:rtl/>
        </w:rPr>
        <w:t xml:space="preserve"> </w:t>
      </w:r>
      <w:r w:rsidRPr="00013DD7">
        <w:rPr>
          <w:rFonts w:ascii="David" w:hAnsi="David" w:cs="David"/>
          <w:rtl/>
        </w:rPr>
        <w:t>חושב בערך אחיד.</w:t>
      </w:r>
    </w:p>
    <w:p w:rsidR="00013DD7" w:rsidRDefault="00013DD7" w:rsidP="00672545">
      <w:pPr>
        <w:pStyle w:val="a9"/>
        <w:spacing w:line="360" w:lineRule="auto"/>
        <w:ind w:left="709" w:right="709"/>
        <w:jc w:val="both"/>
        <w:rPr>
          <w:rFonts w:ascii="David" w:hAnsi="David" w:cs="David"/>
          <w:rtl/>
        </w:rPr>
      </w:pPr>
      <w:r w:rsidRPr="00013DD7">
        <w:rPr>
          <w:rFonts w:ascii="David" w:hAnsi="David" w:cs="David"/>
          <w:rtl/>
        </w:rPr>
        <w:t xml:space="preserve">ענייננו אם כן בחישוב חלקן היחסי של דירות </w:t>
      </w:r>
      <w:proofErr w:type="spellStart"/>
      <w:r w:rsidRPr="00013DD7">
        <w:rPr>
          <w:rFonts w:ascii="David" w:hAnsi="David" w:cs="David"/>
          <w:rtl/>
        </w:rPr>
        <w:t>מסויימות</w:t>
      </w:r>
      <w:proofErr w:type="spellEnd"/>
      <w:r w:rsidRPr="00013DD7">
        <w:rPr>
          <w:rFonts w:ascii="David" w:hAnsi="David" w:cs="David"/>
          <w:rtl/>
        </w:rPr>
        <w:t xml:space="preserve"> - דירות הדיירים שערכן מבוטא במונה, מתוך ערכן הכולל של כ</w:t>
      </w:r>
      <w:r w:rsidR="006E435E">
        <w:rPr>
          <w:rFonts w:ascii="David" w:hAnsi="David" w:cs="David" w:hint="cs"/>
          <w:rtl/>
        </w:rPr>
        <w:t>ל</w:t>
      </w:r>
      <w:r w:rsidRPr="00013DD7">
        <w:rPr>
          <w:rFonts w:ascii="David" w:hAnsi="David" w:cs="David"/>
          <w:rtl/>
        </w:rPr>
        <w:t>ל הדירות אשר ערכן מבוטא במכנה.</w:t>
      </w:r>
    </w:p>
    <w:p w:rsidR="00013DD7" w:rsidRDefault="00013DD7" w:rsidP="00672545">
      <w:pPr>
        <w:pStyle w:val="a9"/>
        <w:spacing w:line="360" w:lineRule="auto"/>
        <w:ind w:left="709" w:right="709"/>
        <w:jc w:val="both"/>
        <w:rPr>
          <w:rFonts w:ascii="David" w:hAnsi="David" w:cs="David"/>
          <w:rtl/>
        </w:rPr>
      </w:pPr>
      <w:r w:rsidRPr="00013DD7">
        <w:rPr>
          <w:rFonts w:ascii="David" w:hAnsi="David" w:cs="David"/>
          <w:rtl/>
        </w:rPr>
        <w:t xml:space="preserve">על כן, היה מצופה כי כשם שהערך במכנה (כלל הדירות)  אינו אחיד – שכן, בחלופה האחת הוא כולל ממ"דים ובחלופה השנייה אינו כולל ממ"דים,  כך גם הערך שבמונה (דירות הדיירים) ישתנה בין החלופות, באחת יכלול את הממ"דים </w:t>
      </w:r>
      <w:proofErr w:type="spellStart"/>
      <w:r w:rsidRPr="00013DD7">
        <w:rPr>
          <w:rFonts w:ascii="David" w:hAnsi="David" w:cs="David"/>
          <w:rtl/>
        </w:rPr>
        <w:t>ובשניה</w:t>
      </w:r>
      <w:proofErr w:type="spellEnd"/>
      <w:r w:rsidRPr="00013DD7">
        <w:rPr>
          <w:rFonts w:ascii="David" w:hAnsi="David" w:cs="David"/>
          <w:rtl/>
        </w:rPr>
        <w:t xml:space="preserve"> לא יכלול את הממ"דים.</w:t>
      </w:r>
    </w:p>
    <w:p w:rsidR="00013DD7" w:rsidRPr="00013DD7" w:rsidRDefault="00013DD7" w:rsidP="00672545">
      <w:pPr>
        <w:pStyle w:val="a9"/>
        <w:spacing w:line="360" w:lineRule="auto"/>
        <w:ind w:left="709" w:right="709"/>
        <w:jc w:val="both"/>
        <w:rPr>
          <w:rFonts w:ascii="David" w:hAnsi="David" w:cs="David"/>
          <w:rtl/>
        </w:rPr>
      </w:pPr>
      <w:r w:rsidRPr="00013DD7">
        <w:rPr>
          <w:rFonts w:ascii="David" w:hAnsi="David" w:cs="David"/>
          <w:rtl/>
        </w:rPr>
        <w:t>אלא שכאמור, הערך שבמונה נותר אחיד בשתי החלופות. הן בחלופה עם ממ"דים והן בחלופה ללא ממ"דים. אי לכך</w:t>
      </w:r>
      <w:r w:rsidR="00152F10">
        <w:rPr>
          <w:rFonts w:ascii="David" w:hAnsi="David" w:cs="David" w:hint="cs"/>
          <w:rtl/>
        </w:rPr>
        <w:t xml:space="preserve"> כפי שפורט באלו המילים בהחלטת הביניים</w:t>
      </w:r>
      <w:r w:rsidRPr="00013DD7">
        <w:rPr>
          <w:rFonts w:ascii="David" w:hAnsi="David" w:cs="David"/>
          <w:rtl/>
        </w:rPr>
        <w:t xml:space="preserve">, </w:t>
      </w:r>
      <w:r w:rsidR="00152F10" w:rsidRPr="00152F10">
        <w:rPr>
          <w:rFonts w:ascii="David" w:hAnsi="David" w:cs="David" w:hint="cs"/>
          <w:b/>
          <w:bCs/>
          <w:rtl/>
        </w:rPr>
        <w:t xml:space="preserve">התבקשה השמאית המכריעה ליתן </w:t>
      </w:r>
      <w:r w:rsidRPr="00152F10">
        <w:rPr>
          <w:rFonts w:ascii="David" w:hAnsi="David" w:cs="David"/>
          <w:b/>
          <w:bCs/>
          <w:rtl/>
        </w:rPr>
        <w:t>הסבר מדוע הערך שבמונה (שווי דירות הדיירים) נותר אחיד בשתי החלופות?</w:t>
      </w:r>
    </w:p>
    <w:p w:rsidR="00CE35DA" w:rsidRPr="00CE35DA" w:rsidRDefault="00CA0E5D" w:rsidP="00CA0E5D">
      <w:pPr>
        <w:pStyle w:val="a9"/>
        <w:numPr>
          <w:ilvl w:val="0"/>
          <w:numId w:val="1"/>
        </w:numPr>
        <w:spacing w:line="360" w:lineRule="auto"/>
        <w:ind w:left="283" w:hanging="425"/>
        <w:jc w:val="both"/>
        <w:rPr>
          <w:rFonts w:ascii="David" w:hAnsi="David" w:cs="David"/>
        </w:rPr>
      </w:pPr>
      <w:r w:rsidRPr="00CE35DA">
        <w:rPr>
          <w:rFonts w:ascii="David" w:hAnsi="David" w:cs="David" w:hint="cs"/>
          <w:rtl/>
        </w:rPr>
        <w:t xml:space="preserve">במסגרת מסמך </w:t>
      </w:r>
      <w:r w:rsidR="00095A69">
        <w:rPr>
          <w:rFonts w:ascii="David" w:hAnsi="David" w:cs="David" w:hint="cs"/>
          <w:rtl/>
        </w:rPr>
        <w:t xml:space="preserve">תשובה להבהרות </w:t>
      </w:r>
      <w:r w:rsidRPr="00CE35DA">
        <w:rPr>
          <w:rFonts w:ascii="David" w:hAnsi="David" w:cs="David" w:hint="cs"/>
          <w:rtl/>
        </w:rPr>
        <w:t xml:space="preserve">בנוגע לסוגיה זו </w:t>
      </w:r>
      <w:r w:rsidR="00CE35DA" w:rsidRPr="00CE35DA">
        <w:rPr>
          <w:rFonts w:ascii="David" w:hAnsi="David" w:cs="David" w:hint="cs"/>
          <w:rtl/>
        </w:rPr>
        <w:t>ערכה השמאית המכריעה את החישוב בשתי חלופות כדלקמן:</w:t>
      </w:r>
    </w:p>
    <w:p w:rsidR="00CA0E5D" w:rsidRDefault="00CE35DA" w:rsidP="00CE35DA">
      <w:pPr>
        <w:pStyle w:val="a9"/>
        <w:spacing w:line="360" w:lineRule="auto"/>
        <w:ind w:left="283"/>
        <w:jc w:val="center"/>
        <w:rPr>
          <w:rFonts w:ascii="David" w:hAnsi="David" w:cs="David"/>
          <w:highlight w:val="yellow"/>
        </w:rPr>
      </w:pPr>
      <w:r w:rsidRPr="00CE35DA">
        <w:rPr>
          <w:rFonts w:ascii="David" w:hAnsi="David" w:cs="David"/>
          <w:noProof/>
          <w:rtl/>
        </w:rPr>
        <w:drawing>
          <wp:inline distT="0" distB="0" distL="0" distR="0" wp14:anchorId="1B50D96A" wp14:editId="07B17D1F">
            <wp:extent cx="4445228" cy="1568531"/>
            <wp:effectExtent l="0" t="0" r="0" b="0"/>
            <wp:docPr id="14581280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2809" name=""/>
                    <pic:cNvPicPr/>
                  </pic:nvPicPr>
                  <pic:blipFill>
                    <a:blip r:embed="rId43"/>
                    <a:stretch>
                      <a:fillRect/>
                    </a:stretch>
                  </pic:blipFill>
                  <pic:spPr>
                    <a:xfrm>
                      <a:off x="0" y="0"/>
                      <a:ext cx="4445228" cy="1568531"/>
                    </a:xfrm>
                    <a:prstGeom prst="rect">
                      <a:avLst/>
                    </a:prstGeom>
                  </pic:spPr>
                </pic:pic>
              </a:graphicData>
            </a:graphic>
          </wp:inline>
        </w:drawing>
      </w:r>
    </w:p>
    <w:p w:rsidR="0017086E" w:rsidRDefault="0017086E" w:rsidP="00CE35DA">
      <w:pPr>
        <w:pStyle w:val="a9"/>
        <w:spacing w:line="360" w:lineRule="auto"/>
        <w:ind w:left="283"/>
        <w:jc w:val="both"/>
        <w:rPr>
          <w:rFonts w:ascii="David" w:hAnsi="David" w:cs="David"/>
          <w:rtl/>
        </w:rPr>
      </w:pPr>
    </w:p>
    <w:p w:rsidR="0017086E" w:rsidRDefault="0017086E" w:rsidP="00A038F8">
      <w:pPr>
        <w:pStyle w:val="a9"/>
        <w:numPr>
          <w:ilvl w:val="0"/>
          <w:numId w:val="1"/>
        </w:numPr>
        <w:spacing w:line="360" w:lineRule="auto"/>
        <w:ind w:left="283" w:hanging="425"/>
        <w:jc w:val="both"/>
        <w:rPr>
          <w:rFonts w:ascii="David" w:hAnsi="David" w:cs="David"/>
          <w:rtl/>
        </w:rPr>
      </w:pPr>
      <w:r>
        <w:rPr>
          <w:rFonts w:ascii="David" w:hAnsi="David" w:cs="David" w:hint="cs"/>
          <w:rtl/>
        </w:rPr>
        <w:t xml:space="preserve">לאחר הצגת חלופות אלה ציינה </w:t>
      </w:r>
      <w:r w:rsidR="00B930FD">
        <w:rPr>
          <w:rFonts w:ascii="David" w:hAnsi="David" w:cs="David" w:hint="cs"/>
          <w:rtl/>
        </w:rPr>
        <w:t>השמאית המכריעה כדלקמן</w:t>
      </w:r>
      <w:r>
        <w:rPr>
          <w:rFonts w:ascii="David" w:hAnsi="David" w:cs="David" w:hint="cs"/>
          <w:rtl/>
        </w:rPr>
        <w:t>:</w:t>
      </w:r>
    </w:p>
    <w:p w:rsidR="0017086E" w:rsidRPr="00A038F8" w:rsidRDefault="0017086E" w:rsidP="00A038F8">
      <w:pPr>
        <w:pStyle w:val="a9"/>
        <w:spacing w:line="360" w:lineRule="auto"/>
        <w:ind w:left="709" w:right="709"/>
        <w:jc w:val="both"/>
        <w:rPr>
          <w:rFonts w:ascii="David" w:hAnsi="David" w:cs="David"/>
          <w:i/>
          <w:iCs/>
          <w:rtl/>
        </w:rPr>
      </w:pPr>
      <w:r w:rsidRPr="00A038F8">
        <w:rPr>
          <w:rFonts w:ascii="David" w:hAnsi="David" w:cs="David"/>
          <w:i/>
          <w:iCs/>
          <w:rtl/>
        </w:rPr>
        <w:t xml:space="preserve">"שווי דירות דיירים לא משתנה בין שתי החלופות משום שהוא </w:t>
      </w:r>
      <w:r w:rsidRPr="00A038F8">
        <w:rPr>
          <w:rFonts w:ascii="David" w:hAnsi="David" w:cs="David" w:hint="eastAsia"/>
          <w:b/>
          <w:bCs/>
          <w:i/>
          <w:iCs/>
          <w:rtl/>
        </w:rPr>
        <w:t>מייצג</w:t>
      </w:r>
      <w:r w:rsidRPr="00A038F8">
        <w:rPr>
          <w:rFonts w:ascii="David" w:hAnsi="David" w:cs="David"/>
          <w:b/>
          <w:bCs/>
          <w:i/>
          <w:iCs/>
          <w:rtl/>
        </w:rPr>
        <w:t xml:space="preserve"> את אותה קבוצת נכסים עם אותם מאפיינים</w:t>
      </w:r>
      <w:r w:rsidRPr="00A038F8">
        <w:rPr>
          <w:rFonts w:ascii="David" w:hAnsi="David" w:cs="David"/>
          <w:i/>
          <w:iCs/>
          <w:rtl/>
        </w:rPr>
        <w:t xml:space="preserve"> </w:t>
      </w:r>
      <w:r w:rsidR="00B930FD" w:rsidRPr="00A038F8">
        <w:rPr>
          <w:rFonts w:ascii="David" w:hAnsi="David" w:cs="David" w:hint="eastAsia"/>
          <w:i/>
          <w:iCs/>
          <w:rtl/>
        </w:rPr>
        <w:t>ששווים</w:t>
      </w:r>
      <w:r w:rsidRPr="00A038F8">
        <w:rPr>
          <w:rFonts w:ascii="David" w:hAnsi="David" w:cs="David"/>
          <w:i/>
          <w:iCs/>
          <w:rtl/>
        </w:rPr>
        <w:t xml:space="preserve"> נגזר משווי המצב החדש ואינו מושפע מהשאלה האם דירות היזם כוללות ממ"ד אם לאו. הבדל בין החלופות בא לידי ביטוי </w:t>
      </w:r>
      <w:r w:rsidRPr="00A038F8">
        <w:rPr>
          <w:rFonts w:ascii="David" w:hAnsi="David" w:cs="David" w:hint="eastAsia"/>
          <w:b/>
          <w:bCs/>
          <w:i/>
          <w:iCs/>
          <w:rtl/>
        </w:rPr>
        <w:t>אך</w:t>
      </w:r>
      <w:r w:rsidRPr="00A038F8">
        <w:rPr>
          <w:rFonts w:ascii="David" w:hAnsi="David" w:cs="David"/>
          <w:b/>
          <w:bCs/>
          <w:i/>
          <w:iCs/>
          <w:rtl/>
        </w:rPr>
        <w:t xml:space="preserve"> ורק בצד המכנה</w:t>
      </w:r>
      <w:r w:rsidRPr="00A038F8">
        <w:rPr>
          <w:rFonts w:ascii="David" w:hAnsi="David" w:cs="David"/>
          <w:i/>
          <w:iCs/>
          <w:rtl/>
        </w:rPr>
        <w:t xml:space="preserve"> – והוא משקף את השאלה האם יש להכליל את שווי הממ"דים בדירות היזם או שלא. </w:t>
      </w:r>
    </w:p>
    <w:p w:rsidR="0017086E" w:rsidRDefault="0017086E" w:rsidP="00A038F8">
      <w:pPr>
        <w:pStyle w:val="a9"/>
        <w:spacing w:line="360" w:lineRule="auto"/>
        <w:ind w:left="709" w:right="709"/>
        <w:jc w:val="both"/>
        <w:rPr>
          <w:rFonts w:ascii="David" w:hAnsi="David" w:cs="David"/>
          <w:i/>
          <w:iCs/>
          <w:rtl/>
        </w:rPr>
      </w:pPr>
      <w:r w:rsidRPr="00A038F8">
        <w:rPr>
          <w:rFonts w:ascii="David" w:hAnsi="David" w:cs="David" w:hint="eastAsia"/>
          <w:i/>
          <w:iCs/>
          <w:rtl/>
        </w:rPr>
        <w:t>לאור</w:t>
      </w:r>
      <w:r w:rsidRPr="00A038F8">
        <w:rPr>
          <w:rFonts w:ascii="David" w:hAnsi="David" w:cs="David"/>
          <w:i/>
          <w:iCs/>
          <w:rtl/>
        </w:rPr>
        <w:t xml:space="preserve"> האמור על מנת לבחון את החלק היחסי של דירות התמורה מסך שווי המצב החדש המונה נשאר אחיד בעוד המכנה משתנה כמפורט מעלה". </w:t>
      </w:r>
    </w:p>
    <w:p w:rsidR="007628D6" w:rsidRDefault="007628D6" w:rsidP="00A038F8">
      <w:pPr>
        <w:pStyle w:val="a9"/>
        <w:spacing w:line="360" w:lineRule="auto"/>
        <w:ind w:left="709" w:right="709"/>
        <w:jc w:val="both"/>
        <w:rPr>
          <w:rFonts w:ascii="David" w:hAnsi="David" w:cs="David"/>
          <w:i/>
          <w:iCs/>
          <w:rtl/>
        </w:rPr>
      </w:pPr>
    </w:p>
    <w:p w:rsidR="007628D6" w:rsidRPr="00A038F8" w:rsidRDefault="007628D6" w:rsidP="00A038F8">
      <w:pPr>
        <w:pStyle w:val="a9"/>
        <w:spacing w:line="360" w:lineRule="auto"/>
        <w:ind w:left="709" w:right="709"/>
        <w:jc w:val="both"/>
        <w:rPr>
          <w:rFonts w:ascii="David" w:hAnsi="David" w:cs="David"/>
          <w:i/>
          <w:iCs/>
          <w:rtl/>
        </w:rPr>
      </w:pPr>
    </w:p>
    <w:p w:rsidR="0017086E" w:rsidRPr="0017086E" w:rsidRDefault="0017086E" w:rsidP="00CE35DA">
      <w:pPr>
        <w:pStyle w:val="a9"/>
        <w:spacing w:line="360" w:lineRule="auto"/>
        <w:ind w:left="283"/>
        <w:jc w:val="both"/>
        <w:rPr>
          <w:rFonts w:ascii="David" w:hAnsi="David" w:cs="David"/>
          <w:rtl/>
        </w:rPr>
      </w:pPr>
    </w:p>
    <w:p w:rsidR="00CE35DA" w:rsidRPr="0017086E" w:rsidRDefault="00953818" w:rsidP="00A038F8">
      <w:pPr>
        <w:pStyle w:val="a9"/>
        <w:numPr>
          <w:ilvl w:val="0"/>
          <w:numId w:val="1"/>
        </w:numPr>
        <w:spacing w:line="360" w:lineRule="auto"/>
        <w:ind w:left="283" w:hanging="425"/>
        <w:contextualSpacing w:val="0"/>
        <w:jc w:val="both"/>
        <w:rPr>
          <w:rFonts w:ascii="David" w:hAnsi="David" w:cs="David"/>
          <w:rtl/>
        </w:rPr>
      </w:pPr>
      <w:r w:rsidRPr="0017086E">
        <w:rPr>
          <w:rFonts w:ascii="David" w:hAnsi="David" w:cs="David" w:hint="cs"/>
          <w:rtl/>
        </w:rPr>
        <w:t xml:space="preserve">בעניין זה הצדדים הגישו התייחסות מטעמם </w:t>
      </w:r>
      <w:r w:rsidRPr="0017086E">
        <w:rPr>
          <w:rFonts w:ascii="David" w:hAnsi="David" w:cs="David"/>
          <w:rtl/>
        </w:rPr>
        <w:t>–</w:t>
      </w:r>
      <w:r w:rsidRPr="0017086E">
        <w:rPr>
          <w:rFonts w:ascii="David" w:hAnsi="David" w:cs="David" w:hint="cs"/>
          <w:rtl/>
        </w:rPr>
        <w:t xml:space="preserve"> </w:t>
      </w:r>
    </w:p>
    <w:p w:rsidR="0017086E" w:rsidRDefault="0017086E" w:rsidP="00A038F8">
      <w:pPr>
        <w:pStyle w:val="a9"/>
        <w:spacing w:line="360" w:lineRule="auto"/>
        <w:ind w:left="283"/>
        <w:contextualSpacing w:val="0"/>
        <w:jc w:val="both"/>
        <w:rPr>
          <w:rFonts w:ascii="David" w:hAnsi="David" w:cs="David"/>
          <w:rtl/>
        </w:rPr>
      </w:pPr>
      <w:r w:rsidRPr="00B930FD">
        <w:rPr>
          <w:rFonts w:ascii="David" w:hAnsi="David" w:cs="David" w:hint="cs"/>
          <w:u w:val="single"/>
          <w:rtl/>
        </w:rPr>
        <w:t>החברה</w:t>
      </w:r>
      <w:r w:rsidRPr="0017086E">
        <w:rPr>
          <w:rFonts w:ascii="David" w:hAnsi="David" w:cs="David" w:hint="cs"/>
          <w:rtl/>
        </w:rPr>
        <w:t xml:space="preserve"> מצידה טענה </w:t>
      </w:r>
      <w:r>
        <w:rPr>
          <w:rFonts w:ascii="David" w:hAnsi="David" w:cs="David" w:hint="cs"/>
          <w:rtl/>
        </w:rPr>
        <w:t xml:space="preserve">שבכל אחד מהחישובים יש להביא את עניין הממ"דים בצורה זהה הן במונה והן במכנה דהיינו, בחלופה עם ממ"דים יש להביא את השווי עם ממ"דים הן במונה והן במכנה ובחלופה בלי ממ"דים יש להביא את השווי ללא ממ"דים הן במונה והן במכנה. </w:t>
      </w:r>
    </w:p>
    <w:p w:rsidR="0017086E" w:rsidRDefault="0017086E" w:rsidP="00A038F8">
      <w:pPr>
        <w:pStyle w:val="a9"/>
        <w:spacing w:line="360" w:lineRule="auto"/>
        <w:ind w:left="283"/>
        <w:contextualSpacing w:val="0"/>
        <w:jc w:val="both"/>
        <w:rPr>
          <w:rFonts w:ascii="David" w:hAnsi="David" w:cs="David"/>
          <w:rtl/>
        </w:rPr>
      </w:pPr>
      <w:r w:rsidRPr="00B930FD">
        <w:rPr>
          <w:rFonts w:ascii="David" w:hAnsi="David" w:cs="David" w:hint="cs"/>
          <w:u w:val="single"/>
          <w:rtl/>
        </w:rPr>
        <w:t>הועדה המקומית</w:t>
      </w:r>
      <w:r>
        <w:rPr>
          <w:rFonts w:ascii="David" w:hAnsi="David" w:cs="David" w:hint="cs"/>
          <w:rtl/>
        </w:rPr>
        <w:t xml:space="preserve"> לא הגישה התייחסותה לנקודה זו.</w:t>
      </w:r>
    </w:p>
    <w:p w:rsidR="00B930FD" w:rsidRDefault="0017086E" w:rsidP="00A038F8">
      <w:pPr>
        <w:pStyle w:val="a9"/>
        <w:numPr>
          <w:ilvl w:val="0"/>
          <w:numId w:val="1"/>
        </w:numPr>
        <w:spacing w:line="360" w:lineRule="auto"/>
        <w:ind w:left="142" w:hanging="426"/>
        <w:contextualSpacing w:val="0"/>
        <w:jc w:val="both"/>
        <w:rPr>
          <w:rFonts w:ascii="David" w:hAnsi="David" w:cs="David"/>
        </w:rPr>
      </w:pPr>
      <w:r>
        <w:rPr>
          <w:rFonts w:ascii="David" w:hAnsi="David" w:cs="David" w:hint="cs"/>
          <w:rtl/>
        </w:rPr>
        <w:t>לטעמנו, צודקת החברה בטענתה שבעקרון בכל אחת מהחלופות יש לערוך את החשבון לפי משמעות החלופה</w:t>
      </w:r>
      <w:r w:rsidR="00B930FD">
        <w:rPr>
          <w:rFonts w:ascii="David" w:hAnsi="David" w:cs="David" w:hint="cs"/>
          <w:rtl/>
        </w:rPr>
        <w:t>,</w:t>
      </w:r>
      <w:r>
        <w:rPr>
          <w:rFonts w:ascii="David" w:hAnsi="David" w:cs="David" w:hint="cs"/>
          <w:rtl/>
        </w:rPr>
        <w:t xml:space="preserve"> דהיינו, בחלופה </w:t>
      </w:r>
      <w:r w:rsidRPr="00B930FD">
        <w:rPr>
          <w:rFonts w:ascii="David" w:hAnsi="David" w:cs="David" w:hint="cs"/>
          <w:b/>
          <w:bCs/>
          <w:rtl/>
        </w:rPr>
        <w:t>עם</w:t>
      </w:r>
      <w:r>
        <w:rPr>
          <w:rFonts w:ascii="David" w:hAnsi="David" w:cs="David" w:hint="cs"/>
          <w:rtl/>
        </w:rPr>
        <w:t xml:space="preserve"> ממ"דים יובאו הממ"דים במלואם גם במונה וגם במכנה ביחס לכל הדירות</w:t>
      </w:r>
      <w:r w:rsidR="00B930FD">
        <w:rPr>
          <w:rFonts w:ascii="David" w:hAnsi="David" w:cs="David" w:hint="cs"/>
          <w:rtl/>
        </w:rPr>
        <w:t>,</w:t>
      </w:r>
      <w:r>
        <w:rPr>
          <w:rFonts w:ascii="David" w:hAnsi="David" w:cs="David" w:hint="cs"/>
          <w:rtl/>
        </w:rPr>
        <w:t xml:space="preserve"> ובהתאמה ביחס לחלופה </w:t>
      </w:r>
      <w:r w:rsidRPr="00B930FD">
        <w:rPr>
          <w:rFonts w:ascii="David" w:hAnsi="David" w:cs="David" w:hint="cs"/>
          <w:b/>
          <w:bCs/>
          <w:rtl/>
        </w:rPr>
        <w:t>ללא</w:t>
      </w:r>
      <w:r>
        <w:rPr>
          <w:rFonts w:ascii="David" w:hAnsi="David" w:cs="David" w:hint="cs"/>
          <w:rtl/>
        </w:rPr>
        <w:t xml:space="preserve"> </w:t>
      </w:r>
      <w:proofErr w:type="spellStart"/>
      <w:r>
        <w:rPr>
          <w:rFonts w:ascii="David" w:hAnsi="David" w:cs="David" w:hint="cs"/>
          <w:rtl/>
        </w:rPr>
        <w:t>ממד"ים</w:t>
      </w:r>
      <w:proofErr w:type="spellEnd"/>
      <w:r w:rsidR="00B930FD">
        <w:rPr>
          <w:rFonts w:ascii="David" w:hAnsi="David" w:cs="David" w:hint="cs"/>
          <w:rtl/>
        </w:rPr>
        <w:t>,</w:t>
      </w:r>
      <w:r>
        <w:rPr>
          <w:rFonts w:ascii="David" w:hAnsi="David" w:cs="David" w:hint="cs"/>
          <w:rtl/>
        </w:rPr>
        <w:t xml:space="preserve"> שלא יובאו הממ"דים כלל לא במונה ולא במכנה ביחס לכל הדירות. </w:t>
      </w:r>
    </w:p>
    <w:p w:rsidR="0017086E" w:rsidRDefault="0017086E" w:rsidP="00A038F8">
      <w:pPr>
        <w:pStyle w:val="a9"/>
        <w:numPr>
          <w:ilvl w:val="0"/>
          <w:numId w:val="1"/>
        </w:numPr>
        <w:spacing w:line="360" w:lineRule="auto"/>
        <w:ind w:left="142" w:hanging="426"/>
        <w:contextualSpacing w:val="0"/>
        <w:jc w:val="both"/>
        <w:rPr>
          <w:rFonts w:ascii="David" w:hAnsi="David" w:cs="David"/>
        </w:rPr>
      </w:pPr>
      <w:r>
        <w:rPr>
          <w:rFonts w:ascii="David" w:hAnsi="David" w:cs="David" w:hint="cs"/>
          <w:rtl/>
        </w:rPr>
        <w:t xml:space="preserve">על כן ובשים לב </w:t>
      </w:r>
      <w:r w:rsidR="00D56DC1">
        <w:rPr>
          <w:rFonts w:ascii="David" w:hAnsi="David" w:cs="David" w:hint="cs"/>
          <w:rtl/>
        </w:rPr>
        <w:t xml:space="preserve">לכך </w:t>
      </w:r>
      <w:r>
        <w:rPr>
          <w:rFonts w:ascii="David" w:hAnsi="David" w:cs="David" w:hint="cs"/>
          <w:rtl/>
        </w:rPr>
        <w:t xml:space="preserve">שבחלופה </w:t>
      </w:r>
      <w:r w:rsidR="00D56DC1">
        <w:rPr>
          <w:rFonts w:ascii="David" w:hAnsi="David" w:cs="David" w:hint="cs"/>
          <w:rtl/>
        </w:rPr>
        <w:t xml:space="preserve">1 </w:t>
      </w:r>
      <w:r>
        <w:rPr>
          <w:rFonts w:ascii="David" w:hAnsi="David" w:cs="David" w:hint="cs"/>
          <w:rtl/>
        </w:rPr>
        <w:t>הכוללת ממ"דים</w:t>
      </w:r>
      <w:r w:rsidR="00D56DC1">
        <w:rPr>
          <w:rFonts w:ascii="David" w:hAnsi="David" w:cs="David" w:hint="cs"/>
          <w:rtl/>
        </w:rPr>
        <w:t xml:space="preserve"> </w:t>
      </w:r>
      <w:r w:rsidR="00BA3FAE">
        <w:rPr>
          <w:rFonts w:ascii="David" w:hAnsi="David" w:cs="David" w:hint="cs"/>
          <w:rtl/>
        </w:rPr>
        <w:t>(בנספח 1)</w:t>
      </w:r>
      <w:r w:rsidR="00D56DC1">
        <w:rPr>
          <w:rFonts w:ascii="David" w:hAnsi="David" w:cs="David"/>
          <w:rtl/>
        </w:rPr>
        <w:t>–</w:t>
      </w:r>
      <w:r w:rsidR="00D56DC1">
        <w:rPr>
          <w:rFonts w:ascii="David" w:hAnsi="David" w:cs="David" w:hint="cs"/>
          <w:rtl/>
        </w:rPr>
        <w:t xml:space="preserve"> ישנו </w:t>
      </w:r>
      <w:r w:rsidR="00D56DC1" w:rsidRPr="00B930FD">
        <w:rPr>
          <w:rFonts w:ascii="David" w:hAnsi="David" w:cs="David" w:hint="cs"/>
          <w:u w:val="single"/>
          <w:rtl/>
        </w:rPr>
        <w:t>שוני</w:t>
      </w:r>
      <w:r w:rsidR="00D56DC1">
        <w:rPr>
          <w:rFonts w:ascii="David" w:hAnsi="David" w:cs="David" w:hint="cs"/>
          <w:rtl/>
        </w:rPr>
        <w:t xml:space="preserve"> בין המונה למכנה בעניין הבאת הממ</w:t>
      </w:r>
      <w:r w:rsidR="00B930FD">
        <w:rPr>
          <w:rFonts w:ascii="David" w:hAnsi="David" w:cs="David" w:hint="cs"/>
          <w:rtl/>
        </w:rPr>
        <w:t>"</w:t>
      </w:r>
      <w:r w:rsidR="00D56DC1">
        <w:rPr>
          <w:rFonts w:ascii="David" w:hAnsi="David" w:cs="David" w:hint="cs"/>
          <w:rtl/>
        </w:rPr>
        <w:t xml:space="preserve">דים, מתבקשת השמאית המכריעה לתקן את התחשיב ולהביא בחשבון את הממ"דים הן במונה והן במכנה ביחס לכלל הדירות.  </w:t>
      </w:r>
    </w:p>
    <w:p w:rsidR="00B125E8" w:rsidRDefault="0008237A" w:rsidP="00A038F8">
      <w:pPr>
        <w:pStyle w:val="1"/>
        <w:rPr>
          <w:rtl/>
        </w:rPr>
      </w:pPr>
      <w:bookmarkStart w:id="35" w:name="_Toc203992517"/>
      <w:bookmarkStart w:id="36" w:name="_Toc204504399"/>
      <w:r>
        <w:rPr>
          <w:rFonts w:hint="cs"/>
          <w:rtl/>
        </w:rPr>
        <w:t>ער</w:t>
      </w:r>
      <w:r w:rsidR="00B125E8" w:rsidRPr="00502BD0">
        <w:rPr>
          <w:rFonts w:hint="cs"/>
          <w:rtl/>
        </w:rPr>
        <w:t xml:space="preserve">רי החברה </w:t>
      </w:r>
      <w:r w:rsidR="004B30C1" w:rsidRPr="004B30C1">
        <w:rPr>
          <w:rtl/>
        </w:rPr>
        <w:t>86010/0223+86009/0223</w:t>
      </w:r>
      <w:bookmarkEnd w:id="35"/>
      <w:bookmarkEnd w:id="36"/>
    </w:p>
    <w:p w:rsidR="004B30C1" w:rsidRDefault="004B30C1" w:rsidP="00A038F8">
      <w:pPr>
        <w:pStyle w:val="2"/>
        <w:rPr>
          <w:rtl/>
        </w:rPr>
      </w:pPr>
      <w:bookmarkStart w:id="37" w:name="_Toc203992518"/>
      <w:bookmarkStart w:id="38" w:name="_Toc204504400"/>
      <w:r w:rsidRPr="00F255FB">
        <w:rPr>
          <w:rFonts w:hint="cs"/>
          <w:rtl/>
        </w:rPr>
        <w:t xml:space="preserve">א. </w:t>
      </w:r>
      <w:r w:rsidR="00502BD0" w:rsidRPr="00F255FB">
        <w:rPr>
          <w:rFonts w:hint="cs"/>
          <w:rtl/>
        </w:rPr>
        <w:t>ה</w:t>
      </w:r>
      <w:r w:rsidR="00813E76" w:rsidRPr="00F255FB">
        <w:rPr>
          <w:rFonts w:hint="cs"/>
          <w:rtl/>
        </w:rPr>
        <w:t xml:space="preserve">שומות המכריעות לוקות </w:t>
      </w:r>
      <w:r w:rsidR="00502BD0" w:rsidRPr="00F255FB">
        <w:rPr>
          <w:rFonts w:hint="cs"/>
          <w:rtl/>
        </w:rPr>
        <w:t>בחוסר סבירות קיצוני</w:t>
      </w:r>
      <w:bookmarkEnd w:id="37"/>
      <w:bookmarkEnd w:id="38"/>
      <w:r w:rsidR="00502BD0" w:rsidRPr="00F255FB">
        <w:rPr>
          <w:rFonts w:hint="cs"/>
          <w:rtl/>
        </w:rPr>
        <w:t xml:space="preserve"> </w:t>
      </w:r>
    </w:p>
    <w:p w:rsidR="00253AB8" w:rsidRPr="004B30C1" w:rsidRDefault="00253AB8" w:rsidP="00253AB8">
      <w:pPr>
        <w:spacing w:line="360" w:lineRule="auto"/>
        <w:jc w:val="both"/>
        <w:rPr>
          <w:rFonts w:ascii="David" w:hAnsi="David" w:cs="David"/>
          <w:u w:val="thick"/>
        </w:rPr>
      </w:pPr>
      <w:r w:rsidRPr="004B30C1">
        <w:rPr>
          <w:rFonts w:ascii="David" w:hAnsi="David" w:cs="David" w:hint="cs"/>
          <w:u w:val="thick"/>
          <w:rtl/>
        </w:rPr>
        <w:t>טיעון ה</w:t>
      </w:r>
      <w:r>
        <w:rPr>
          <w:rFonts w:ascii="David" w:hAnsi="David" w:cs="David" w:hint="cs"/>
          <w:u w:val="thick"/>
          <w:rtl/>
        </w:rPr>
        <w:t xml:space="preserve">חברה </w:t>
      </w:r>
      <w:r w:rsidRPr="004B30C1">
        <w:rPr>
          <w:rFonts w:ascii="David" w:hAnsi="David" w:cs="David" w:hint="cs"/>
          <w:u w:val="thick"/>
          <w:rtl/>
        </w:rPr>
        <w:t xml:space="preserve"> </w:t>
      </w:r>
    </w:p>
    <w:p w:rsidR="00566BD9" w:rsidRPr="00566BD9" w:rsidRDefault="00566BD9" w:rsidP="00A038F8">
      <w:pPr>
        <w:pStyle w:val="a9"/>
        <w:numPr>
          <w:ilvl w:val="0"/>
          <w:numId w:val="1"/>
        </w:numPr>
        <w:tabs>
          <w:tab w:val="left" w:pos="425"/>
        </w:tabs>
        <w:spacing w:line="360" w:lineRule="auto"/>
        <w:ind w:left="357"/>
        <w:contextualSpacing w:val="0"/>
        <w:jc w:val="both"/>
        <w:rPr>
          <w:rFonts w:ascii="David" w:hAnsi="David" w:cs="David"/>
          <w:rtl/>
        </w:rPr>
      </w:pPr>
      <w:r w:rsidRPr="00566BD9">
        <w:rPr>
          <w:rFonts w:ascii="David" w:hAnsi="David" w:cs="David"/>
          <w:rtl/>
        </w:rPr>
        <w:t xml:space="preserve">ראשית, מציינת החברה שתכנית בי/517 כללה במקור 600 יח"ד ואולם במהלך הפקדתה הופחת מספר </w:t>
      </w:r>
      <w:proofErr w:type="spellStart"/>
      <w:r w:rsidRPr="00566BD9">
        <w:rPr>
          <w:rFonts w:ascii="David" w:hAnsi="David" w:cs="David"/>
          <w:rtl/>
        </w:rPr>
        <w:t>יחה"ד</w:t>
      </w:r>
      <w:proofErr w:type="spellEnd"/>
      <w:r w:rsidRPr="00566BD9">
        <w:rPr>
          <w:rFonts w:ascii="David" w:hAnsi="David" w:cs="David"/>
          <w:rtl/>
        </w:rPr>
        <w:t xml:space="preserve"> ל-470. ולכן לשיטתה התכנית </w:t>
      </w:r>
      <w:proofErr w:type="spellStart"/>
      <w:r w:rsidRPr="00566BD9">
        <w:rPr>
          <w:rFonts w:ascii="David" w:hAnsi="David" w:cs="David"/>
          <w:rtl/>
        </w:rPr>
        <w:t>היתה</w:t>
      </w:r>
      <w:proofErr w:type="spellEnd"/>
      <w:r w:rsidRPr="00566BD9">
        <w:rPr>
          <w:rFonts w:ascii="David" w:hAnsi="David" w:cs="David"/>
          <w:rtl/>
        </w:rPr>
        <w:t xml:space="preserve"> "כדאית" רק בהנחה של פטור מהיטל השבחה, אשר לא ניתן. החברה מציינת שמסיבה זו היזם המקורי פרש מהפרויקט והחברה לקחה על עצמה את קידום הפרויקט על בסיס הבנות כי תהיה העצמה זכויות (בדרך של תכנית או הקלות) לכן, לשיטת החברה, מטרת ההקלות </w:t>
      </w:r>
      <w:proofErr w:type="spellStart"/>
      <w:r w:rsidRPr="00566BD9">
        <w:rPr>
          <w:rFonts w:ascii="David" w:hAnsi="David" w:cs="David"/>
          <w:rtl/>
        </w:rPr>
        <w:t>היתה</w:t>
      </w:r>
      <w:proofErr w:type="spellEnd"/>
      <w:r w:rsidRPr="00566BD9">
        <w:rPr>
          <w:rFonts w:ascii="David" w:hAnsi="David" w:cs="David"/>
          <w:rtl/>
        </w:rPr>
        <w:t xml:space="preserve"> לייצר את הכדאיות הכלכלית שתאפשר את מימוש הפרויקט.</w:t>
      </w:r>
    </w:p>
    <w:p w:rsidR="00566BD9" w:rsidRPr="00566BD9" w:rsidRDefault="00566BD9" w:rsidP="00A038F8">
      <w:pPr>
        <w:pStyle w:val="a9"/>
        <w:numPr>
          <w:ilvl w:val="0"/>
          <w:numId w:val="1"/>
        </w:numPr>
        <w:tabs>
          <w:tab w:val="left" w:pos="425"/>
        </w:tabs>
        <w:spacing w:line="360" w:lineRule="auto"/>
        <w:ind w:left="357"/>
        <w:contextualSpacing w:val="0"/>
        <w:jc w:val="both"/>
        <w:rPr>
          <w:rFonts w:ascii="David" w:hAnsi="David" w:cs="David"/>
          <w:rtl/>
        </w:rPr>
      </w:pPr>
      <w:r w:rsidRPr="00566BD9">
        <w:rPr>
          <w:rFonts w:ascii="David" w:hAnsi="David" w:cs="David"/>
          <w:rtl/>
        </w:rPr>
        <w:t xml:space="preserve">שנית, סבורה החברה שתוצאת השומות המכריעות הנה בלתי סבירה באופן קיצוני וחורגת גם ביחס לפרויקטים אחרים של פינוי בינוי באזור המרכז, ומניחה שתכנית בי/517 השביחה את המקרקעין במאות אחוזים בניגוד לעובדות בפועל.  </w:t>
      </w:r>
    </w:p>
    <w:p w:rsidR="00253AB8" w:rsidRPr="00294D93" w:rsidRDefault="00253AB8" w:rsidP="00A038F8">
      <w:pPr>
        <w:pStyle w:val="a9"/>
        <w:numPr>
          <w:ilvl w:val="0"/>
          <w:numId w:val="1"/>
        </w:numPr>
        <w:tabs>
          <w:tab w:val="left" w:pos="425"/>
        </w:tabs>
        <w:spacing w:line="360" w:lineRule="auto"/>
        <w:ind w:left="357"/>
        <w:contextualSpacing w:val="0"/>
        <w:jc w:val="both"/>
        <w:rPr>
          <w:rFonts w:ascii="David" w:hAnsi="David" w:cs="David"/>
        </w:rPr>
      </w:pPr>
      <w:r>
        <w:rPr>
          <w:rFonts w:ascii="David" w:hAnsi="David" w:cs="David" w:hint="cs"/>
          <w:rtl/>
        </w:rPr>
        <w:t>היטל ההשבחה בפרויקט הנדון גבוה במאות אחוזים מהיטל השבחה של פרויקטים אחרים של פינוי בינוי. על פי השומות המכריעות, היטל ההשבחה לכל יח"ד</w:t>
      </w:r>
      <w:r w:rsidR="00A038F8">
        <w:rPr>
          <w:rFonts w:ascii="David" w:hAnsi="David" w:cs="David" w:hint="cs"/>
          <w:rtl/>
        </w:rPr>
        <w:t xml:space="preserve"> (הכוונה לכל יח"ד </w:t>
      </w:r>
      <w:r w:rsidR="00A038F8" w:rsidRPr="00A038F8">
        <w:rPr>
          <w:rFonts w:ascii="David" w:hAnsi="David" w:cs="David" w:hint="cs"/>
          <w:u w:val="single"/>
          <w:rtl/>
        </w:rPr>
        <w:t xml:space="preserve">קיימת </w:t>
      </w:r>
      <w:r w:rsidR="00A038F8">
        <w:rPr>
          <w:rFonts w:ascii="David" w:hAnsi="David" w:cs="David" w:hint="cs"/>
          <w:rtl/>
        </w:rPr>
        <w:t>כפי שעולה מהטבלה שצרפה החברה) ב</w:t>
      </w:r>
      <w:r>
        <w:rPr>
          <w:rFonts w:ascii="David" w:hAnsi="David" w:cs="David" w:hint="cs"/>
          <w:rtl/>
        </w:rPr>
        <w:t>פרויקט עומד על 740,000 ₪ (ובהתחשב בפטור שיקום שכונות), בעוד</w:t>
      </w:r>
      <w:r w:rsidR="00294D93">
        <w:rPr>
          <w:rFonts w:ascii="David" w:hAnsi="David" w:cs="David" w:hint="cs"/>
          <w:rtl/>
        </w:rPr>
        <w:t xml:space="preserve">, </w:t>
      </w:r>
      <w:r>
        <w:rPr>
          <w:rFonts w:ascii="David" w:hAnsi="David" w:cs="David" w:hint="cs"/>
          <w:rtl/>
        </w:rPr>
        <w:t>שלפי שומות מכריעות אחרות</w:t>
      </w:r>
      <w:r w:rsidR="00153ACD">
        <w:rPr>
          <w:rFonts w:ascii="David" w:hAnsi="David" w:cs="David" w:hint="cs"/>
          <w:rtl/>
        </w:rPr>
        <w:t xml:space="preserve"> </w:t>
      </w:r>
      <w:proofErr w:type="spellStart"/>
      <w:r w:rsidR="00153ACD">
        <w:rPr>
          <w:rFonts w:ascii="David" w:hAnsi="David" w:cs="David" w:hint="cs"/>
          <w:rtl/>
        </w:rPr>
        <w:t>באיזור</w:t>
      </w:r>
      <w:proofErr w:type="spellEnd"/>
      <w:r w:rsidR="00153ACD">
        <w:rPr>
          <w:rFonts w:ascii="David" w:hAnsi="David" w:cs="David" w:hint="cs"/>
          <w:rtl/>
        </w:rPr>
        <w:t xml:space="preserve"> המרכז בפרויקטים של פינוי בינוי</w:t>
      </w:r>
      <w:r>
        <w:rPr>
          <w:rFonts w:ascii="David" w:hAnsi="David" w:cs="David" w:hint="cs"/>
          <w:rtl/>
        </w:rPr>
        <w:t xml:space="preserve">, היטל השבחה לכל יח"ד הינו בסכום שנע בין 61,000 ₪ ל-339,000 ₪ (ללא פטור). </w:t>
      </w:r>
      <w:r w:rsidRPr="00294D93">
        <w:rPr>
          <w:rFonts w:ascii="David" w:hAnsi="David" w:cs="David" w:hint="cs"/>
          <w:rtl/>
        </w:rPr>
        <w:t xml:space="preserve">מדובר בפער חסר תקדים וללא הצדקה. </w:t>
      </w:r>
      <w:r w:rsidR="00294D93">
        <w:rPr>
          <w:rFonts w:ascii="David" w:hAnsi="David" w:cs="David" w:hint="cs"/>
          <w:rtl/>
        </w:rPr>
        <w:t xml:space="preserve">לטעמה </w:t>
      </w:r>
      <w:r w:rsidRPr="00294D93">
        <w:rPr>
          <w:rFonts w:ascii="David" w:hAnsi="David" w:cs="David" w:hint="cs"/>
          <w:rtl/>
        </w:rPr>
        <w:t xml:space="preserve">שווי השוק במועד הקובע צריך לשקף את העובדה שהפרויקט כלל לא מומש. השומות המכריעות אף אינן עולות בקנה אחד עם העסקאות שנעשו בפועל במתחם לאורך השנים המשקפות היטל השבחה של כ-270,000 ₪ ליח"ד (לעומת 740,000 ₪ בשומה המכרעת). </w:t>
      </w:r>
    </w:p>
    <w:p w:rsidR="00253AB8" w:rsidRDefault="00153ACD" w:rsidP="00A038F8">
      <w:pPr>
        <w:pStyle w:val="a9"/>
        <w:spacing w:line="360" w:lineRule="auto"/>
        <w:ind w:left="357"/>
        <w:contextualSpacing w:val="0"/>
        <w:jc w:val="both"/>
        <w:rPr>
          <w:rFonts w:ascii="David" w:hAnsi="David" w:cs="David"/>
          <w:rtl/>
        </w:rPr>
      </w:pPr>
      <w:r>
        <w:rPr>
          <w:rFonts w:ascii="David" w:hAnsi="David" w:cs="David" w:hint="cs"/>
          <w:rtl/>
        </w:rPr>
        <w:t>נטען כי אם</w:t>
      </w:r>
      <w:r w:rsidR="00B471CE">
        <w:rPr>
          <w:rFonts w:ascii="David" w:hAnsi="David" w:cs="David" w:hint="cs"/>
          <w:rtl/>
        </w:rPr>
        <w:t xml:space="preserve"> נ</w:t>
      </w:r>
      <w:r>
        <w:rPr>
          <w:rFonts w:ascii="David" w:hAnsi="David" w:cs="David" w:hint="cs"/>
          <w:rtl/>
        </w:rPr>
        <w:t>תעלם לצורך העניין מהפטור לשיקום שכונות, חוסר הסבירות מתעצם</w:t>
      </w:r>
      <w:r w:rsidR="00DC5B0C">
        <w:rPr>
          <w:rFonts w:ascii="David" w:hAnsi="David" w:cs="David" w:hint="cs"/>
          <w:rtl/>
        </w:rPr>
        <w:t xml:space="preserve"> </w:t>
      </w:r>
      <w:r>
        <w:rPr>
          <w:rFonts w:ascii="David" w:hAnsi="David" w:cs="David" w:hint="cs"/>
          <w:rtl/>
        </w:rPr>
        <w:t>כך ש</w:t>
      </w:r>
      <w:r w:rsidR="00253AB8">
        <w:rPr>
          <w:rFonts w:ascii="David" w:hAnsi="David" w:cs="David" w:hint="cs"/>
          <w:rtl/>
        </w:rPr>
        <w:t>היטל ההשבחה לפי השמאות המכר</w:t>
      </w:r>
      <w:r w:rsidR="00294D93">
        <w:rPr>
          <w:rFonts w:ascii="David" w:hAnsi="David" w:cs="David" w:hint="cs"/>
          <w:rtl/>
        </w:rPr>
        <w:t>י</w:t>
      </w:r>
      <w:r w:rsidR="00253AB8">
        <w:rPr>
          <w:rFonts w:ascii="David" w:hAnsi="David" w:cs="David" w:hint="cs"/>
          <w:rtl/>
        </w:rPr>
        <w:t>ע</w:t>
      </w:r>
      <w:r w:rsidR="00294D93">
        <w:rPr>
          <w:rFonts w:ascii="David" w:hAnsi="David" w:cs="David" w:hint="cs"/>
          <w:rtl/>
        </w:rPr>
        <w:t>ו</w:t>
      </w:r>
      <w:r w:rsidR="00253AB8">
        <w:rPr>
          <w:rFonts w:ascii="David" w:hAnsi="David" w:cs="David" w:hint="cs"/>
          <w:rtl/>
        </w:rPr>
        <w:t>ת הינו כ-945,000 ₪ ליח"ד(!!!).</w:t>
      </w:r>
      <w:r w:rsidR="006F2530">
        <w:rPr>
          <w:rFonts w:ascii="David" w:hAnsi="David" w:cs="David" w:hint="cs"/>
          <w:rtl/>
        </w:rPr>
        <w:t xml:space="preserve"> נתונים אלה הוצגו לשמאית המכריעה בטבלה מוסדרת </w:t>
      </w:r>
      <w:r w:rsidR="00DC5B0C">
        <w:rPr>
          <w:rFonts w:ascii="David" w:hAnsi="David" w:cs="David" w:hint="cs"/>
          <w:rtl/>
        </w:rPr>
        <w:t xml:space="preserve">מטעם שמאי החברה </w:t>
      </w:r>
      <w:r w:rsidR="006F2530">
        <w:rPr>
          <w:rFonts w:ascii="David" w:hAnsi="David" w:cs="David" w:hint="cs"/>
          <w:rtl/>
        </w:rPr>
        <w:t>אך היא התעלמה מכך בהכרעתה</w:t>
      </w:r>
      <w:r w:rsidR="00DC5B0C">
        <w:rPr>
          <w:rFonts w:ascii="David" w:hAnsi="David" w:cs="David" w:hint="cs"/>
          <w:rtl/>
        </w:rPr>
        <w:t xml:space="preserve"> ובכך נפל פגם המצדיק התערבות</w:t>
      </w:r>
      <w:r w:rsidR="006F2530">
        <w:rPr>
          <w:rFonts w:ascii="David" w:hAnsi="David" w:cs="David" w:hint="cs"/>
          <w:rtl/>
        </w:rPr>
        <w:t xml:space="preserve">. </w:t>
      </w:r>
    </w:p>
    <w:p w:rsidR="00253AB8" w:rsidRDefault="00253AB8" w:rsidP="00A038F8">
      <w:pPr>
        <w:pStyle w:val="a9"/>
        <w:numPr>
          <w:ilvl w:val="0"/>
          <w:numId w:val="1"/>
        </w:numPr>
        <w:tabs>
          <w:tab w:val="left" w:pos="425"/>
        </w:tabs>
        <w:spacing w:line="360" w:lineRule="auto"/>
        <w:ind w:left="357"/>
        <w:contextualSpacing w:val="0"/>
        <w:jc w:val="both"/>
        <w:rPr>
          <w:rFonts w:ascii="David" w:hAnsi="David" w:cs="David"/>
        </w:rPr>
      </w:pPr>
      <w:r w:rsidRPr="00D53F8E">
        <w:rPr>
          <w:rFonts w:ascii="David" w:hAnsi="David" w:cs="David" w:hint="cs"/>
          <w:rtl/>
        </w:rPr>
        <w:t xml:space="preserve">יתרה מכך, תוצאת </w:t>
      </w:r>
      <w:r>
        <w:rPr>
          <w:rFonts w:ascii="David" w:hAnsi="David" w:cs="David" w:hint="cs"/>
          <w:rtl/>
        </w:rPr>
        <w:t>השומות המכריעות,</w:t>
      </w:r>
      <w:r w:rsidRPr="00D53F8E">
        <w:rPr>
          <w:rFonts w:ascii="David" w:hAnsi="David" w:cs="David" w:hint="cs"/>
          <w:rtl/>
        </w:rPr>
        <w:t xml:space="preserve"> </w:t>
      </w:r>
      <w:r>
        <w:rPr>
          <w:rFonts w:ascii="David" w:hAnsi="David" w:cs="David" w:hint="cs"/>
          <w:rtl/>
        </w:rPr>
        <w:t xml:space="preserve">אינן מתיישבות עם המציאות </w:t>
      </w:r>
      <w:proofErr w:type="spellStart"/>
      <w:r>
        <w:rPr>
          <w:rFonts w:ascii="David" w:hAnsi="David" w:cs="David" w:hint="cs"/>
          <w:rtl/>
        </w:rPr>
        <w:t>כהוויתה</w:t>
      </w:r>
      <w:proofErr w:type="spellEnd"/>
      <w:r w:rsidRPr="00D53F8E">
        <w:rPr>
          <w:rFonts w:ascii="David" w:hAnsi="David" w:cs="David" w:hint="cs"/>
          <w:rtl/>
        </w:rPr>
        <w:t xml:space="preserve">. </w:t>
      </w:r>
      <w:r>
        <w:rPr>
          <w:rFonts w:ascii="David" w:hAnsi="David" w:cs="David" w:hint="cs"/>
          <w:rtl/>
        </w:rPr>
        <w:t>שכן</w:t>
      </w:r>
      <w:r w:rsidR="00294D93">
        <w:rPr>
          <w:rFonts w:ascii="David" w:hAnsi="David" w:cs="David" w:hint="cs"/>
          <w:rtl/>
        </w:rPr>
        <w:t xml:space="preserve">, </w:t>
      </w:r>
      <w:r>
        <w:rPr>
          <w:rFonts w:ascii="David" w:hAnsi="David" w:cs="David" w:hint="cs"/>
          <w:rtl/>
        </w:rPr>
        <w:t xml:space="preserve">הן </w:t>
      </w:r>
      <w:r w:rsidRPr="00D53F8E">
        <w:rPr>
          <w:rFonts w:ascii="David" w:hAnsi="David" w:cs="David" w:hint="cs"/>
          <w:rtl/>
        </w:rPr>
        <w:t>סותר</w:t>
      </w:r>
      <w:r>
        <w:rPr>
          <w:rFonts w:ascii="David" w:hAnsi="David" w:cs="David" w:hint="cs"/>
          <w:rtl/>
        </w:rPr>
        <w:t>ו</w:t>
      </w:r>
      <w:r w:rsidRPr="00D53F8E">
        <w:rPr>
          <w:rFonts w:ascii="David" w:hAnsi="David" w:cs="David" w:hint="cs"/>
          <w:rtl/>
        </w:rPr>
        <w:t xml:space="preserve">ת את העובדה הבסיסית והיסודית </w:t>
      </w:r>
      <w:r w:rsidRPr="00D53F8E">
        <w:rPr>
          <w:rFonts w:ascii="David" w:hAnsi="David" w:cs="David" w:hint="cs"/>
          <w:u w:val="single"/>
          <w:rtl/>
        </w:rPr>
        <w:t xml:space="preserve">שתכנית </w:t>
      </w:r>
      <w:r>
        <w:rPr>
          <w:rFonts w:ascii="David" w:hAnsi="David" w:cs="David" w:hint="cs"/>
          <w:u w:val="single"/>
          <w:rtl/>
        </w:rPr>
        <w:t>בי/</w:t>
      </w:r>
      <w:r w:rsidRPr="00D53F8E">
        <w:rPr>
          <w:rFonts w:ascii="David" w:hAnsi="David" w:cs="David" w:hint="cs"/>
          <w:u w:val="single"/>
          <w:rtl/>
        </w:rPr>
        <w:t>517 הייתה תכנית לא כלכלית</w:t>
      </w:r>
      <w:r w:rsidR="006F2530">
        <w:rPr>
          <w:rFonts w:ascii="David" w:hAnsi="David" w:cs="David" w:hint="cs"/>
          <w:u w:val="single"/>
          <w:rtl/>
        </w:rPr>
        <w:t>, כפי שהוצג לשמאית המכריעה בפירוט על ידי החברה</w:t>
      </w:r>
      <w:r w:rsidRPr="00D53F8E">
        <w:rPr>
          <w:rFonts w:ascii="David" w:hAnsi="David" w:cs="David" w:hint="cs"/>
          <w:u w:val="single"/>
          <w:rtl/>
        </w:rPr>
        <w:t>.</w:t>
      </w:r>
      <w:r w:rsidRPr="00D53F8E">
        <w:rPr>
          <w:rFonts w:ascii="David" w:hAnsi="David" w:cs="David" w:hint="cs"/>
          <w:b/>
          <w:bCs/>
          <w:rtl/>
        </w:rPr>
        <w:t xml:space="preserve"> </w:t>
      </w:r>
      <w:r>
        <w:rPr>
          <w:rFonts w:ascii="David" w:hAnsi="David" w:cs="David" w:hint="cs"/>
          <w:b/>
          <w:bCs/>
          <w:rtl/>
        </w:rPr>
        <w:t xml:space="preserve">שכן, </w:t>
      </w:r>
      <w:r w:rsidRPr="00D53F8E">
        <w:rPr>
          <w:rFonts w:ascii="David" w:hAnsi="David" w:cs="David" w:hint="cs"/>
          <w:rtl/>
        </w:rPr>
        <w:t>צמצום מספר יחידות הדיור והיקף הזכויות בהליך הפקדת התכנית</w:t>
      </w:r>
      <w:r w:rsidR="00294D93">
        <w:rPr>
          <w:rFonts w:ascii="David" w:hAnsi="David" w:cs="David" w:hint="cs"/>
          <w:rtl/>
        </w:rPr>
        <w:t>,</w:t>
      </w:r>
      <w:r w:rsidRPr="00D53F8E">
        <w:rPr>
          <w:rFonts w:ascii="David" w:hAnsi="David" w:cs="David" w:hint="cs"/>
          <w:rtl/>
        </w:rPr>
        <w:t xml:space="preserve"> הפך את התכנית ללא כדאית ולא בכדי היא לא מומשה. הדבר עולה באופן חד משמעי מחוות דעת שמאי הוועדה המחוזית, מר ברי </w:t>
      </w:r>
      <w:proofErr w:type="spellStart"/>
      <w:r w:rsidRPr="00D53F8E">
        <w:rPr>
          <w:rFonts w:ascii="David" w:hAnsi="David" w:cs="David" w:hint="cs"/>
          <w:rtl/>
        </w:rPr>
        <w:t>צ'רניאבסקי</w:t>
      </w:r>
      <w:proofErr w:type="spellEnd"/>
      <w:r w:rsidRPr="00D53F8E">
        <w:rPr>
          <w:rFonts w:ascii="David" w:hAnsi="David" w:cs="David" w:hint="cs"/>
          <w:rtl/>
        </w:rPr>
        <w:t>, שבחן את כלכליות תכנית 517. הדברים גם נאמרו מפורשות על ידי הוועדה המקומית בהחלטתה לאשר את ההקלות שהתבקשו במסגרת הבקשה להיתר בנייה כפי שציטטנו לעיל.</w:t>
      </w:r>
      <w:r>
        <w:rPr>
          <w:rFonts w:ascii="David" w:hAnsi="David" w:cs="David" w:hint="cs"/>
          <w:rtl/>
        </w:rPr>
        <w:t xml:space="preserve"> </w:t>
      </w:r>
      <w:r w:rsidRPr="00D53F8E">
        <w:rPr>
          <w:rFonts w:ascii="David" w:hAnsi="David" w:cs="David" w:hint="cs"/>
          <w:rtl/>
        </w:rPr>
        <w:t>העובדה שבעסקאות שנערכו במתחם במהלך השנים הוועדה המקומית לא דרשה היטל השבחה</w:t>
      </w:r>
      <w:r w:rsidR="00294D93">
        <w:rPr>
          <w:rFonts w:ascii="David" w:hAnsi="David" w:cs="David" w:hint="cs"/>
          <w:rtl/>
        </w:rPr>
        <w:t>,</w:t>
      </w:r>
      <w:r w:rsidRPr="00D53F8E">
        <w:rPr>
          <w:rFonts w:ascii="David" w:hAnsi="David" w:cs="David" w:hint="cs"/>
          <w:rtl/>
        </w:rPr>
        <w:t xml:space="preserve"> מלמדת על כך שגם היא סברה שלא חלה כל השבחה כתוצאה מתכנית 517. </w:t>
      </w:r>
    </w:p>
    <w:p w:rsidR="00253AB8" w:rsidRPr="00AD2AA9" w:rsidRDefault="00253AB8" w:rsidP="00A038F8">
      <w:pPr>
        <w:pStyle w:val="a9"/>
        <w:numPr>
          <w:ilvl w:val="0"/>
          <w:numId w:val="1"/>
        </w:numPr>
        <w:tabs>
          <w:tab w:val="left" w:pos="425"/>
        </w:tabs>
        <w:spacing w:line="360" w:lineRule="auto"/>
        <w:ind w:left="357"/>
        <w:contextualSpacing w:val="0"/>
        <w:jc w:val="both"/>
        <w:rPr>
          <w:rFonts w:ascii="David" w:hAnsi="David" w:cs="David"/>
        </w:rPr>
      </w:pPr>
      <w:r w:rsidRPr="00AD2AA9">
        <w:rPr>
          <w:rFonts w:ascii="David" w:hAnsi="David" w:cs="David" w:hint="cs"/>
          <w:rtl/>
        </w:rPr>
        <w:t xml:space="preserve">דא עקא, בניגוד מוחלט לכך, על פי השומות המכריעות </w:t>
      </w:r>
      <w:r w:rsidRPr="00AD2AA9">
        <w:rPr>
          <w:rFonts w:ascii="David" w:hAnsi="David" w:cs="David"/>
          <w:rtl/>
        </w:rPr>
        <w:t>–</w:t>
      </w:r>
      <w:r w:rsidRPr="00AD2AA9">
        <w:rPr>
          <w:rFonts w:ascii="David" w:hAnsi="David" w:cs="David" w:hint="cs"/>
          <w:rtl/>
        </w:rPr>
        <w:t xml:space="preserve"> כדאיות מימוש תכנית בי/517 הייתה גבוהה במיוחד, כך שיזמים היו אמורים להילחם על הזכות לממשה. </w:t>
      </w:r>
    </w:p>
    <w:p w:rsidR="00253AB8" w:rsidRDefault="00253AB8" w:rsidP="00A038F8">
      <w:pPr>
        <w:pStyle w:val="a9"/>
        <w:numPr>
          <w:ilvl w:val="0"/>
          <w:numId w:val="1"/>
        </w:numPr>
        <w:tabs>
          <w:tab w:val="left" w:pos="425"/>
        </w:tabs>
        <w:spacing w:line="360" w:lineRule="auto"/>
        <w:ind w:left="357"/>
        <w:contextualSpacing w:val="0"/>
        <w:jc w:val="both"/>
        <w:rPr>
          <w:rFonts w:ascii="David" w:hAnsi="David" w:cs="David"/>
        </w:rPr>
      </w:pPr>
      <w:r w:rsidRPr="00AD2AA9">
        <w:rPr>
          <w:rFonts w:ascii="David" w:hAnsi="David" w:cs="David" w:hint="cs"/>
          <w:rtl/>
        </w:rPr>
        <w:t>כך למשל</w:t>
      </w:r>
      <w:r w:rsidRPr="00D53F8E">
        <w:rPr>
          <w:rFonts w:ascii="David" w:hAnsi="David" w:cs="David" w:hint="cs"/>
          <w:rtl/>
        </w:rPr>
        <w:t xml:space="preserve"> על פי תחשיב חלופה ד' </w:t>
      </w:r>
      <w:r>
        <w:rPr>
          <w:rFonts w:ascii="David" w:hAnsi="David" w:cs="David" w:hint="cs"/>
          <w:rtl/>
        </w:rPr>
        <w:t>בשומות המכריעות</w:t>
      </w:r>
      <w:r w:rsidRPr="00D53F8E">
        <w:rPr>
          <w:rFonts w:ascii="David" w:hAnsi="David" w:cs="David" w:hint="cs"/>
          <w:rtl/>
        </w:rPr>
        <w:t xml:space="preserve"> ביחס לתכנית </w:t>
      </w:r>
      <w:r>
        <w:rPr>
          <w:rFonts w:ascii="David" w:hAnsi="David" w:cs="David" w:hint="cs"/>
          <w:rtl/>
        </w:rPr>
        <w:t xml:space="preserve">בי/517 </w:t>
      </w:r>
      <w:r w:rsidRPr="00D53F8E">
        <w:rPr>
          <w:rFonts w:ascii="David" w:hAnsi="David" w:cs="David" w:hint="cs"/>
          <w:rtl/>
        </w:rPr>
        <w:t xml:space="preserve">הכולל פטור שיקום שכונות ופטור בגין הממ"דים </w:t>
      </w:r>
      <w:r w:rsidRPr="00D53F8E">
        <w:rPr>
          <w:rFonts w:ascii="David" w:hAnsi="David" w:cs="David"/>
          <w:rtl/>
        </w:rPr>
        <w:t>–</w:t>
      </w:r>
      <w:r w:rsidRPr="00D53F8E">
        <w:rPr>
          <w:rFonts w:ascii="David" w:hAnsi="David" w:cs="David" w:hint="cs"/>
          <w:rtl/>
        </w:rPr>
        <w:t xml:space="preserve"> הפער בין שווי מצב קודם לבין שווי מצב חדש הינו </w:t>
      </w:r>
      <w:r w:rsidRPr="00D53F8E">
        <w:rPr>
          <w:rFonts w:ascii="David" w:hAnsi="David" w:cs="David" w:hint="cs"/>
          <w:b/>
          <w:bCs/>
          <w:rtl/>
        </w:rPr>
        <w:t xml:space="preserve">כ- 287% </w:t>
      </w:r>
      <w:r w:rsidRPr="00D53F8E">
        <w:rPr>
          <w:rFonts w:ascii="David" w:hAnsi="David" w:cs="David" w:hint="cs"/>
          <w:rtl/>
        </w:rPr>
        <w:t>(שווי מצב קודם הינו 26,210,335 ₪ ושווי מצב חדש הינו 75,223,991 ₪)</w:t>
      </w:r>
      <w:r w:rsidR="006F2530">
        <w:rPr>
          <w:rFonts w:ascii="David" w:hAnsi="David" w:cs="David" w:hint="cs"/>
          <w:rtl/>
        </w:rPr>
        <w:t>,</w:t>
      </w:r>
      <w:r w:rsidRPr="00D53F8E">
        <w:rPr>
          <w:rFonts w:ascii="David" w:hAnsi="David" w:cs="David" w:hint="cs"/>
          <w:rtl/>
        </w:rPr>
        <w:t xml:space="preserve"> </w:t>
      </w:r>
      <w:r w:rsidR="006F2530">
        <w:rPr>
          <w:rFonts w:ascii="David" w:hAnsi="David" w:cs="David" w:hint="cs"/>
          <w:rtl/>
        </w:rPr>
        <w:t>ו</w:t>
      </w:r>
      <w:r w:rsidRPr="00D53F8E">
        <w:rPr>
          <w:rFonts w:ascii="David" w:hAnsi="David" w:cs="David" w:hint="cs"/>
          <w:rtl/>
        </w:rPr>
        <w:t xml:space="preserve">הפער בין שווי מצב קודם לבין שווי מצב חדש בחלופות החישוב האחרות גדול עוד יותר. </w:t>
      </w:r>
    </w:p>
    <w:p w:rsidR="00253AB8" w:rsidRDefault="00253AB8" w:rsidP="00A038F8">
      <w:pPr>
        <w:pStyle w:val="a9"/>
        <w:numPr>
          <w:ilvl w:val="0"/>
          <w:numId w:val="1"/>
        </w:numPr>
        <w:tabs>
          <w:tab w:val="left" w:pos="425"/>
        </w:tabs>
        <w:spacing w:line="360" w:lineRule="auto"/>
        <w:ind w:left="357"/>
        <w:contextualSpacing w:val="0"/>
        <w:jc w:val="both"/>
        <w:rPr>
          <w:rFonts w:ascii="David" w:hAnsi="David" w:cs="David"/>
        </w:rPr>
      </w:pPr>
      <w:r w:rsidRPr="00D53F8E">
        <w:rPr>
          <w:rFonts w:ascii="David" w:hAnsi="David" w:cs="David" w:hint="cs"/>
          <w:rtl/>
        </w:rPr>
        <w:t>השמאית המכריעה טעתה, בכל הכבוד, כשקבעה כי הדיון בסוגיית היעדר כלכליות הפרויקט "</w:t>
      </w:r>
      <w:r w:rsidRPr="00D53F8E">
        <w:rPr>
          <w:rFonts w:ascii="David" w:hAnsi="David" w:cs="David" w:hint="cs"/>
          <w:b/>
          <w:bCs/>
          <w:rtl/>
        </w:rPr>
        <w:t>מתייתר</w:t>
      </w:r>
      <w:r w:rsidRPr="00D53F8E">
        <w:rPr>
          <w:rFonts w:ascii="David" w:hAnsi="David" w:cs="David" w:hint="cs"/>
          <w:rtl/>
        </w:rPr>
        <w:t xml:space="preserve">" לאור הכרעתה במתודה השמאית לאומדן השווי במצב החדש (סעיף 14.3.5 לשומה המכרעת בעמ' 110). </w:t>
      </w:r>
    </w:p>
    <w:p w:rsidR="00253AB8" w:rsidRDefault="00253AB8" w:rsidP="00A038F8">
      <w:pPr>
        <w:pStyle w:val="a9"/>
        <w:numPr>
          <w:ilvl w:val="0"/>
          <w:numId w:val="1"/>
        </w:numPr>
        <w:tabs>
          <w:tab w:val="left" w:pos="425"/>
        </w:tabs>
        <w:spacing w:line="360" w:lineRule="auto"/>
        <w:ind w:left="357"/>
        <w:contextualSpacing w:val="0"/>
        <w:jc w:val="both"/>
        <w:rPr>
          <w:rFonts w:ascii="David" w:hAnsi="David" w:cs="David"/>
          <w:rtl/>
        </w:rPr>
      </w:pPr>
      <w:r w:rsidRPr="00D53F8E">
        <w:rPr>
          <w:rFonts w:ascii="David" w:hAnsi="David" w:cs="David" w:hint="cs"/>
          <w:rtl/>
        </w:rPr>
        <w:t xml:space="preserve">יתרה מכך, </w:t>
      </w:r>
      <w:r>
        <w:rPr>
          <w:rFonts w:ascii="David" w:hAnsi="David" w:cs="David" w:hint="cs"/>
          <w:rtl/>
        </w:rPr>
        <w:t>השומות המכריעות</w:t>
      </w:r>
      <w:r w:rsidRPr="00D53F8E">
        <w:rPr>
          <w:rFonts w:ascii="David" w:hAnsi="David" w:cs="David" w:hint="cs"/>
          <w:rtl/>
        </w:rPr>
        <w:t xml:space="preserve"> אינ</w:t>
      </w:r>
      <w:r>
        <w:rPr>
          <w:rFonts w:ascii="David" w:hAnsi="David" w:cs="David" w:hint="cs"/>
          <w:rtl/>
        </w:rPr>
        <w:t>ן</w:t>
      </w:r>
      <w:r w:rsidRPr="00D53F8E">
        <w:rPr>
          <w:rFonts w:ascii="David" w:hAnsi="David" w:cs="David" w:hint="cs"/>
          <w:rtl/>
        </w:rPr>
        <w:t xml:space="preserve"> עול</w:t>
      </w:r>
      <w:r>
        <w:rPr>
          <w:rFonts w:ascii="David" w:hAnsi="David" w:cs="David" w:hint="cs"/>
          <w:rtl/>
        </w:rPr>
        <w:t>ות</w:t>
      </w:r>
      <w:r w:rsidRPr="00D53F8E">
        <w:rPr>
          <w:rFonts w:ascii="David" w:hAnsi="David" w:cs="David" w:hint="cs"/>
          <w:rtl/>
        </w:rPr>
        <w:t xml:space="preserve"> בקנה אחד עם העסקאות שבוצעו בפועל במתחם הנדון לאורך השנים.</w:t>
      </w:r>
      <w:r>
        <w:rPr>
          <w:rFonts w:ascii="David" w:hAnsi="David" w:cs="David" w:hint="cs"/>
          <w:rtl/>
        </w:rPr>
        <w:t xml:space="preserve"> </w:t>
      </w:r>
      <w:r w:rsidRPr="00C46A83">
        <w:rPr>
          <w:rFonts w:ascii="David" w:hAnsi="David" w:cs="David" w:hint="cs"/>
          <w:rtl/>
        </w:rPr>
        <w:t>על פי תחשיב</w:t>
      </w:r>
      <w:r w:rsidR="006F2530">
        <w:rPr>
          <w:rFonts w:ascii="David" w:hAnsi="David" w:cs="David" w:hint="cs"/>
          <w:rtl/>
        </w:rPr>
        <w:t>י שמאי החברה</w:t>
      </w:r>
      <w:r w:rsidRPr="00C46A83">
        <w:rPr>
          <w:rFonts w:ascii="David" w:hAnsi="David" w:cs="David" w:hint="cs"/>
          <w:rtl/>
        </w:rPr>
        <w:t>, ההשבחה ליח"ד הינה בסכום של כ-540,000 ₪ והיטל ההשבחה ליח"ד הינו בסכום של כ-270,000 ₪</w:t>
      </w:r>
      <w:r w:rsidR="006F2530">
        <w:rPr>
          <w:rFonts w:ascii="David" w:hAnsi="David" w:cs="David" w:hint="cs"/>
          <w:rtl/>
        </w:rPr>
        <w:t xml:space="preserve">,כאשר </w:t>
      </w:r>
      <w:r w:rsidRPr="00C46A83">
        <w:rPr>
          <w:rFonts w:ascii="David" w:hAnsi="David" w:cs="David" w:hint="cs"/>
          <w:rtl/>
        </w:rPr>
        <w:t xml:space="preserve">תחשיב זה עולה בקנה אחד עם היטל ההשבחה בכל יתר הפרויקטים שהוצגו לעיל. </w:t>
      </w:r>
    </w:p>
    <w:p w:rsidR="00253AB8" w:rsidRPr="00C46A83" w:rsidRDefault="00253AB8" w:rsidP="00A038F8">
      <w:pPr>
        <w:pStyle w:val="a9"/>
        <w:tabs>
          <w:tab w:val="left" w:pos="425"/>
        </w:tabs>
        <w:spacing w:line="360" w:lineRule="auto"/>
        <w:ind w:left="357"/>
        <w:contextualSpacing w:val="0"/>
        <w:jc w:val="both"/>
        <w:rPr>
          <w:rFonts w:ascii="David" w:hAnsi="David" w:cs="David"/>
          <w:rtl/>
        </w:rPr>
      </w:pPr>
      <w:r w:rsidRPr="00C46A83">
        <w:rPr>
          <w:rFonts w:ascii="David" w:hAnsi="David" w:cs="David" w:hint="cs"/>
          <w:rtl/>
        </w:rPr>
        <w:t xml:space="preserve">מכאן, שקביעת השמאית המכריעה שמשמעותה היטל השבחה בסכום של כ-740,500 ₪ ליח"ד סותר לחלוטין את המציאות </w:t>
      </w:r>
      <w:proofErr w:type="spellStart"/>
      <w:r w:rsidRPr="00C46A83">
        <w:rPr>
          <w:rFonts w:ascii="David" w:hAnsi="David" w:cs="David" w:hint="cs"/>
          <w:rtl/>
        </w:rPr>
        <w:t>כהוויתה</w:t>
      </w:r>
      <w:proofErr w:type="spellEnd"/>
      <w:r w:rsidRPr="00C46A83">
        <w:rPr>
          <w:rFonts w:ascii="David" w:hAnsi="David" w:cs="David" w:hint="cs"/>
          <w:rtl/>
        </w:rPr>
        <w:t xml:space="preserve">. </w:t>
      </w:r>
    </w:p>
    <w:p w:rsidR="00253AB8" w:rsidRDefault="00253AB8" w:rsidP="00253AB8">
      <w:pPr>
        <w:pStyle w:val="a9"/>
        <w:spacing w:after="0" w:line="240" w:lineRule="auto"/>
        <w:ind w:left="780"/>
        <w:jc w:val="both"/>
        <w:rPr>
          <w:rFonts w:ascii="David" w:hAnsi="David" w:cs="David"/>
        </w:rPr>
      </w:pPr>
    </w:p>
    <w:p w:rsidR="00253AB8" w:rsidRPr="004B30C1" w:rsidRDefault="00253AB8" w:rsidP="00253AB8">
      <w:pPr>
        <w:spacing w:line="360" w:lineRule="auto"/>
        <w:jc w:val="both"/>
        <w:rPr>
          <w:rFonts w:ascii="David" w:hAnsi="David" w:cs="David"/>
          <w:u w:val="thick"/>
          <w:rtl/>
        </w:rPr>
      </w:pPr>
      <w:r w:rsidRPr="004B30C1">
        <w:rPr>
          <w:rFonts w:ascii="David" w:hAnsi="David" w:cs="David" w:hint="cs"/>
          <w:u w:val="thick"/>
          <w:rtl/>
        </w:rPr>
        <w:t>ת</w:t>
      </w:r>
      <w:r>
        <w:rPr>
          <w:rFonts w:ascii="David" w:hAnsi="David" w:cs="David" w:hint="cs"/>
          <w:u w:val="thick"/>
          <w:rtl/>
        </w:rPr>
        <w:t>שובת הועדה המקומית</w:t>
      </w:r>
    </w:p>
    <w:p w:rsidR="00253AB8" w:rsidRDefault="00253AB8" w:rsidP="00A038F8">
      <w:pPr>
        <w:pStyle w:val="a9"/>
        <w:numPr>
          <w:ilvl w:val="0"/>
          <w:numId w:val="1"/>
        </w:numPr>
        <w:tabs>
          <w:tab w:val="left" w:pos="142"/>
          <w:tab w:val="left" w:pos="425"/>
        </w:tabs>
        <w:spacing w:line="360" w:lineRule="auto"/>
        <w:ind w:left="357" w:hanging="357"/>
        <w:contextualSpacing w:val="0"/>
        <w:jc w:val="both"/>
        <w:rPr>
          <w:rFonts w:ascii="David" w:hAnsi="David" w:cs="David"/>
        </w:rPr>
      </w:pPr>
      <w:r w:rsidRPr="00D21553">
        <w:rPr>
          <w:rFonts w:ascii="David" w:hAnsi="David" w:cs="David" w:hint="cs"/>
          <w:rtl/>
        </w:rPr>
        <w:t>הועדה המקומית צרפה תגובה של השמאי מטעמה לכתב התשובה במסגרת</w:t>
      </w:r>
      <w:r w:rsidR="00FB6DD1">
        <w:rPr>
          <w:rFonts w:ascii="David" w:hAnsi="David" w:cs="David" w:hint="cs"/>
          <w:rtl/>
        </w:rPr>
        <w:t>ה נטען כי בבחינות שערך</w:t>
      </w:r>
      <w:r>
        <w:rPr>
          <w:rFonts w:ascii="David" w:hAnsi="David" w:cs="David" w:hint="cs"/>
          <w:rtl/>
        </w:rPr>
        <w:t xml:space="preserve"> היטל ההשבחה ל-1 יח"ד ביחס לנכס שבנדון </w:t>
      </w:r>
      <w:r w:rsidR="00FB6DD1">
        <w:rPr>
          <w:rFonts w:ascii="David" w:hAnsi="David" w:cs="David" w:hint="cs"/>
          <w:rtl/>
        </w:rPr>
        <w:t xml:space="preserve">  </w:t>
      </w:r>
      <w:r>
        <w:rPr>
          <w:rFonts w:ascii="David" w:hAnsi="David" w:cs="David" w:hint="cs"/>
          <w:rtl/>
        </w:rPr>
        <w:t>צריך להיות גבוה מסך של 901,000 ₪ ליח"ד</w:t>
      </w:r>
      <w:r w:rsidR="001B6FA1">
        <w:rPr>
          <w:rFonts w:ascii="David" w:hAnsi="David" w:cs="David" w:hint="cs"/>
          <w:rtl/>
        </w:rPr>
        <w:t>,</w:t>
      </w:r>
      <w:r>
        <w:rPr>
          <w:rFonts w:ascii="David" w:hAnsi="David" w:cs="David" w:hint="cs"/>
          <w:rtl/>
        </w:rPr>
        <w:t xml:space="preserve"> כלומר סכום ההיטל שנקבע בשומות המכריעות בסך של 740,495 ₪ ליח"ד מוטה כלפי מטה. </w:t>
      </w:r>
    </w:p>
    <w:p w:rsidR="00253AB8" w:rsidRDefault="00253AB8" w:rsidP="00A038F8">
      <w:pPr>
        <w:pStyle w:val="a9"/>
        <w:numPr>
          <w:ilvl w:val="0"/>
          <w:numId w:val="1"/>
        </w:numPr>
        <w:tabs>
          <w:tab w:val="left" w:pos="142"/>
          <w:tab w:val="left" w:pos="425"/>
        </w:tabs>
        <w:spacing w:line="360" w:lineRule="auto"/>
        <w:ind w:left="357" w:hanging="357"/>
        <w:contextualSpacing w:val="0"/>
        <w:jc w:val="both"/>
        <w:rPr>
          <w:rFonts w:ascii="David" w:hAnsi="David" w:cs="David"/>
        </w:rPr>
      </w:pPr>
      <w:r>
        <w:rPr>
          <w:rFonts w:ascii="David" w:hAnsi="David" w:cs="David" w:hint="cs"/>
          <w:rtl/>
        </w:rPr>
        <w:t xml:space="preserve">בסופו של דבר שמאי הועדה המקומית </w:t>
      </w:r>
      <w:r w:rsidRPr="00D21553">
        <w:rPr>
          <w:rFonts w:ascii="David" w:hAnsi="David" w:cs="David" w:hint="cs"/>
          <w:rtl/>
        </w:rPr>
        <w:t xml:space="preserve">מגיע למסקנה </w:t>
      </w:r>
      <w:r>
        <w:rPr>
          <w:rFonts w:ascii="David" w:hAnsi="David" w:cs="David" w:hint="cs"/>
          <w:rtl/>
        </w:rPr>
        <w:t xml:space="preserve">כי </w:t>
      </w:r>
      <w:r w:rsidRPr="00D21553">
        <w:rPr>
          <w:rFonts w:ascii="David" w:hAnsi="David" w:cs="David" w:hint="cs"/>
          <w:rtl/>
        </w:rPr>
        <w:t>השוואה נכונה בין התכנית שבנדון לבין 5 תכניות פינוי בינוי אחרות שאושרו בעיר</w:t>
      </w:r>
      <w:r>
        <w:rPr>
          <w:rFonts w:ascii="David" w:hAnsi="David" w:cs="David" w:hint="cs"/>
          <w:rtl/>
        </w:rPr>
        <w:t>,</w:t>
      </w:r>
      <w:r w:rsidRPr="00D21553">
        <w:rPr>
          <w:rFonts w:ascii="David" w:hAnsi="David" w:cs="David" w:hint="cs"/>
          <w:rtl/>
        </w:rPr>
        <w:t xml:space="preserve"> שלגביהן נערכו שומות מכריעות </w:t>
      </w:r>
      <w:r w:rsidRPr="00D21553">
        <w:rPr>
          <w:rFonts w:ascii="David" w:hAnsi="David" w:cs="David"/>
          <w:rtl/>
        </w:rPr>
        <w:t>–</w:t>
      </w:r>
      <w:r w:rsidRPr="00D21553">
        <w:rPr>
          <w:rFonts w:ascii="David" w:hAnsi="David" w:cs="David" w:hint="cs"/>
          <w:rtl/>
        </w:rPr>
        <w:t xml:space="preserve"> מובילות למסקנה שלפיה אומדן היטל השבחה שנקבע בשומה המכרעת שבנדון </w:t>
      </w:r>
      <w:r w:rsidRPr="00D21553">
        <w:rPr>
          <w:rFonts w:ascii="David" w:hAnsi="David" w:cs="David"/>
          <w:rtl/>
        </w:rPr>
        <w:t>–</w:t>
      </w:r>
      <w:r w:rsidRPr="00D21553">
        <w:rPr>
          <w:rFonts w:ascii="David" w:hAnsi="David" w:cs="David" w:hint="cs"/>
          <w:rtl/>
        </w:rPr>
        <w:t xml:space="preserve"> מוטה מאוד כלפי מטה, באופן המוכיח כי לא זו בלבד שטענת החברה שיש להקטין את היטל ההשבחה שנקבע בש</w:t>
      </w:r>
      <w:r>
        <w:rPr>
          <w:rFonts w:ascii="David" w:hAnsi="David" w:cs="David" w:hint="cs"/>
          <w:rtl/>
        </w:rPr>
        <w:t>ומות המכריעות</w:t>
      </w:r>
      <w:r w:rsidRPr="00D21553">
        <w:rPr>
          <w:rFonts w:ascii="David" w:hAnsi="David" w:cs="David" w:hint="cs"/>
          <w:rtl/>
        </w:rPr>
        <w:t xml:space="preserve"> אינה נכונה</w:t>
      </w:r>
      <w:r>
        <w:rPr>
          <w:rFonts w:ascii="David" w:hAnsi="David" w:cs="David" w:hint="cs"/>
          <w:rtl/>
        </w:rPr>
        <w:t>,</w:t>
      </w:r>
      <w:r w:rsidRPr="00D21553">
        <w:rPr>
          <w:rFonts w:ascii="David" w:hAnsi="David" w:cs="David" w:hint="cs"/>
          <w:rtl/>
        </w:rPr>
        <w:t xml:space="preserve"> אלא שטענת הועדה המקומית שיש להגדיל את היטל ההשבחה היא הנכונה. </w:t>
      </w:r>
    </w:p>
    <w:p w:rsidR="00253AB8" w:rsidRDefault="00253AB8" w:rsidP="00A038F8">
      <w:pPr>
        <w:pStyle w:val="a9"/>
        <w:numPr>
          <w:ilvl w:val="0"/>
          <w:numId w:val="1"/>
        </w:numPr>
        <w:tabs>
          <w:tab w:val="left" w:pos="283"/>
          <w:tab w:val="left" w:pos="425"/>
        </w:tabs>
        <w:spacing w:line="360" w:lineRule="auto"/>
        <w:ind w:left="357" w:hanging="357"/>
        <w:contextualSpacing w:val="0"/>
        <w:jc w:val="both"/>
        <w:rPr>
          <w:rFonts w:ascii="David" w:hAnsi="David" w:cs="David"/>
        </w:rPr>
      </w:pPr>
      <w:r w:rsidRPr="004C4F3A">
        <w:rPr>
          <w:rFonts w:ascii="David" w:hAnsi="David" w:cs="David" w:hint="cs"/>
          <w:rtl/>
        </w:rPr>
        <w:t>עוד מציין כי ההשוואות של החברה מערים אחרות אינן רלוונטיות ואינן הגיוניות</w:t>
      </w:r>
      <w:r w:rsidR="001B6FA1">
        <w:rPr>
          <w:rFonts w:ascii="David" w:hAnsi="David" w:cs="David" w:hint="cs"/>
          <w:rtl/>
        </w:rPr>
        <w:t>,</w:t>
      </w:r>
      <w:r w:rsidRPr="004C4F3A">
        <w:rPr>
          <w:rFonts w:ascii="David" w:hAnsi="David" w:cs="David" w:hint="cs"/>
          <w:rtl/>
        </w:rPr>
        <w:t xml:space="preserve"> שעה שקיימות השוואות רבות ואיכותיות מתחום העיר בת ים. עצם התבססות החברה על השוואות </w:t>
      </w:r>
      <w:r w:rsidR="00B11A57">
        <w:rPr>
          <w:rFonts w:ascii="David" w:hAnsi="David" w:cs="David" w:hint="cs"/>
          <w:rtl/>
        </w:rPr>
        <w:t>מערים</w:t>
      </w:r>
      <w:r w:rsidR="00B11A57" w:rsidRPr="004C4F3A">
        <w:rPr>
          <w:rFonts w:ascii="David" w:hAnsi="David" w:cs="David" w:hint="cs"/>
          <w:rtl/>
        </w:rPr>
        <w:t xml:space="preserve"> </w:t>
      </w:r>
      <w:r w:rsidRPr="004C4F3A">
        <w:rPr>
          <w:rFonts w:ascii="David" w:hAnsi="David" w:cs="David" w:hint="cs"/>
          <w:rtl/>
        </w:rPr>
        <w:t xml:space="preserve">אחרות ולא על השוואות מתחום העיר בת ים </w:t>
      </w:r>
      <w:r w:rsidRPr="004C4F3A">
        <w:rPr>
          <w:rFonts w:ascii="David" w:hAnsi="David" w:cs="David" w:hint="cs"/>
          <w:u w:val="single"/>
          <w:rtl/>
        </w:rPr>
        <w:t>מוכיחה ההפך.</w:t>
      </w:r>
      <w:r w:rsidRPr="004C4F3A">
        <w:rPr>
          <w:rFonts w:ascii="David" w:hAnsi="David" w:cs="David" w:hint="cs"/>
          <w:rtl/>
        </w:rPr>
        <w:t xml:space="preserve"> </w:t>
      </w:r>
      <w:r w:rsidR="001B6FA1">
        <w:rPr>
          <w:rFonts w:ascii="David" w:hAnsi="David" w:cs="David" w:hint="cs"/>
          <w:rtl/>
        </w:rPr>
        <w:t xml:space="preserve">על כן, לשיטתו </w:t>
      </w:r>
      <w:r w:rsidRPr="004C4F3A">
        <w:rPr>
          <w:rFonts w:ascii="David" w:hAnsi="David" w:cs="David" w:hint="cs"/>
          <w:rtl/>
        </w:rPr>
        <w:t>צדקה השמאית המכריעה שלא התבססה על השוואות מסוג זה מהסיבה שהשוואות מסוג זה חסרות ערך, משום שלכל תכנית ולכל נכס מאפיינים שונים ורבים באופן שביצוע השוואות מסוג זה</w:t>
      </w:r>
      <w:r w:rsidR="001B6FA1">
        <w:rPr>
          <w:rFonts w:ascii="David" w:hAnsi="David" w:cs="David" w:hint="cs"/>
          <w:rtl/>
        </w:rPr>
        <w:t>,</w:t>
      </w:r>
      <w:r w:rsidRPr="004C4F3A">
        <w:rPr>
          <w:rFonts w:ascii="David" w:hAnsi="David" w:cs="David" w:hint="cs"/>
          <w:rtl/>
        </w:rPr>
        <w:t xml:space="preserve"> מצריך אינספור התאמות עד כדי אובדן אמינות של הניתוח כולו ולמעשה, לא קיימת אפילו שומה מכרעת לתחום העיר בת ים המתבססת על אומדני היטלי השבחה שנקבעו בתכניות אחרות. </w:t>
      </w:r>
    </w:p>
    <w:p w:rsidR="00710D0D" w:rsidRDefault="00710D0D" w:rsidP="00253AB8">
      <w:pPr>
        <w:tabs>
          <w:tab w:val="left" w:pos="1244"/>
        </w:tabs>
        <w:spacing w:line="360" w:lineRule="auto"/>
        <w:jc w:val="both"/>
        <w:rPr>
          <w:rFonts w:ascii="David" w:hAnsi="David" w:cs="David"/>
          <w:b/>
          <w:bCs/>
          <w:u w:val="thick"/>
          <w:rtl/>
        </w:rPr>
      </w:pPr>
    </w:p>
    <w:p w:rsidR="00253AB8" w:rsidRDefault="00253AB8" w:rsidP="00253AB8">
      <w:pPr>
        <w:tabs>
          <w:tab w:val="left" w:pos="1244"/>
        </w:tabs>
        <w:spacing w:line="360" w:lineRule="auto"/>
        <w:jc w:val="both"/>
        <w:rPr>
          <w:rFonts w:ascii="David" w:hAnsi="David" w:cs="David"/>
          <w:b/>
          <w:bCs/>
          <w:u w:val="thick"/>
          <w:rtl/>
        </w:rPr>
      </w:pPr>
      <w:r w:rsidRPr="004B30C1">
        <w:rPr>
          <w:rFonts w:ascii="David" w:hAnsi="David" w:cs="David" w:hint="cs"/>
          <w:b/>
          <w:bCs/>
          <w:u w:val="thick"/>
          <w:rtl/>
        </w:rPr>
        <w:t xml:space="preserve">דיון והכרעה </w:t>
      </w:r>
    </w:p>
    <w:p w:rsidR="00BE5C61" w:rsidRDefault="00DA035D" w:rsidP="005E631A">
      <w:pPr>
        <w:pStyle w:val="a9"/>
        <w:numPr>
          <w:ilvl w:val="0"/>
          <w:numId w:val="1"/>
        </w:numPr>
        <w:tabs>
          <w:tab w:val="left" w:pos="425"/>
        </w:tabs>
        <w:spacing w:line="360" w:lineRule="auto"/>
        <w:jc w:val="both"/>
        <w:rPr>
          <w:rFonts w:ascii="David" w:hAnsi="David" w:cs="David"/>
        </w:rPr>
      </w:pPr>
      <w:r w:rsidRPr="00197C1B">
        <w:rPr>
          <w:rFonts w:ascii="David" w:hAnsi="David" w:cs="David" w:hint="cs"/>
          <w:rtl/>
        </w:rPr>
        <w:t>כידוע, קביעת שווי לצורך היטל השבחה מצוי בליבת העשייה השמאית ועל כן ככלל ועדת הערר לא תתערב בה.</w:t>
      </w:r>
      <w:r w:rsidR="009470B0" w:rsidRPr="00197C1B">
        <w:rPr>
          <w:rFonts w:ascii="David" w:hAnsi="David" w:cs="David" w:hint="cs"/>
          <w:rtl/>
        </w:rPr>
        <w:t xml:space="preserve"> </w:t>
      </w:r>
      <w:r w:rsidR="00BE5C61" w:rsidRPr="00197C1B">
        <w:rPr>
          <w:rFonts w:ascii="David" w:hAnsi="David" w:cs="David" w:hint="cs"/>
          <w:rtl/>
        </w:rPr>
        <w:t xml:space="preserve">ר' לעניין זה ערר תא/8130/0518 </w:t>
      </w:r>
      <w:r w:rsidR="00BE5C61" w:rsidRPr="00197C1B">
        <w:rPr>
          <w:rFonts w:ascii="David" w:hAnsi="David" w:cs="David" w:hint="cs"/>
          <w:b/>
          <w:bCs/>
          <w:u w:val="single"/>
          <w:rtl/>
        </w:rPr>
        <w:t xml:space="preserve">גליה </w:t>
      </w:r>
      <w:proofErr w:type="spellStart"/>
      <w:r w:rsidR="00BE5C61" w:rsidRPr="00197C1B">
        <w:rPr>
          <w:rFonts w:ascii="David" w:hAnsi="David" w:cs="David" w:hint="cs"/>
          <w:b/>
          <w:bCs/>
          <w:u w:val="single"/>
          <w:rtl/>
        </w:rPr>
        <w:t>ארקין</w:t>
      </w:r>
      <w:proofErr w:type="spellEnd"/>
      <w:r w:rsidR="00BE5C61" w:rsidRPr="00197C1B">
        <w:rPr>
          <w:rFonts w:ascii="David" w:hAnsi="David" w:cs="David" w:hint="cs"/>
          <w:b/>
          <w:bCs/>
          <w:u w:val="single"/>
          <w:rtl/>
        </w:rPr>
        <w:t xml:space="preserve"> ואח' נ' הועדה המקומית לתכנון ולבניה תל אביב</w:t>
      </w:r>
      <w:r w:rsidR="00BE5C61" w:rsidRPr="00197C1B">
        <w:rPr>
          <w:rFonts w:ascii="David" w:hAnsi="David" w:cs="David" w:hint="cs"/>
          <w:rtl/>
        </w:rPr>
        <w:t xml:space="preserve"> (נבו 6.2.23) ; </w:t>
      </w:r>
      <w:r w:rsidR="00197C1B" w:rsidRPr="00197C1B">
        <w:rPr>
          <w:rFonts w:ascii="David" w:hAnsi="David" w:cs="David"/>
          <w:rtl/>
        </w:rPr>
        <w:t xml:space="preserve">ערר (י-ם) 524/16 </w:t>
      </w:r>
      <w:r w:rsidR="00197C1B" w:rsidRPr="00197C1B">
        <w:rPr>
          <w:rFonts w:ascii="David" w:hAnsi="David" w:cs="David"/>
          <w:b/>
          <w:bCs/>
          <w:u w:val="single"/>
          <w:rtl/>
        </w:rPr>
        <w:t xml:space="preserve">סריגים ליאון </w:t>
      </w:r>
      <w:proofErr w:type="spellStart"/>
      <w:r w:rsidR="00197C1B" w:rsidRPr="00197C1B">
        <w:rPr>
          <w:rFonts w:ascii="David" w:hAnsi="David" w:cs="David"/>
          <w:b/>
          <w:bCs/>
          <w:u w:val="single"/>
          <w:rtl/>
        </w:rPr>
        <w:t>ריל</w:t>
      </w:r>
      <w:proofErr w:type="spellEnd"/>
      <w:r w:rsidR="00197C1B" w:rsidRPr="00197C1B">
        <w:rPr>
          <w:rFonts w:ascii="David" w:hAnsi="David" w:cs="David"/>
          <w:b/>
          <w:bCs/>
          <w:u w:val="single"/>
          <w:rtl/>
        </w:rPr>
        <w:t xml:space="preserve"> </w:t>
      </w:r>
      <w:proofErr w:type="spellStart"/>
      <w:r w:rsidR="00197C1B" w:rsidRPr="00197C1B">
        <w:rPr>
          <w:rFonts w:ascii="David" w:hAnsi="David" w:cs="David"/>
          <w:b/>
          <w:bCs/>
          <w:u w:val="single"/>
          <w:rtl/>
        </w:rPr>
        <w:t>אסטייט</w:t>
      </w:r>
      <w:proofErr w:type="spellEnd"/>
      <w:r w:rsidR="00197C1B" w:rsidRPr="00197C1B">
        <w:rPr>
          <w:rFonts w:ascii="David" w:hAnsi="David" w:cs="David"/>
          <w:b/>
          <w:bCs/>
          <w:u w:val="single"/>
          <w:rtl/>
        </w:rPr>
        <w:t xml:space="preserve"> </w:t>
      </w:r>
      <w:r w:rsidR="00197C1B" w:rsidRPr="00197C1B">
        <w:rPr>
          <w:rFonts w:ascii="David" w:hAnsi="David" w:cs="David"/>
          <w:b/>
          <w:bCs/>
          <w:u w:val="single"/>
        </w:rPr>
        <w:t>LLC</w:t>
      </w:r>
      <w:r w:rsidR="00197C1B" w:rsidRPr="00197C1B">
        <w:rPr>
          <w:rFonts w:ascii="David" w:hAnsi="David" w:cs="David"/>
          <w:b/>
          <w:bCs/>
          <w:u w:val="single"/>
          <w:rtl/>
        </w:rPr>
        <w:t xml:space="preserve"> נ' הועדה המקומית לתכנון ובניה מטה יהודה</w:t>
      </w:r>
      <w:r w:rsidR="00197C1B" w:rsidRPr="00197C1B">
        <w:rPr>
          <w:rFonts w:ascii="David" w:hAnsi="David" w:cs="David" w:hint="cs"/>
          <w:rtl/>
        </w:rPr>
        <w:t xml:space="preserve"> (נבו 29.5.2017) ;</w:t>
      </w:r>
      <w:r w:rsidR="00197C1B" w:rsidRPr="00197C1B">
        <w:rPr>
          <w:rFonts w:ascii="David" w:hAnsi="David" w:cs="David"/>
        </w:rPr>
        <w:t xml:space="preserve">  </w:t>
      </w:r>
      <w:proofErr w:type="spellStart"/>
      <w:r w:rsidR="00197C1B" w:rsidRPr="00197C1B">
        <w:rPr>
          <w:rFonts w:ascii="David" w:hAnsi="David" w:cs="David"/>
          <w:rtl/>
        </w:rPr>
        <w:t>בעמ</w:t>
      </w:r>
      <w:proofErr w:type="spellEnd"/>
      <w:r w:rsidR="00197C1B" w:rsidRPr="00197C1B">
        <w:rPr>
          <w:rFonts w:ascii="David" w:hAnsi="David" w:cs="David"/>
          <w:rtl/>
        </w:rPr>
        <w:t xml:space="preserve"> 8418/21 </w:t>
      </w:r>
      <w:r w:rsidR="00197C1B" w:rsidRPr="00197C1B">
        <w:rPr>
          <w:rFonts w:ascii="David" w:hAnsi="David" w:cs="David"/>
          <w:b/>
          <w:bCs/>
          <w:u w:val="single"/>
          <w:rtl/>
        </w:rPr>
        <w:t>פלונית נ' פלוני</w:t>
      </w:r>
      <w:r w:rsidR="00197C1B" w:rsidRPr="00197C1B">
        <w:rPr>
          <w:rFonts w:ascii="David" w:hAnsi="David" w:cs="David"/>
          <w:b/>
          <w:bCs/>
          <w:u w:val="single"/>
        </w:rPr>
        <w:t xml:space="preserve"> </w:t>
      </w:r>
      <w:r w:rsidR="00197C1B">
        <w:rPr>
          <w:rFonts w:ascii="David" w:hAnsi="David" w:cs="David" w:hint="cs"/>
          <w:rtl/>
        </w:rPr>
        <w:t xml:space="preserve">(נבו 17.1.22) </w:t>
      </w:r>
    </w:p>
    <w:p w:rsidR="00197C1B" w:rsidRPr="00197C1B" w:rsidRDefault="00197C1B" w:rsidP="00197C1B">
      <w:pPr>
        <w:pStyle w:val="a9"/>
        <w:tabs>
          <w:tab w:val="left" w:pos="1134"/>
        </w:tabs>
        <w:spacing w:line="360" w:lineRule="auto"/>
        <w:ind w:left="1134" w:right="1276"/>
        <w:jc w:val="both"/>
        <w:rPr>
          <w:rFonts w:ascii="David" w:hAnsi="David" w:cs="David"/>
        </w:rPr>
      </w:pPr>
      <w:r>
        <w:rPr>
          <w:rFonts w:ascii="David" w:hAnsi="David" w:cs="David" w:hint="cs"/>
          <w:rtl/>
        </w:rPr>
        <w:t>"</w:t>
      </w:r>
      <w:r w:rsidRPr="00197C1B">
        <w:rPr>
          <w:rFonts w:ascii="David" w:hAnsi="David" w:cs="David"/>
          <w:b/>
          <w:bCs/>
          <w:rtl/>
        </w:rPr>
        <w:t>יחד עם זאת, לא היה מקום לכך שבית המשפט המחוזי ישים עצמו בנעלי השמאי אגסי, ויקבע בעצמו את שווי הדירה. לשפיטה נבחרנו, לא לשמאות: "אִישׁ עַל מַחֲנֵהוּ וְאִישׁ עַל דִּגְלו</w:t>
      </w:r>
      <w:r w:rsidRPr="00197C1B">
        <w:rPr>
          <w:rFonts w:ascii="David" w:hAnsi="David" w:cs="David"/>
          <w:b/>
          <w:rtl/>
        </w:rPr>
        <w:t>ֹ"</w:t>
      </w:r>
      <w:r w:rsidRPr="00197C1B">
        <w:rPr>
          <w:rFonts w:ascii="David" w:hAnsi="David" w:cs="David"/>
          <w:rtl/>
        </w:rPr>
        <w:t xml:space="preserve"> (במדבר א, נב) (וראו: </w:t>
      </w:r>
      <w:hyperlink r:id="rId44" w:history="1">
        <w:r w:rsidRPr="00197C1B">
          <w:rPr>
            <w:rStyle w:val="Hyperlink"/>
            <w:rFonts w:ascii="David" w:hAnsi="David" w:cs="David"/>
            <w:rtl/>
          </w:rPr>
          <w:t>ע"א 3179/19</w:t>
        </w:r>
      </w:hyperlink>
      <w:r w:rsidRPr="00197C1B">
        <w:rPr>
          <w:rFonts w:ascii="David" w:hAnsi="David" w:cs="David"/>
          <w:rtl/>
        </w:rPr>
        <w:t xml:space="preserve"> </w:t>
      </w:r>
      <w:r w:rsidRPr="00197C1B">
        <w:rPr>
          <w:rFonts w:ascii="David" w:hAnsi="David" w:cs="David"/>
          <w:b/>
          <w:rtl/>
        </w:rPr>
        <w:t xml:space="preserve">נאש רמות בע"מ נ' מדינת ישראל </w:t>
      </w:r>
      <w:r w:rsidRPr="00197C1B">
        <w:rPr>
          <w:rFonts w:ascii="David" w:hAnsi="David" w:cs="David"/>
          <w:rtl/>
        </w:rPr>
        <w:t>–</w:t>
      </w:r>
      <w:r w:rsidRPr="00197C1B">
        <w:rPr>
          <w:rFonts w:ascii="David" w:hAnsi="David" w:cs="David"/>
          <w:b/>
          <w:rtl/>
        </w:rPr>
        <w:t xml:space="preserve"> משרד הבינוי והשיכון</w:t>
      </w:r>
      <w:r w:rsidRPr="00197C1B">
        <w:rPr>
          <w:rFonts w:ascii="David" w:hAnsi="David" w:cs="David"/>
          <w:rtl/>
        </w:rPr>
        <w:t xml:space="preserve">, פסקאות 54-52 לפסק הדין של חברי השופט </w:t>
      </w:r>
      <w:r w:rsidRPr="00197C1B">
        <w:rPr>
          <w:rFonts w:ascii="David" w:hAnsi="David" w:cs="David"/>
          <w:b/>
          <w:rtl/>
        </w:rPr>
        <w:t>א' שטיין</w:t>
      </w:r>
      <w:r w:rsidRPr="00197C1B">
        <w:rPr>
          <w:rFonts w:ascii="David" w:hAnsi="David" w:cs="David"/>
          <w:rtl/>
        </w:rPr>
        <w:t xml:space="preserve"> [פורסם בנבו] (3.10.2021))</w:t>
      </w:r>
      <w:r>
        <w:rPr>
          <w:rFonts w:ascii="David" w:hAnsi="David" w:cs="David" w:hint="cs"/>
          <w:rtl/>
        </w:rPr>
        <w:t>"</w:t>
      </w:r>
    </w:p>
    <w:p w:rsidR="001C78F9" w:rsidRDefault="009470B0" w:rsidP="00A038F8">
      <w:pPr>
        <w:pStyle w:val="a9"/>
        <w:numPr>
          <w:ilvl w:val="0"/>
          <w:numId w:val="1"/>
        </w:numPr>
        <w:tabs>
          <w:tab w:val="left" w:pos="425"/>
        </w:tabs>
        <w:spacing w:line="360" w:lineRule="auto"/>
        <w:contextualSpacing w:val="0"/>
        <w:jc w:val="both"/>
        <w:rPr>
          <w:rFonts w:ascii="David" w:hAnsi="David" w:cs="David"/>
        </w:rPr>
      </w:pPr>
      <w:r>
        <w:rPr>
          <w:rFonts w:ascii="David" w:hAnsi="David" w:cs="David" w:hint="cs"/>
          <w:rtl/>
        </w:rPr>
        <w:t>גם לגופו של עניין</w:t>
      </w:r>
      <w:r w:rsidR="00197C1B">
        <w:rPr>
          <w:rFonts w:ascii="David" w:hAnsi="David" w:cs="David" w:hint="cs"/>
          <w:rtl/>
        </w:rPr>
        <w:t>, לטעמנו</w:t>
      </w:r>
      <w:r>
        <w:rPr>
          <w:rFonts w:ascii="David" w:hAnsi="David" w:cs="David" w:hint="cs"/>
          <w:rtl/>
        </w:rPr>
        <w:t xml:space="preserve"> דין הטענה להידחות ונסביר.</w:t>
      </w:r>
    </w:p>
    <w:p w:rsidR="001C78F9" w:rsidRDefault="001C78F9" w:rsidP="00A038F8">
      <w:pPr>
        <w:pStyle w:val="a9"/>
        <w:numPr>
          <w:ilvl w:val="0"/>
          <w:numId w:val="1"/>
        </w:numPr>
        <w:tabs>
          <w:tab w:val="left" w:pos="425"/>
        </w:tabs>
        <w:spacing w:line="360" w:lineRule="auto"/>
        <w:contextualSpacing w:val="0"/>
        <w:jc w:val="both"/>
        <w:rPr>
          <w:rFonts w:ascii="David" w:hAnsi="David" w:cs="David"/>
        </w:rPr>
      </w:pPr>
      <w:r w:rsidRPr="001C78F9">
        <w:rPr>
          <w:rFonts w:ascii="David" w:hAnsi="David" w:cs="David" w:hint="cs"/>
          <w:rtl/>
        </w:rPr>
        <w:t xml:space="preserve">החברה הראתה כי </w:t>
      </w:r>
      <w:r w:rsidR="005A639F">
        <w:rPr>
          <w:rFonts w:ascii="David" w:hAnsi="David" w:cs="David" w:hint="cs"/>
          <w:rtl/>
        </w:rPr>
        <w:t xml:space="preserve">המנה המתקבלת בחישוב </w:t>
      </w:r>
      <w:r w:rsidRPr="001C78F9">
        <w:rPr>
          <w:rFonts w:ascii="David" w:hAnsi="David" w:cs="David"/>
          <w:rtl/>
        </w:rPr>
        <w:t xml:space="preserve">סך היטל ההשבחה המחולק בסך מספר יח"ד </w:t>
      </w:r>
      <w:r w:rsidR="006413FB">
        <w:rPr>
          <w:rFonts w:ascii="David" w:hAnsi="David" w:cs="David" w:hint="cs"/>
          <w:b/>
          <w:bCs/>
          <w:rtl/>
        </w:rPr>
        <w:t xml:space="preserve">הקיימות </w:t>
      </w:r>
      <w:r w:rsidRPr="00A038F8">
        <w:rPr>
          <w:rFonts w:ascii="David" w:hAnsi="David" w:cs="David"/>
          <w:b/>
          <w:bCs/>
          <w:rtl/>
        </w:rPr>
        <w:t>במצב נכנס</w:t>
      </w:r>
      <w:r w:rsidRPr="001C78F9">
        <w:rPr>
          <w:rFonts w:ascii="David" w:hAnsi="David" w:cs="David"/>
          <w:rtl/>
        </w:rPr>
        <w:t xml:space="preserve">, </w:t>
      </w:r>
      <w:proofErr w:type="spellStart"/>
      <w:r w:rsidRPr="001C78F9">
        <w:rPr>
          <w:rFonts w:ascii="David" w:hAnsi="David" w:cs="David" w:hint="cs"/>
          <w:rtl/>
        </w:rPr>
        <w:t>בפרוייקט</w:t>
      </w:r>
      <w:proofErr w:type="spellEnd"/>
      <w:r w:rsidRPr="001C78F9">
        <w:rPr>
          <w:rFonts w:ascii="David" w:hAnsi="David" w:cs="David" w:hint="cs"/>
          <w:rtl/>
        </w:rPr>
        <w:t xml:space="preserve"> זה, גבוה</w:t>
      </w:r>
      <w:r w:rsidR="005A639F">
        <w:rPr>
          <w:rFonts w:ascii="David" w:hAnsi="David" w:cs="David" w:hint="cs"/>
          <w:rtl/>
        </w:rPr>
        <w:t>ה</w:t>
      </w:r>
      <w:r w:rsidRPr="001C78F9">
        <w:rPr>
          <w:rFonts w:ascii="David" w:hAnsi="David" w:cs="David" w:hint="cs"/>
          <w:rtl/>
        </w:rPr>
        <w:t xml:space="preserve"> במאות אחוזים ביחס לפרויקטים אחרים של פינוי בינוי בגוש דן. לטענתה פער זה מצביע על אי-סבירות סכומי ההיטל שנקבעו כאן. </w:t>
      </w:r>
      <w:r w:rsidR="005A639F">
        <w:rPr>
          <w:rFonts w:ascii="David" w:hAnsi="David" w:cs="David" w:hint="cs"/>
          <w:rtl/>
        </w:rPr>
        <w:t xml:space="preserve"> </w:t>
      </w:r>
    </w:p>
    <w:p w:rsidR="00B930FD" w:rsidRDefault="001C78F9" w:rsidP="00A038F8">
      <w:pPr>
        <w:pStyle w:val="a9"/>
        <w:numPr>
          <w:ilvl w:val="0"/>
          <w:numId w:val="1"/>
        </w:numPr>
        <w:tabs>
          <w:tab w:val="left" w:pos="425"/>
        </w:tabs>
        <w:spacing w:line="360" w:lineRule="auto"/>
        <w:contextualSpacing w:val="0"/>
        <w:jc w:val="both"/>
        <w:rPr>
          <w:rFonts w:ascii="David" w:hAnsi="David" w:cs="David"/>
        </w:rPr>
      </w:pPr>
      <w:r w:rsidRPr="001C78F9">
        <w:rPr>
          <w:rFonts w:ascii="David" w:hAnsi="David" w:cs="David" w:hint="cs"/>
          <w:rtl/>
        </w:rPr>
        <w:t xml:space="preserve">איננו מקבלים טענה זו. </w:t>
      </w:r>
      <w:r w:rsidRPr="001C78F9">
        <w:rPr>
          <w:rFonts w:ascii="David" w:hAnsi="David" w:cs="David"/>
          <w:rtl/>
        </w:rPr>
        <w:t xml:space="preserve">לטעמנו </w:t>
      </w:r>
      <w:r w:rsidRPr="001C78F9">
        <w:rPr>
          <w:rFonts w:ascii="David" w:hAnsi="David" w:cs="David" w:hint="cs"/>
          <w:rtl/>
        </w:rPr>
        <w:t xml:space="preserve">היחס בין סך ההיטל לבין מס' </w:t>
      </w:r>
      <w:proofErr w:type="spellStart"/>
      <w:r w:rsidRPr="001C78F9">
        <w:rPr>
          <w:rFonts w:ascii="David" w:hAnsi="David" w:cs="David" w:hint="cs"/>
          <w:rtl/>
        </w:rPr>
        <w:t>יחה"ד</w:t>
      </w:r>
      <w:proofErr w:type="spellEnd"/>
      <w:r w:rsidRPr="001C78F9">
        <w:rPr>
          <w:rFonts w:ascii="David" w:hAnsi="David" w:cs="David" w:hint="cs"/>
          <w:rtl/>
        </w:rPr>
        <w:t xml:space="preserve"> במצב הנכנס </w:t>
      </w:r>
      <w:r w:rsidR="00205D4E">
        <w:rPr>
          <w:rFonts w:ascii="David" w:hAnsi="David" w:cs="David" w:hint="cs"/>
          <w:rtl/>
        </w:rPr>
        <w:t>על פניו אינו מהווה מקור</w:t>
      </w:r>
      <w:r w:rsidRPr="001C78F9">
        <w:rPr>
          <w:rFonts w:ascii="David" w:hAnsi="David" w:cs="David"/>
          <w:rtl/>
        </w:rPr>
        <w:t xml:space="preserve"> שאפשר להתבסס עליו כנתון השוואה לצורך ביסוס שומת היטל השבחה</w:t>
      </w:r>
      <w:r w:rsidRPr="001C78F9">
        <w:rPr>
          <w:rFonts w:ascii="David" w:hAnsi="David" w:cs="David" w:hint="cs"/>
          <w:rtl/>
        </w:rPr>
        <w:t>, ואף אינו ראוי לשמש כנתון לביקורת</w:t>
      </w:r>
      <w:r w:rsidRPr="001C78F9">
        <w:rPr>
          <w:rFonts w:ascii="David" w:hAnsi="David" w:cs="David"/>
          <w:rtl/>
        </w:rPr>
        <w:t xml:space="preserve">. </w:t>
      </w:r>
    </w:p>
    <w:p w:rsidR="001C78F9" w:rsidRDefault="001C78F9" w:rsidP="00061A9E">
      <w:pPr>
        <w:pStyle w:val="a9"/>
        <w:tabs>
          <w:tab w:val="left" w:pos="425"/>
        </w:tabs>
        <w:spacing w:line="360" w:lineRule="auto"/>
        <w:ind w:left="360"/>
        <w:contextualSpacing w:val="0"/>
        <w:jc w:val="both"/>
        <w:rPr>
          <w:rFonts w:ascii="David" w:hAnsi="David" w:cs="David"/>
        </w:rPr>
      </w:pPr>
      <w:r w:rsidRPr="001C78F9">
        <w:rPr>
          <w:rFonts w:ascii="David" w:hAnsi="David" w:cs="David"/>
          <w:rtl/>
        </w:rPr>
        <w:t xml:space="preserve">כידוע חישוב </w:t>
      </w:r>
      <w:r w:rsidRPr="001C78F9">
        <w:rPr>
          <w:rFonts w:ascii="David" w:hAnsi="David" w:cs="David" w:hint="cs"/>
          <w:rtl/>
        </w:rPr>
        <w:t>ה</w:t>
      </w:r>
      <w:r w:rsidRPr="001C78F9">
        <w:rPr>
          <w:rFonts w:ascii="David" w:hAnsi="David" w:cs="David"/>
          <w:rtl/>
        </w:rPr>
        <w:t xml:space="preserve">השבחה נעשה </w:t>
      </w:r>
      <w:r w:rsidRPr="001C78F9">
        <w:rPr>
          <w:rFonts w:ascii="David" w:hAnsi="David" w:cs="David" w:hint="cs"/>
          <w:rtl/>
        </w:rPr>
        <w:t xml:space="preserve">על פי ההפרש </w:t>
      </w:r>
      <w:r w:rsidRPr="001C78F9">
        <w:rPr>
          <w:rFonts w:ascii="David" w:hAnsi="David" w:cs="David"/>
          <w:rtl/>
        </w:rPr>
        <w:t xml:space="preserve">שבין שווי מצב </w:t>
      </w:r>
      <w:r w:rsidR="006413FB">
        <w:rPr>
          <w:rFonts w:ascii="David" w:hAnsi="David" w:cs="David" w:hint="cs"/>
          <w:rtl/>
        </w:rPr>
        <w:t>חדש</w:t>
      </w:r>
      <w:r w:rsidR="006413FB" w:rsidRPr="001C78F9">
        <w:rPr>
          <w:rFonts w:ascii="David" w:hAnsi="David" w:cs="David"/>
          <w:rtl/>
        </w:rPr>
        <w:t xml:space="preserve"> </w:t>
      </w:r>
      <w:r w:rsidRPr="001C78F9">
        <w:rPr>
          <w:rFonts w:ascii="David" w:hAnsi="David" w:cs="David"/>
          <w:rtl/>
        </w:rPr>
        <w:t xml:space="preserve">למצב </w:t>
      </w:r>
      <w:r w:rsidR="006413FB">
        <w:rPr>
          <w:rFonts w:ascii="David" w:hAnsi="David" w:cs="David" w:hint="cs"/>
          <w:rtl/>
        </w:rPr>
        <w:t>קודם</w:t>
      </w:r>
      <w:r w:rsidRPr="001C78F9">
        <w:rPr>
          <w:rFonts w:ascii="David" w:hAnsi="David" w:cs="David" w:hint="cs"/>
          <w:rtl/>
        </w:rPr>
        <w:t xml:space="preserve">. בהינתן מצב בו כל שאר המשתנים המאפיינים את הפרויקט נותרים בעינם, הרי שגידול מספר </w:t>
      </w:r>
      <w:proofErr w:type="spellStart"/>
      <w:r w:rsidRPr="001C78F9">
        <w:rPr>
          <w:rFonts w:ascii="David" w:hAnsi="David" w:cs="David" w:hint="cs"/>
          <w:rtl/>
        </w:rPr>
        <w:t>יחה"ד</w:t>
      </w:r>
      <w:proofErr w:type="spellEnd"/>
      <w:r w:rsidRPr="001C78F9">
        <w:rPr>
          <w:rFonts w:ascii="David" w:hAnsi="David" w:cs="David" w:hint="cs"/>
          <w:rtl/>
        </w:rPr>
        <w:t xml:space="preserve"> הקיימות וסך שטחן הכולל במצב הקודם</w:t>
      </w:r>
      <w:r w:rsidR="00205D4E">
        <w:rPr>
          <w:rFonts w:ascii="David" w:hAnsi="David" w:cs="David" w:hint="cs"/>
          <w:rtl/>
        </w:rPr>
        <w:t>,</w:t>
      </w:r>
      <w:r w:rsidRPr="001C78F9">
        <w:rPr>
          <w:rFonts w:ascii="David" w:hAnsi="David" w:cs="David" w:hint="cs"/>
          <w:rtl/>
        </w:rPr>
        <w:t xml:space="preserve"> מביא דווקא לגידול בשווי המצב הקודם, ומכאן לקיטון בסכום היטל ההשבחה, משמע, הקשר בין שני משתנים אלו </w:t>
      </w:r>
      <w:r w:rsidRPr="001C78F9">
        <w:rPr>
          <w:rFonts w:ascii="David" w:hAnsi="David" w:cs="David"/>
          <w:rtl/>
        </w:rPr>
        <w:t>–</w:t>
      </w:r>
      <w:r w:rsidRPr="001C78F9">
        <w:rPr>
          <w:rFonts w:ascii="David" w:hAnsi="David" w:cs="David" w:hint="cs"/>
          <w:rtl/>
        </w:rPr>
        <w:t xml:space="preserve"> מס' יח"ד במצב נכנס וסכום ההיטל הינו קשר הפוך,</w:t>
      </w:r>
      <w:r>
        <w:rPr>
          <w:rFonts w:ascii="David" w:hAnsi="David" w:cs="David" w:hint="cs"/>
          <w:rtl/>
        </w:rPr>
        <w:t xml:space="preserve"> </w:t>
      </w:r>
      <w:r w:rsidRPr="001C78F9">
        <w:rPr>
          <w:rFonts w:ascii="David" w:hAnsi="David" w:cs="David" w:hint="cs"/>
          <w:rtl/>
        </w:rPr>
        <w:t xml:space="preserve">על כן </w:t>
      </w:r>
      <w:r w:rsidR="009D1D02">
        <w:rPr>
          <w:rFonts w:ascii="David" w:hAnsi="David" w:cs="David" w:hint="cs"/>
          <w:rtl/>
        </w:rPr>
        <w:t xml:space="preserve">אין לצפות כי </w:t>
      </w:r>
      <w:r w:rsidRPr="001C78F9">
        <w:rPr>
          <w:rFonts w:ascii="David" w:hAnsi="David" w:cs="David" w:hint="cs"/>
          <w:rtl/>
        </w:rPr>
        <w:t xml:space="preserve">יחס היטל ההשבחה המחולק למס' </w:t>
      </w:r>
      <w:proofErr w:type="spellStart"/>
      <w:r w:rsidRPr="001C78F9">
        <w:rPr>
          <w:rFonts w:ascii="David" w:hAnsi="David" w:cs="David" w:hint="cs"/>
          <w:rtl/>
        </w:rPr>
        <w:t>יחה"ד</w:t>
      </w:r>
      <w:proofErr w:type="spellEnd"/>
      <w:r w:rsidRPr="001C78F9">
        <w:rPr>
          <w:rFonts w:ascii="David" w:hAnsi="David" w:cs="David" w:hint="cs"/>
          <w:rtl/>
        </w:rPr>
        <w:t xml:space="preserve"> במצב הנכנס, </w:t>
      </w:r>
      <w:r w:rsidR="009D1D02">
        <w:rPr>
          <w:rFonts w:ascii="David" w:hAnsi="David" w:cs="David" w:hint="cs"/>
          <w:rtl/>
        </w:rPr>
        <w:t xml:space="preserve">יהא </w:t>
      </w:r>
      <w:r w:rsidRPr="001C78F9">
        <w:rPr>
          <w:rFonts w:ascii="David" w:hAnsi="David" w:cs="David" w:hint="cs"/>
          <w:rtl/>
        </w:rPr>
        <w:t xml:space="preserve">ערך אחיד </w:t>
      </w:r>
      <w:r w:rsidR="009D1D02">
        <w:rPr>
          <w:rFonts w:ascii="David" w:hAnsi="David" w:cs="David" w:hint="cs"/>
          <w:rtl/>
        </w:rPr>
        <w:t xml:space="preserve">קבוע </w:t>
      </w:r>
      <w:r w:rsidRPr="001C78F9">
        <w:rPr>
          <w:rFonts w:ascii="David" w:hAnsi="David" w:cs="David" w:hint="cs"/>
          <w:rtl/>
        </w:rPr>
        <w:t xml:space="preserve">או </w:t>
      </w:r>
      <w:r w:rsidR="009D1D02">
        <w:rPr>
          <w:rFonts w:ascii="David" w:hAnsi="David" w:cs="David" w:hint="cs"/>
          <w:rtl/>
        </w:rPr>
        <w:t xml:space="preserve">למצער </w:t>
      </w:r>
      <w:r w:rsidRPr="001C78F9">
        <w:rPr>
          <w:rFonts w:ascii="David" w:hAnsi="David" w:cs="David" w:hint="cs"/>
          <w:rtl/>
        </w:rPr>
        <w:t>דומה בפרויקטים שונים, ומכאן</w:t>
      </w:r>
      <w:r w:rsidR="00205D4E">
        <w:rPr>
          <w:rFonts w:ascii="David" w:hAnsi="David" w:cs="David" w:hint="cs"/>
          <w:rtl/>
        </w:rPr>
        <w:t xml:space="preserve">, </w:t>
      </w:r>
      <w:r w:rsidRPr="001C78F9">
        <w:rPr>
          <w:rFonts w:ascii="David" w:hAnsi="David" w:cs="David" w:hint="cs"/>
          <w:rtl/>
        </w:rPr>
        <w:t xml:space="preserve">כי </w:t>
      </w:r>
      <w:r w:rsidR="009D1D02">
        <w:rPr>
          <w:rFonts w:ascii="David" w:hAnsi="David" w:cs="David" w:hint="cs"/>
          <w:rtl/>
        </w:rPr>
        <w:t xml:space="preserve">יחס זה כלל </w:t>
      </w:r>
      <w:r w:rsidRPr="001C78F9">
        <w:rPr>
          <w:rFonts w:ascii="David" w:hAnsi="David" w:cs="David" w:hint="cs"/>
          <w:rtl/>
        </w:rPr>
        <w:t>אינו נתון ראוי לשם השוואה בין פרויקטים ואף אינו ראוי ל</w:t>
      </w:r>
      <w:r w:rsidR="00964854">
        <w:rPr>
          <w:rFonts w:ascii="David" w:hAnsi="David" w:cs="David" w:hint="cs"/>
          <w:rtl/>
        </w:rPr>
        <w:t>טעמנו ל</w:t>
      </w:r>
      <w:r w:rsidRPr="001C78F9">
        <w:rPr>
          <w:rFonts w:ascii="David" w:hAnsi="David" w:cs="David" w:hint="cs"/>
          <w:rtl/>
        </w:rPr>
        <w:t>שמש כנתון לביקורת</w:t>
      </w:r>
      <w:r w:rsidR="009D1D02">
        <w:rPr>
          <w:rFonts w:ascii="David" w:hAnsi="David" w:cs="David" w:hint="cs"/>
          <w:rtl/>
        </w:rPr>
        <w:t xml:space="preserve"> בדבר סבירות ההיטל</w:t>
      </w:r>
      <w:r w:rsidRPr="001C78F9">
        <w:rPr>
          <w:rFonts w:ascii="David" w:hAnsi="David" w:cs="David" w:hint="cs"/>
          <w:rtl/>
        </w:rPr>
        <w:t xml:space="preserve">.  </w:t>
      </w:r>
      <w:r w:rsidRPr="001C78F9">
        <w:rPr>
          <w:rFonts w:ascii="David" w:hAnsi="David" w:cs="David"/>
          <w:rtl/>
        </w:rPr>
        <w:t xml:space="preserve"> </w:t>
      </w:r>
    </w:p>
    <w:p w:rsidR="00B930FD" w:rsidRDefault="001C78F9" w:rsidP="00061A9E">
      <w:pPr>
        <w:pStyle w:val="a9"/>
        <w:numPr>
          <w:ilvl w:val="0"/>
          <w:numId w:val="1"/>
        </w:numPr>
        <w:tabs>
          <w:tab w:val="left" w:pos="425"/>
        </w:tabs>
        <w:spacing w:line="360" w:lineRule="auto"/>
        <w:ind w:left="357" w:hanging="357"/>
        <w:contextualSpacing w:val="0"/>
        <w:jc w:val="both"/>
        <w:rPr>
          <w:rFonts w:ascii="David" w:hAnsi="David" w:cs="David"/>
        </w:rPr>
      </w:pPr>
      <w:r w:rsidRPr="001C78F9">
        <w:rPr>
          <w:rFonts w:ascii="David" w:hAnsi="David" w:cs="David"/>
          <w:rtl/>
        </w:rPr>
        <w:t>יתרה מכך,</w:t>
      </w:r>
      <w:r w:rsidRPr="001C78F9">
        <w:rPr>
          <w:rFonts w:ascii="David" w:hAnsi="David" w:cs="David" w:hint="cs"/>
          <w:rtl/>
        </w:rPr>
        <w:t xml:space="preserve"> </w:t>
      </w:r>
      <w:r w:rsidR="00682B2C">
        <w:rPr>
          <w:rFonts w:ascii="David" w:hAnsi="David" w:cs="David" w:hint="cs"/>
          <w:rtl/>
        </w:rPr>
        <w:t>מ</w:t>
      </w:r>
      <w:r w:rsidRPr="001C78F9">
        <w:rPr>
          <w:rFonts w:ascii="David" w:hAnsi="David" w:cs="David" w:hint="cs"/>
          <w:rtl/>
        </w:rPr>
        <w:t xml:space="preserve">עיון בטבלת הנתונים שהציגה החברה </w:t>
      </w:r>
      <w:r w:rsidRPr="001C78F9">
        <w:rPr>
          <w:rFonts w:ascii="David" w:hAnsi="David" w:cs="David"/>
          <w:rtl/>
        </w:rPr>
        <w:t>עולה</w:t>
      </w:r>
      <w:r w:rsidR="00205D4E">
        <w:rPr>
          <w:rFonts w:ascii="David" w:hAnsi="David" w:cs="David" w:hint="cs"/>
          <w:rtl/>
        </w:rPr>
        <w:t>,</w:t>
      </w:r>
      <w:r w:rsidRPr="001C78F9">
        <w:rPr>
          <w:rFonts w:ascii="David" w:hAnsi="David" w:cs="David"/>
          <w:rtl/>
        </w:rPr>
        <w:t xml:space="preserve"> </w:t>
      </w:r>
      <w:r w:rsidRPr="001C78F9">
        <w:rPr>
          <w:rFonts w:ascii="David" w:hAnsi="David" w:cs="David" w:hint="cs"/>
          <w:rtl/>
        </w:rPr>
        <w:t xml:space="preserve">כי </w:t>
      </w:r>
      <w:r w:rsidRPr="001C78F9">
        <w:rPr>
          <w:rFonts w:ascii="David" w:hAnsi="David" w:cs="David"/>
          <w:rtl/>
        </w:rPr>
        <w:t xml:space="preserve">בפרויקט נשוא העררים </w:t>
      </w:r>
      <w:r w:rsidRPr="001C78F9">
        <w:rPr>
          <w:rFonts w:ascii="David" w:hAnsi="David" w:cs="David" w:hint="cs"/>
          <w:rtl/>
        </w:rPr>
        <w:t>מכפיל מס' הדירות שהינו יחס מספר הדירות במצב החדש מחולק במספר הדירות במצב הקודם</w:t>
      </w:r>
      <w:r w:rsidR="004757E2">
        <w:rPr>
          <w:rFonts w:ascii="David" w:hAnsi="David" w:cs="David" w:hint="cs"/>
          <w:rtl/>
        </w:rPr>
        <w:t>,</w:t>
      </w:r>
      <w:r w:rsidRPr="001C78F9">
        <w:rPr>
          <w:rFonts w:ascii="David" w:hAnsi="David" w:cs="David" w:hint="cs"/>
          <w:rtl/>
        </w:rPr>
        <w:t xml:space="preserve"> וכן מכפיל השטח שהינו יחס השטח </w:t>
      </w:r>
      <w:r w:rsidR="00964854" w:rsidRPr="001C78F9">
        <w:rPr>
          <w:rFonts w:ascii="David" w:hAnsi="David" w:cs="David" w:hint="cs"/>
          <w:rtl/>
        </w:rPr>
        <w:t>האקו</w:t>
      </w:r>
      <w:r w:rsidR="00964854">
        <w:rPr>
          <w:rFonts w:ascii="David" w:hAnsi="David" w:cs="David" w:hint="cs"/>
          <w:rtl/>
        </w:rPr>
        <w:t>ויוולנט</w:t>
      </w:r>
      <w:r w:rsidR="00964854">
        <w:rPr>
          <w:rFonts w:ascii="David" w:hAnsi="David" w:cs="David" w:hint="eastAsia"/>
          <w:rtl/>
        </w:rPr>
        <w:t>י</w:t>
      </w:r>
      <w:r w:rsidRPr="001C78F9">
        <w:rPr>
          <w:rFonts w:ascii="David" w:hAnsi="David" w:cs="David" w:hint="cs"/>
          <w:rtl/>
        </w:rPr>
        <w:t xml:space="preserve"> במצב החדש מחולק בסך </w:t>
      </w:r>
      <w:proofErr w:type="spellStart"/>
      <w:r w:rsidRPr="001C78F9">
        <w:rPr>
          <w:rFonts w:ascii="David" w:hAnsi="David" w:cs="David" w:hint="cs"/>
          <w:rtl/>
        </w:rPr>
        <w:t>המ"ר</w:t>
      </w:r>
      <w:proofErr w:type="spellEnd"/>
      <w:r w:rsidRPr="001C78F9">
        <w:rPr>
          <w:rFonts w:ascii="David" w:hAnsi="David" w:cs="David" w:hint="cs"/>
          <w:rtl/>
        </w:rPr>
        <w:t xml:space="preserve"> </w:t>
      </w:r>
      <w:r w:rsidR="00964854" w:rsidRPr="001C78F9">
        <w:rPr>
          <w:rFonts w:ascii="David" w:hAnsi="David" w:cs="David" w:hint="cs"/>
          <w:rtl/>
        </w:rPr>
        <w:t>האק</w:t>
      </w:r>
      <w:r w:rsidR="00964854">
        <w:rPr>
          <w:rFonts w:ascii="David" w:hAnsi="David" w:cs="David" w:hint="cs"/>
          <w:rtl/>
        </w:rPr>
        <w:t>וויוולנט</w:t>
      </w:r>
      <w:r w:rsidR="00964854">
        <w:rPr>
          <w:rFonts w:ascii="David" w:hAnsi="David" w:cs="David" w:hint="eastAsia"/>
          <w:rtl/>
        </w:rPr>
        <w:t>י</w:t>
      </w:r>
      <w:r w:rsidR="00205D4E">
        <w:rPr>
          <w:rFonts w:ascii="David" w:hAnsi="David" w:cs="David" w:hint="cs"/>
          <w:rtl/>
        </w:rPr>
        <w:t xml:space="preserve"> </w:t>
      </w:r>
      <w:r w:rsidRPr="001C78F9">
        <w:rPr>
          <w:rFonts w:ascii="David" w:hAnsi="David" w:cs="David" w:hint="cs"/>
          <w:rtl/>
        </w:rPr>
        <w:t>במצב  הקודם, שניהם</w:t>
      </w:r>
      <w:r w:rsidRPr="001C78F9">
        <w:rPr>
          <w:rFonts w:ascii="David" w:hAnsi="David" w:cs="David"/>
          <w:rtl/>
        </w:rPr>
        <w:t xml:space="preserve"> </w:t>
      </w:r>
      <w:r w:rsidRPr="001C78F9">
        <w:rPr>
          <w:rFonts w:ascii="David" w:hAnsi="David" w:cs="David" w:hint="cs"/>
          <w:rtl/>
        </w:rPr>
        <w:t xml:space="preserve">מן </w:t>
      </w:r>
      <w:r w:rsidRPr="001C78F9">
        <w:rPr>
          <w:rFonts w:ascii="David" w:hAnsi="David" w:cs="David"/>
          <w:rtl/>
        </w:rPr>
        <w:t>הגבוהים ביותר מבין הפרויקטים שהציגה החברה</w:t>
      </w:r>
      <w:r w:rsidRPr="001C78F9">
        <w:rPr>
          <w:rFonts w:ascii="David" w:hAnsi="David" w:cs="David" w:hint="cs"/>
          <w:rtl/>
        </w:rPr>
        <w:t xml:space="preserve"> באותה טבלת ההשוואה.  </w:t>
      </w:r>
    </w:p>
    <w:p w:rsidR="001C78F9" w:rsidRDefault="004757E2" w:rsidP="00061A9E">
      <w:pPr>
        <w:pStyle w:val="a9"/>
        <w:tabs>
          <w:tab w:val="left" w:pos="425"/>
        </w:tabs>
        <w:spacing w:line="360" w:lineRule="auto"/>
        <w:ind w:left="357"/>
        <w:contextualSpacing w:val="0"/>
        <w:jc w:val="both"/>
        <w:rPr>
          <w:rFonts w:ascii="David" w:hAnsi="David" w:cs="David"/>
          <w:rtl/>
        </w:rPr>
      </w:pPr>
      <w:r>
        <w:rPr>
          <w:rFonts w:ascii="David" w:hAnsi="David" w:cs="David" w:hint="cs"/>
          <w:rtl/>
        </w:rPr>
        <w:t xml:space="preserve">כך </w:t>
      </w:r>
      <w:r w:rsidR="001C78F9" w:rsidRPr="00B930FD">
        <w:rPr>
          <w:rFonts w:ascii="David" w:hAnsi="David" w:cs="David" w:hint="cs"/>
          <w:rtl/>
        </w:rPr>
        <w:t>בשונה מן הנתון עליו הצביעה החברה אשר בינו לבין סכום ההיטל קיים כאמור קשר הפוך, הרי שבין המכפילים הנ"ל לבין היטל ההשבחה קיים דווקא קשר ישר, דהיינו גידול במכפיל כאשר כל שאר הנתונים קבועים יביא דווקא לגידול בסכום ההיטל. על כן, הואיל ובפרויקט זה המכפילים הינם מן הגבוהים</w:t>
      </w:r>
      <w:r w:rsidR="00205D4E" w:rsidRPr="00B930FD">
        <w:rPr>
          <w:rFonts w:ascii="David" w:hAnsi="David" w:cs="David" w:hint="cs"/>
          <w:rtl/>
        </w:rPr>
        <w:t>,</w:t>
      </w:r>
      <w:r w:rsidR="001C78F9" w:rsidRPr="00B930FD">
        <w:rPr>
          <w:rFonts w:ascii="David" w:hAnsi="David" w:cs="David" w:hint="cs"/>
          <w:rtl/>
        </w:rPr>
        <w:t xml:space="preserve"> הרי שגם על סמך הנתונים שהציגה החברה עצמה מתבקש על פניו לפחות, כי היטל ההשבחה שכאן ייטה דווקא לצד הגבוה ביחס לשאר הפרויקטים שהובאו בטבלה.</w:t>
      </w:r>
    </w:p>
    <w:p w:rsidR="00CE440C" w:rsidRDefault="00CE440C" w:rsidP="00061A9E">
      <w:pPr>
        <w:pStyle w:val="a9"/>
        <w:tabs>
          <w:tab w:val="left" w:pos="425"/>
        </w:tabs>
        <w:spacing w:line="360" w:lineRule="auto"/>
        <w:ind w:left="357"/>
        <w:contextualSpacing w:val="0"/>
        <w:jc w:val="both"/>
        <w:rPr>
          <w:rFonts w:ascii="David" w:hAnsi="David" w:cs="David"/>
          <w:rtl/>
        </w:rPr>
      </w:pPr>
    </w:p>
    <w:p w:rsidR="00CE440C" w:rsidRDefault="00CE440C" w:rsidP="00061A9E">
      <w:pPr>
        <w:pStyle w:val="a9"/>
        <w:tabs>
          <w:tab w:val="left" w:pos="425"/>
        </w:tabs>
        <w:spacing w:line="360" w:lineRule="auto"/>
        <w:ind w:left="357"/>
        <w:contextualSpacing w:val="0"/>
        <w:jc w:val="both"/>
        <w:rPr>
          <w:rFonts w:ascii="David" w:hAnsi="David" w:cs="David"/>
          <w:rtl/>
        </w:rPr>
      </w:pPr>
    </w:p>
    <w:p w:rsidR="00CE440C" w:rsidRPr="00B930FD" w:rsidRDefault="00CE440C" w:rsidP="00061A9E">
      <w:pPr>
        <w:pStyle w:val="a9"/>
        <w:tabs>
          <w:tab w:val="left" w:pos="425"/>
        </w:tabs>
        <w:spacing w:line="360" w:lineRule="auto"/>
        <w:ind w:left="357"/>
        <w:contextualSpacing w:val="0"/>
        <w:jc w:val="both"/>
        <w:rPr>
          <w:rFonts w:ascii="David" w:hAnsi="David" w:cs="David"/>
          <w:rtl/>
        </w:rPr>
      </w:pPr>
    </w:p>
    <w:p w:rsidR="002A0751" w:rsidRDefault="00524E2E" w:rsidP="001C78F9">
      <w:pPr>
        <w:pStyle w:val="a9"/>
        <w:numPr>
          <w:ilvl w:val="0"/>
          <w:numId w:val="1"/>
        </w:numPr>
        <w:tabs>
          <w:tab w:val="left" w:pos="425"/>
        </w:tabs>
        <w:spacing w:line="360" w:lineRule="auto"/>
        <w:ind w:left="357" w:hanging="357"/>
        <w:contextualSpacing w:val="0"/>
        <w:jc w:val="both"/>
        <w:rPr>
          <w:rFonts w:ascii="David" w:hAnsi="David" w:cs="David"/>
        </w:rPr>
      </w:pPr>
      <w:r>
        <w:rPr>
          <w:rFonts w:ascii="David" w:hAnsi="David" w:cs="David" w:hint="cs"/>
          <w:rtl/>
        </w:rPr>
        <w:t xml:space="preserve">משכך </w:t>
      </w:r>
      <w:r w:rsidR="00166C2D">
        <w:rPr>
          <w:rFonts w:ascii="David" w:hAnsi="David" w:cs="David" w:hint="cs"/>
          <w:rtl/>
        </w:rPr>
        <w:t xml:space="preserve">ולאור האמור </w:t>
      </w:r>
      <w:r>
        <w:rPr>
          <w:rFonts w:ascii="David" w:hAnsi="David" w:cs="David" w:hint="cs"/>
          <w:rtl/>
        </w:rPr>
        <w:t>ל</w:t>
      </w:r>
      <w:r w:rsidR="00197C1B">
        <w:rPr>
          <w:rFonts w:ascii="David" w:hAnsi="David" w:cs="David" w:hint="cs"/>
          <w:rtl/>
        </w:rPr>
        <w:t>עיל</w:t>
      </w:r>
      <w:r w:rsidR="009D1D02">
        <w:rPr>
          <w:rFonts w:ascii="David" w:hAnsi="David" w:cs="David" w:hint="cs"/>
          <w:rtl/>
        </w:rPr>
        <w:t>,</w:t>
      </w:r>
      <w:r w:rsidR="00197C1B">
        <w:rPr>
          <w:rFonts w:ascii="David" w:hAnsi="David" w:cs="David" w:hint="cs"/>
          <w:rtl/>
        </w:rPr>
        <w:t xml:space="preserve"> ל</w:t>
      </w:r>
      <w:r>
        <w:rPr>
          <w:rFonts w:ascii="David" w:hAnsi="David" w:cs="David" w:hint="cs"/>
          <w:rtl/>
        </w:rPr>
        <w:t>טעמנו דין טענת החברה להידחות</w:t>
      </w:r>
      <w:r w:rsidR="00166C2D">
        <w:rPr>
          <w:rFonts w:ascii="David" w:hAnsi="David" w:cs="David" w:hint="cs"/>
          <w:rtl/>
        </w:rPr>
        <w:t>,</w:t>
      </w:r>
      <w:r>
        <w:rPr>
          <w:rFonts w:ascii="David" w:hAnsi="David" w:cs="David" w:hint="cs"/>
          <w:rtl/>
        </w:rPr>
        <w:t xml:space="preserve"> ברם הואיל וה</w:t>
      </w:r>
      <w:r w:rsidR="002A0751" w:rsidRPr="00524E2E">
        <w:rPr>
          <w:rFonts w:ascii="David" w:hAnsi="David" w:cs="David" w:hint="cs"/>
          <w:rtl/>
        </w:rPr>
        <w:t>חברה טענה כי השמאית המכריעה התעלמה מנ</w:t>
      </w:r>
      <w:r>
        <w:rPr>
          <w:rFonts w:ascii="David" w:hAnsi="David" w:cs="David" w:hint="cs"/>
          <w:rtl/>
        </w:rPr>
        <w:t>תו</w:t>
      </w:r>
      <w:r w:rsidR="002A0751" w:rsidRPr="00524E2E">
        <w:rPr>
          <w:rFonts w:ascii="David" w:hAnsi="David" w:cs="David" w:hint="cs"/>
          <w:rtl/>
        </w:rPr>
        <w:t xml:space="preserve">נים שהוצגו לה ולא נתנה </w:t>
      </w:r>
      <w:r w:rsidR="009D1D02" w:rsidRPr="00524E2E">
        <w:rPr>
          <w:rFonts w:ascii="David" w:hAnsi="David" w:cs="David" w:hint="cs"/>
          <w:rtl/>
        </w:rPr>
        <w:t>לה</w:t>
      </w:r>
      <w:r w:rsidR="009D1D02">
        <w:rPr>
          <w:rFonts w:ascii="David" w:hAnsi="David" w:cs="David" w:hint="cs"/>
          <w:rtl/>
        </w:rPr>
        <w:t xml:space="preserve">ם </w:t>
      </w:r>
      <w:r w:rsidR="002A0751" w:rsidRPr="00524E2E">
        <w:rPr>
          <w:rFonts w:ascii="David" w:hAnsi="David" w:cs="David" w:hint="cs"/>
          <w:rtl/>
        </w:rPr>
        <w:t>ביטוי</w:t>
      </w:r>
      <w:r w:rsidR="00166C2D">
        <w:rPr>
          <w:rFonts w:ascii="David" w:hAnsi="David" w:cs="David" w:hint="cs"/>
          <w:rtl/>
        </w:rPr>
        <w:t xml:space="preserve"> כלל בשומותיה, בקשנו במ</w:t>
      </w:r>
      <w:r w:rsidR="002A0751" w:rsidRPr="002A0751">
        <w:rPr>
          <w:rFonts w:ascii="David" w:hAnsi="David" w:cs="David" w:hint="cs"/>
          <w:rtl/>
        </w:rPr>
        <w:t>סגרת החלטת הביניים מיום 8.6.2025 בה נשלחו בין היתר שאלות הבהרה לשמאית המכריעה</w:t>
      </w:r>
      <w:r w:rsidR="00205D4E">
        <w:rPr>
          <w:rFonts w:ascii="David" w:hAnsi="David" w:cs="David" w:hint="cs"/>
          <w:rtl/>
        </w:rPr>
        <w:t>,</w:t>
      </w:r>
      <w:r w:rsidR="002A0751" w:rsidRPr="002A0751">
        <w:rPr>
          <w:rFonts w:ascii="David" w:hAnsi="David" w:cs="David" w:hint="cs"/>
          <w:rtl/>
        </w:rPr>
        <w:t xml:space="preserve"> </w:t>
      </w:r>
      <w:r w:rsidR="00166C2D">
        <w:rPr>
          <w:rFonts w:ascii="David" w:hAnsi="David" w:cs="David" w:hint="cs"/>
          <w:rtl/>
        </w:rPr>
        <w:t>את התייחסותה</w:t>
      </w:r>
      <w:r w:rsidR="00197C1B">
        <w:rPr>
          <w:rFonts w:ascii="David" w:hAnsi="David" w:cs="David" w:hint="cs"/>
          <w:rtl/>
        </w:rPr>
        <w:t xml:space="preserve"> גם</w:t>
      </w:r>
      <w:r w:rsidR="00166C2D">
        <w:rPr>
          <w:rFonts w:ascii="David" w:hAnsi="David" w:cs="David" w:hint="cs"/>
          <w:rtl/>
        </w:rPr>
        <w:t xml:space="preserve"> </w:t>
      </w:r>
      <w:r w:rsidR="002A0751" w:rsidRPr="002A0751">
        <w:rPr>
          <w:rFonts w:ascii="David" w:hAnsi="David" w:cs="David" w:hint="cs"/>
          <w:rtl/>
        </w:rPr>
        <w:t xml:space="preserve">לטיעון החברה </w:t>
      </w:r>
      <w:r w:rsidR="002A0751">
        <w:rPr>
          <w:rFonts w:ascii="David" w:hAnsi="David" w:cs="David" w:hint="cs"/>
          <w:rtl/>
        </w:rPr>
        <w:t>בעניין</w:t>
      </w:r>
      <w:r w:rsidR="002A0751" w:rsidRPr="002A0751">
        <w:rPr>
          <w:rFonts w:ascii="David" w:hAnsi="David" w:cs="David" w:hint="cs"/>
          <w:rtl/>
        </w:rPr>
        <w:t xml:space="preserve"> העדר התייחסות לשומות מכריעות שהוצגו מטעם החברה לעניין קביעת שיעור היטל השבחה </w:t>
      </w:r>
      <w:r w:rsidR="002A0751">
        <w:rPr>
          <w:rFonts w:ascii="David" w:hAnsi="David" w:cs="David" w:hint="cs"/>
          <w:rtl/>
        </w:rPr>
        <w:t>כדלקמן:</w:t>
      </w:r>
    </w:p>
    <w:p w:rsidR="002A0751" w:rsidRDefault="002A0751" w:rsidP="00197C1B">
      <w:pPr>
        <w:pStyle w:val="a9"/>
        <w:spacing w:line="360" w:lineRule="auto"/>
        <w:ind w:left="850" w:right="993"/>
        <w:jc w:val="both"/>
        <w:rPr>
          <w:rFonts w:ascii="David" w:hAnsi="David" w:cs="David"/>
          <w:b/>
          <w:bCs/>
          <w:rtl/>
        </w:rPr>
      </w:pPr>
      <w:r w:rsidRPr="002A0751">
        <w:rPr>
          <w:rFonts w:ascii="David" w:hAnsi="David" w:cs="David" w:hint="cs"/>
          <w:rtl/>
        </w:rPr>
        <w:t xml:space="preserve">"אחת מהטענות שהעלתה </w:t>
      </w:r>
      <w:r w:rsidRPr="002A0751">
        <w:rPr>
          <w:rFonts w:ascii="David" w:hAnsi="David" w:cs="David"/>
          <w:rtl/>
        </w:rPr>
        <w:t xml:space="preserve">החברה </w:t>
      </w:r>
      <w:r w:rsidRPr="002A0751">
        <w:rPr>
          <w:rFonts w:ascii="David" w:hAnsi="David" w:cs="David" w:hint="cs"/>
          <w:rtl/>
        </w:rPr>
        <w:t xml:space="preserve">היא כי </w:t>
      </w:r>
      <w:r w:rsidRPr="002A0751">
        <w:rPr>
          <w:rFonts w:ascii="David" w:hAnsi="David" w:cs="David"/>
          <w:rtl/>
        </w:rPr>
        <w:t>היטל ההשבחה בפרויקט הנדון גבוה במאות אחוזים מהיטל ההשבחה בפרויקטים אחרים של פינוי בינוי</w:t>
      </w:r>
      <w:r w:rsidRPr="002A0751">
        <w:rPr>
          <w:rFonts w:ascii="David" w:hAnsi="David" w:cs="David" w:hint="cs"/>
          <w:rtl/>
        </w:rPr>
        <w:t xml:space="preserve">, וכי הוצגה על ידה טבלה של שומות מכריעות שפורטה בתשובה מטעמה מיום 14.2.2022 ואשר הוצגה בהליך השמאות המכרעת (עמ' 190 לשומת החברה במגרש 101 , עמוד 86 לשומת החברה מגרש 102) כפי שתוצג להלן ועל אף זאת, לא מצינו כי קבלה כל התייחסות/ביטוי בשומות המכריעות. נקודת המוצא היא, כי מדובר בשומות מכריעות מפורטות ועל כן נראה כי נלקחו בחשבון כלל הנתונים מטעם הצדדים בעת מתן ההכרעה ותוך הפעלת שיקול דעת עצמאי על ידי השמאית המכריעה. </w:t>
      </w:r>
      <w:r w:rsidRPr="00CB2F39">
        <w:rPr>
          <w:rFonts w:ascii="David" w:hAnsi="David" w:cs="David" w:hint="cs"/>
          <w:b/>
          <w:bCs/>
          <w:rtl/>
        </w:rPr>
        <w:t xml:space="preserve">יחד עם זאת, נוכח הפערים הגדולים המוצגים על ידי החברה ונוכח כך שלטענתה הטבלה בה פורטו השומות המכריעות מטעמה לא קבלו ביטוי בשומות המכריעות, נבקש כי השמאית המכריעה תיתן הבהרתה ביחס לערכי השווי שנקבעו בשומות המכריעות הנ"ל ומידת רלוונטיות שלהן לעניינינו. רק במידה ותסבור כי יש להן רלוונטיות באופן המצדיק תיקון השומות המכריעות, היא רשאית לעשות כן. </w:t>
      </w:r>
    </w:p>
    <w:p w:rsidR="002A0751" w:rsidRDefault="002A0751" w:rsidP="00197C1B">
      <w:pPr>
        <w:pStyle w:val="a9"/>
        <w:spacing w:line="360" w:lineRule="auto"/>
        <w:ind w:left="709" w:right="851"/>
        <w:jc w:val="center"/>
        <w:rPr>
          <w:rFonts w:ascii="David" w:hAnsi="David"/>
          <w:b/>
          <w:bCs/>
          <w:rtl/>
        </w:rPr>
      </w:pPr>
      <w:r w:rsidRPr="00E851AF">
        <w:rPr>
          <w:noProof/>
        </w:rPr>
        <w:drawing>
          <wp:inline distT="0" distB="0" distL="0" distR="0" wp14:anchorId="3F19B7EC" wp14:editId="58B1B246">
            <wp:extent cx="4459459" cy="4733290"/>
            <wp:effectExtent l="0" t="0" r="0" b="0"/>
            <wp:docPr id="159900293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45">
                      <a:extLst>
                        <a:ext uri="{28A0092B-C50C-407E-A947-70E740481C1C}">
                          <a14:useLocalDpi xmlns:a14="http://schemas.microsoft.com/office/drawing/2010/main" val="0"/>
                        </a:ext>
                      </a:extLst>
                    </a:blip>
                    <a:srcRect l="3616" t="1276" r="2892" b="1045"/>
                    <a:stretch>
                      <a:fillRect/>
                    </a:stretch>
                  </pic:blipFill>
                  <pic:spPr bwMode="auto">
                    <a:xfrm>
                      <a:off x="0" y="0"/>
                      <a:ext cx="4479865" cy="4754949"/>
                    </a:xfrm>
                    <a:prstGeom prst="rect">
                      <a:avLst/>
                    </a:prstGeom>
                    <a:noFill/>
                    <a:ln>
                      <a:noFill/>
                    </a:ln>
                  </pic:spPr>
                </pic:pic>
              </a:graphicData>
            </a:graphic>
          </wp:inline>
        </w:drawing>
      </w:r>
    </w:p>
    <w:p w:rsidR="00CE440C" w:rsidRDefault="00CE440C" w:rsidP="00197C1B">
      <w:pPr>
        <w:spacing w:line="360" w:lineRule="auto"/>
        <w:ind w:left="709" w:right="851"/>
        <w:jc w:val="both"/>
        <w:rPr>
          <w:rFonts w:ascii="David" w:hAnsi="David" w:cs="David"/>
          <w:rtl/>
        </w:rPr>
      </w:pPr>
    </w:p>
    <w:p w:rsidR="00CE440C" w:rsidRDefault="00CE440C" w:rsidP="00197C1B">
      <w:pPr>
        <w:spacing w:line="360" w:lineRule="auto"/>
        <w:ind w:left="709" w:right="851"/>
        <w:jc w:val="both"/>
        <w:rPr>
          <w:rFonts w:ascii="David" w:hAnsi="David" w:cs="David"/>
          <w:rtl/>
        </w:rPr>
      </w:pPr>
    </w:p>
    <w:p w:rsidR="002A0751" w:rsidRPr="002A0751" w:rsidRDefault="002A0751" w:rsidP="00197C1B">
      <w:pPr>
        <w:spacing w:line="360" w:lineRule="auto"/>
        <w:ind w:left="709" w:right="851"/>
        <w:jc w:val="both"/>
        <w:rPr>
          <w:rFonts w:ascii="David" w:hAnsi="David" w:cs="David"/>
          <w:rtl/>
        </w:rPr>
      </w:pPr>
      <w:r w:rsidRPr="002A0751">
        <w:rPr>
          <w:rFonts w:ascii="David" w:hAnsi="David" w:cs="David" w:hint="cs"/>
          <w:rtl/>
        </w:rPr>
        <w:t>כמו כן, במסגרת נספח 14 מיום 25.12.2024 לתשובת הועדה המקומית לערר הוצגה לנו הטבלה הבאה:</w:t>
      </w:r>
    </w:p>
    <w:p w:rsidR="002A0751" w:rsidRDefault="002A0751" w:rsidP="00197C1B">
      <w:pPr>
        <w:pStyle w:val="a9"/>
        <w:spacing w:line="360" w:lineRule="auto"/>
        <w:ind w:left="709" w:right="851"/>
        <w:jc w:val="center"/>
        <w:rPr>
          <w:rFonts w:ascii="David" w:hAnsi="David"/>
          <w:b/>
          <w:bCs/>
          <w:color w:val="EE0000"/>
          <w:rtl/>
        </w:rPr>
      </w:pPr>
      <w:r w:rsidRPr="00E851AF">
        <w:rPr>
          <w:noProof/>
        </w:rPr>
        <w:drawing>
          <wp:inline distT="0" distB="0" distL="0" distR="0" wp14:anchorId="34110398" wp14:editId="0BC3A1BC">
            <wp:extent cx="4304665" cy="2609850"/>
            <wp:effectExtent l="0" t="0" r="635" b="0"/>
            <wp:docPr id="62881733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04665" cy="2609850"/>
                    </a:xfrm>
                    <a:prstGeom prst="rect">
                      <a:avLst/>
                    </a:prstGeom>
                    <a:noFill/>
                    <a:ln>
                      <a:noFill/>
                    </a:ln>
                  </pic:spPr>
                </pic:pic>
              </a:graphicData>
            </a:graphic>
          </wp:inline>
        </w:drawing>
      </w:r>
    </w:p>
    <w:p w:rsidR="002A0751" w:rsidRPr="00F5311F" w:rsidRDefault="002A0751" w:rsidP="00F5311F">
      <w:pPr>
        <w:spacing w:line="360" w:lineRule="auto"/>
        <w:ind w:left="425" w:right="709"/>
        <w:jc w:val="both"/>
        <w:rPr>
          <w:rFonts w:ascii="David" w:hAnsi="David" w:cs="David"/>
          <w:rtl/>
        </w:rPr>
      </w:pPr>
      <w:r w:rsidRPr="00F5311F">
        <w:rPr>
          <w:rFonts w:ascii="David" w:hAnsi="David" w:cs="David" w:hint="cs"/>
          <w:rtl/>
        </w:rPr>
        <w:t xml:space="preserve">עיון של ועדת הערר בשומות המכריעות ובפרט בעמ' 3 המפרטות את רשימת המסמכים שהוגשו בהליך השמאות המכרעת </w:t>
      </w:r>
      <w:r w:rsidR="00682B2C">
        <w:rPr>
          <w:rFonts w:ascii="David" w:hAnsi="David" w:cs="David" w:hint="cs"/>
          <w:rtl/>
        </w:rPr>
        <w:t>לא מציינות /מפרטות</w:t>
      </w:r>
      <w:r w:rsidRPr="00F5311F">
        <w:rPr>
          <w:rFonts w:ascii="David" w:hAnsi="David" w:cs="David" w:hint="cs"/>
          <w:rtl/>
        </w:rPr>
        <w:t xml:space="preserve"> האם טבלה זו אליה גם הגיבה החברה בדיון בפנינו הוצגה בפני השמאית המכריעה.  הטבלה אמנם נושאת תאריך דצמבר 2024 (קרי לאחר הליך השמאות המכרעת) ברם ייתכן וזו הוצגה עם תאריך אחר. מכל מקום</w:t>
      </w:r>
      <w:r w:rsidR="00994DB2">
        <w:rPr>
          <w:rFonts w:ascii="David" w:hAnsi="David" w:cs="David" w:hint="cs"/>
          <w:rtl/>
        </w:rPr>
        <w:t>,</w:t>
      </w:r>
      <w:r w:rsidRPr="00F5311F">
        <w:rPr>
          <w:rFonts w:ascii="David" w:hAnsi="David" w:cs="David" w:hint="cs"/>
          <w:rtl/>
        </w:rPr>
        <w:t xml:space="preserve"> מתבקשת השמאית המכריעה לעדכן האם טבלה הנ"ל עם נתוניה אכן  הוצגה בפניה. </w:t>
      </w:r>
    </w:p>
    <w:p w:rsidR="002A0751" w:rsidRPr="00F5311F" w:rsidRDefault="002A0751" w:rsidP="00F5311F">
      <w:pPr>
        <w:spacing w:line="360" w:lineRule="auto"/>
        <w:ind w:left="425" w:right="709"/>
        <w:jc w:val="both"/>
        <w:rPr>
          <w:rFonts w:ascii="David" w:hAnsi="David" w:cs="David"/>
          <w:rtl/>
        </w:rPr>
      </w:pPr>
      <w:r w:rsidRPr="00F5311F">
        <w:rPr>
          <w:rFonts w:ascii="David" w:hAnsi="David" w:cs="David" w:hint="cs"/>
          <w:rtl/>
        </w:rPr>
        <w:t>רק ככל ונתונים אלה שבטבלה אכן הוצגו בפניה, מתבקשת השמאית המכריעה להבהיר האם היא אמצה ו/או לקחה בחשבון נתונים אלה לעניין השווי וככל שכן, האם היא בצעה את ההתאמות לעניין העובדה שחלק מהשווים נקבעו ללא ממ"דים. כך למשל בשומה מכרעת של יגאל יוסף ביחס לגוש 7122 חלקות 93-98 רחוב השבטים 4-18 בבת ים נקבע כי היטל השבחה ליח"ד קיימת הינו סך של 629,576 ₪. הואיל ובמקרה זה השומה הוצאה עקב מימוש בדרך של היתר השווי האמור לא כלל ממ"דים, ברם, אם נחיל את שווי זה לעניינינו הרי שיש לנטרל את הממ"דים באופן ש</w:t>
      </w:r>
      <w:r w:rsidRPr="00F5311F">
        <w:rPr>
          <w:rFonts w:ascii="David" w:hAnsi="David" w:cs="David"/>
          <w:rtl/>
        </w:rPr>
        <w:t>ההיטל ללא ממ"דים</w:t>
      </w:r>
      <w:r w:rsidRPr="00F5311F">
        <w:rPr>
          <w:rFonts w:ascii="David" w:hAnsi="David" w:cs="David" w:hint="cs"/>
          <w:rtl/>
        </w:rPr>
        <w:t xml:space="preserve"> הוא</w:t>
      </w:r>
      <w:r w:rsidRPr="00F5311F">
        <w:rPr>
          <w:rFonts w:ascii="David" w:hAnsi="David" w:cs="David"/>
          <w:rtl/>
        </w:rPr>
        <w:t xml:space="preserve"> 545,000 ₪</w:t>
      </w:r>
      <w:r w:rsidRPr="00F5311F">
        <w:rPr>
          <w:rFonts w:ascii="David" w:hAnsi="David" w:cs="David" w:hint="cs"/>
          <w:rtl/>
        </w:rPr>
        <w:t xml:space="preserve"> עוד נטען כי חלק מהעסקאות של בת ים כפי שהובאו על ידי הועדה המקומית מתייחסות לפרויקטים בהיקף של 24 יח"ד לעומת המקרה דנא בו עסקינן בפרויקט של 104 יח"ד ושאלתנו הינה האם נעשו האבחנות וההתאמות הנדרשות</w:t>
      </w:r>
      <w:r w:rsidRPr="00F5311F">
        <w:rPr>
          <w:rFonts w:ascii="David" w:hAnsi="David" w:cs="David"/>
          <w:rtl/>
        </w:rPr>
        <w:t xml:space="preserve">. </w:t>
      </w:r>
    </w:p>
    <w:p w:rsidR="00CE35DA" w:rsidRPr="0028510F" w:rsidRDefault="00CE35DA" w:rsidP="00F80E1D">
      <w:pPr>
        <w:pStyle w:val="a9"/>
        <w:numPr>
          <w:ilvl w:val="0"/>
          <w:numId w:val="1"/>
        </w:numPr>
        <w:tabs>
          <w:tab w:val="left" w:pos="425"/>
        </w:tabs>
        <w:spacing w:line="360" w:lineRule="auto"/>
        <w:ind w:right="993"/>
        <w:jc w:val="both"/>
        <w:rPr>
          <w:rFonts w:ascii="David" w:hAnsi="David" w:cs="David"/>
          <w:b/>
          <w:bCs/>
        </w:rPr>
      </w:pPr>
      <w:r w:rsidRPr="0028510F">
        <w:rPr>
          <w:rFonts w:ascii="David" w:hAnsi="David" w:cs="David" w:hint="cs"/>
          <w:b/>
          <w:bCs/>
          <w:rtl/>
        </w:rPr>
        <w:t>במסגרת תשוב</w:t>
      </w:r>
      <w:r w:rsidR="00095A69">
        <w:rPr>
          <w:rFonts w:ascii="David" w:hAnsi="David" w:cs="David" w:hint="cs"/>
          <w:b/>
          <w:bCs/>
          <w:rtl/>
        </w:rPr>
        <w:t>ה</w:t>
      </w:r>
      <w:r w:rsidRPr="0028510F">
        <w:rPr>
          <w:rFonts w:ascii="David" w:hAnsi="David" w:cs="David" w:hint="cs"/>
          <w:b/>
          <w:bCs/>
          <w:rtl/>
        </w:rPr>
        <w:t xml:space="preserve"> </w:t>
      </w:r>
      <w:r w:rsidR="00095A69">
        <w:rPr>
          <w:rFonts w:ascii="David" w:hAnsi="David" w:cs="David" w:hint="cs"/>
          <w:b/>
          <w:bCs/>
          <w:rtl/>
        </w:rPr>
        <w:t>ל</w:t>
      </w:r>
      <w:r w:rsidRPr="0028510F">
        <w:rPr>
          <w:rFonts w:ascii="David" w:hAnsi="David" w:cs="David" w:hint="cs"/>
          <w:b/>
          <w:bCs/>
          <w:rtl/>
        </w:rPr>
        <w:t>הבה</w:t>
      </w:r>
      <w:r w:rsidR="00095A69">
        <w:rPr>
          <w:rFonts w:ascii="David" w:hAnsi="David" w:cs="David" w:hint="cs"/>
          <w:b/>
          <w:bCs/>
          <w:rtl/>
        </w:rPr>
        <w:t xml:space="preserve">רות מיום 25.6.2025 כתבה השמאית המכריעה </w:t>
      </w:r>
      <w:r w:rsidRPr="0028510F">
        <w:rPr>
          <w:rFonts w:ascii="David" w:hAnsi="David" w:cs="David" w:hint="cs"/>
          <w:b/>
          <w:bCs/>
          <w:rtl/>
        </w:rPr>
        <w:t>ביחס לטיעון זה כדלקמן:</w:t>
      </w:r>
    </w:p>
    <w:p w:rsidR="00CE35DA" w:rsidRDefault="00CE35DA" w:rsidP="00CE35DA">
      <w:pPr>
        <w:pStyle w:val="a9"/>
        <w:spacing w:line="360" w:lineRule="auto"/>
        <w:ind w:left="360" w:right="993"/>
        <w:jc w:val="both"/>
        <w:rPr>
          <w:rFonts w:ascii="David" w:hAnsi="David" w:cs="David"/>
          <w:b/>
          <w:bCs/>
          <w:rtl/>
        </w:rPr>
      </w:pPr>
      <w:r w:rsidRPr="00CE35DA">
        <w:rPr>
          <w:rFonts w:ascii="David" w:hAnsi="David" w:cs="David"/>
          <w:b/>
          <w:bCs/>
          <w:noProof/>
          <w:rtl/>
        </w:rPr>
        <w:drawing>
          <wp:inline distT="0" distB="0" distL="0" distR="0" wp14:anchorId="6B204FA8" wp14:editId="519CE03C">
            <wp:extent cx="5505449" cy="3048000"/>
            <wp:effectExtent l="0" t="0" r="635" b="0"/>
            <wp:docPr id="107711932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19326" name=""/>
                    <pic:cNvPicPr/>
                  </pic:nvPicPr>
                  <pic:blipFill>
                    <a:blip r:embed="rId47"/>
                    <a:stretch>
                      <a:fillRect/>
                    </a:stretch>
                  </pic:blipFill>
                  <pic:spPr>
                    <a:xfrm>
                      <a:off x="0" y="0"/>
                      <a:ext cx="5513716" cy="3052577"/>
                    </a:xfrm>
                    <a:prstGeom prst="rect">
                      <a:avLst/>
                    </a:prstGeom>
                  </pic:spPr>
                </pic:pic>
              </a:graphicData>
            </a:graphic>
          </wp:inline>
        </w:drawing>
      </w:r>
    </w:p>
    <w:p w:rsidR="00CE35DA" w:rsidRDefault="00CE35DA" w:rsidP="00F80E1D">
      <w:pPr>
        <w:pStyle w:val="a9"/>
        <w:tabs>
          <w:tab w:val="left" w:pos="425"/>
        </w:tabs>
        <w:spacing w:line="360" w:lineRule="auto"/>
        <w:ind w:left="360" w:right="993"/>
        <w:jc w:val="center"/>
        <w:rPr>
          <w:rFonts w:ascii="David" w:hAnsi="David" w:cs="David"/>
          <w:rtl/>
        </w:rPr>
      </w:pPr>
      <w:r w:rsidRPr="00CE35DA">
        <w:rPr>
          <w:rFonts w:ascii="David" w:hAnsi="David" w:cs="David"/>
          <w:noProof/>
          <w:rtl/>
        </w:rPr>
        <w:drawing>
          <wp:inline distT="0" distB="0" distL="0" distR="0" wp14:anchorId="0A532F8C" wp14:editId="3453C7DB">
            <wp:extent cx="4406900" cy="1200150"/>
            <wp:effectExtent l="0" t="0" r="0" b="0"/>
            <wp:docPr id="112707413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74138" name=""/>
                    <pic:cNvPicPr/>
                  </pic:nvPicPr>
                  <pic:blipFill>
                    <a:blip r:embed="rId48"/>
                    <a:stretch>
                      <a:fillRect/>
                    </a:stretch>
                  </pic:blipFill>
                  <pic:spPr>
                    <a:xfrm>
                      <a:off x="0" y="0"/>
                      <a:ext cx="4424207" cy="1204863"/>
                    </a:xfrm>
                    <a:prstGeom prst="rect">
                      <a:avLst/>
                    </a:prstGeom>
                  </pic:spPr>
                </pic:pic>
              </a:graphicData>
            </a:graphic>
          </wp:inline>
        </w:drawing>
      </w:r>
    </w:p>
    <w:p w:rsidR="00CE440C" w:rsidRPr="00CD4258" w:rsidRDefault="00CE440C" w:rsidP="00CD4258">
      <w:pPr>
        <w:pStyle w:val="a9"/>
        <w:tabs>
          <w:tab w:val="left" w:pos="425"/>
        </w:tabs>
        <w:spacing w:line="360" w:lineRule="auto"/>
        <w:ind w:left="357" w:right="142"/>
        <w:contextualSpacing w:val="0"/>
        <w:jc w:val="both"/>
        <w:rPr>
          <w:rFonts w:ascii="David" w:hAnsi="David" w:cs="David"/>
          <w:rtl/>
        </w:rPr>
      </w:pPr>
    </w:p>
    <w:p w:rsidR="002A425B" w:rsidRDefault="00205D4E" w:rsidP="00A038F8">
      <w:pPr>
        <w:pStyle w:val="a9"/>
        <w:numPr>
          <w:ilvl w:val="0"/>
          <w:numId w:val="1"/>
        </w:numPr>
        <w:tabs>
          <w:tab w:val="left" w:pos="425"/>
        </w:tabs>
        <w:spacing w:line="360" w:lineRule="auto"/>
        <w:ind w:left="357" w:right="142"/>
        <w:contextualSpacing w:val="0"/>
        <w:jc w:val="both"/>
        <w:rPr>
          <w:rFonts w:ascii="David" w:hAnsi="David" w:cs="David"/>
        </w:rPr>
      </w:pPr>
      <w:r w:rsidRPr="004757E2">
        <w:rPr>
          <w:rFonts w:ascii="David" w:hAnsi="David" w:cs="David" w:hint="cs"/>
          <w:u w:val="single"/>
          <w:rtl/>
        </w:rPr>
        <w:t>החברה</w:t>
      </w:r>
      <w:r>
        <w:rPr>
          <w:rFonts w:ascii="David" w:hAnsi="David" w:cs="David" w:hint="cs"/>
          <w:rtl/>
        </w:rPr>
        <w:t xml:space="preserve"> מצידה הגישה התייחסות לתשובת ההבהרה</w:t>
      </w:r>
      <w:r w:rsidR="002A425B">
        <w:rPr>
          <w:rFonts w:ascii="David" w:hAnsi="David" w:cs="David" w:hint="cs"/>
          <w:rtl/>
        </w:rPr>
        <w:t xml:space="preserve"> במסגרתה התייחסה בעיקר לקשר או ליתר דיוק להעדר קשר</w:t>
      </w:r>
      <w:r w:rsidR="004757E2">
        <w:rPr>
          <w:rFonts w:ascii="David" w:hAnsi="David" w:cs="David" w:hint="cs"/>
          <w:rtl/>
        </w:rPr>
        <w:t>,</w:t>
      </w:r>
      <w:r w:rsidR="002A425B">
        <w:rPr>
          <w:rFonts w:ascii="David" w:hAnsi="David" w:cs="David" w:hint="cs"/>
          <w:rtl/>
        </w:rPr>
        <w:t xml:space="preserve"> בין המכפיל לבין רווחיות הפרויקט וסברה שבתשובה להבהרות מטעם השמאית המכריעה </w:t>
      </w:r>
      <w:r w:rsidR="004757E2">
        <w:rPr>
          <w:rFonts w:ascii="David" w:hAnsi="David" w:cs="David" w:hint="cs"/>
          <w:rtl/>
        </w:rPr>
        <w:t>יש כדי לחזק</w:t>
      </w:r>
      <w:r w:rsidR="002A425B">
        <w:rPr>
          <w:rFonts w:ascii="David" w:hAnsi="David" w:cs="David" w:hint="cs"/>
          <w:rtl/>
        </w:rPr>
        <w:t xml:space="preserve"> את המסקנה כי תוצאת השומות במקרה דנן בלי סבירות באופן קיצוני ביחס לפרויקטים אחרים שהוצגו על ידי החברה. </w:t>
      </w:r>
    </w:p>
    <w:p w:rsidR="00994DB2" w:rsidRDefault="002A425B" w:rsidP="00A038F8">
      <w:pPr>
        <w:pStyle w:val="a9"/>
        <w:tabs>
          <w:tab w:val="left" w:pos="425"/>
        </w:tabs>
        <w:spacing w:line="360" w:lineRule="auto"/>
        <w:ind w:left="357" w:right="142"/>
        <w:contextualSpacing w:val="0"/>
        <w:jc w:val="both"/>
        <w:rPr>
          <w:rFonts w:ascii="David" w:hAnsi="David" w:cs="David"/>
        </w:rPr>
      </w:pPr>
      <w:r w:rsidRPr="004757E2">
        <w:rPr>
          <w:rFonts w:ascii="David" w:hAnsi="David" w:cs="David" w:hint="cs"/>
          <w:u w:val="single"/>
          <w:rtl/>
        </w:rPr>
        <w:t>הועדה המקומית</w:t>
      </w:r>
      <w:r>
        <w:rPr>
          <w:rFonts w:ascii="David" w:hAnsi="David" w:cs="David" w:hint="cs"/>
          <w:rtl/>
        </w:rPr>
        <w:t xml:space="preserve"> לא הגישה התייחסות בנקודה זו.</w:t>
      </w:r>
    </w:p>
    <w:p w:rsidR="002A425B" w:rsidRDefault="002A425B" w:rsidP="00A038F8">
      <w:pPr>
        <w:pStyle w:val="a9"/>
        <w:numPr>
          <w:ilvl w:val="0"/>
          <w:numId w:val="1"/>
        </w:numPr>
        <w:tabs>
          <w:tab w:val="left" w:pos="425"/>
        </w:tabs>
        <w:spacing w:line="360" w:lineRule="auto"/>
        <w:ind w:left="357" w:right="142"/>
        <w:contextualSpacing w:val="0"/>
        <w:jc w:val="both"/>
        <w:rPr>
          <w:rFonts w:ascii="David" w:hAnsi="David" w:cs="David"/>
        </w:rPr>
      </w:pPr>
      <w:r>
        <w:rPr>
          <w:rFonts w:ascii="David" w:hAnsi="David" w:cs="David" w:hint="cs"/>
          <w:rtl/>
        </w:rPr>
        <w:t>נזכיר כי עניינינו בטענה שהועלתה מלכתחילה על ידי החברה לאי סבירות סכום ההיטל ביחס למספר הדירות במצב הנכס</w:t>
      </w:r>
      <w:r w:rsidR="004757E2">
        <w:rPr>
          <w:rFonts w:ascii="David" w:hAnsi="David" w:cs="David" w:hint="cs"/>
          <w:rtl/>
        </w:rPr>
        <w:t xml:space="preserve">, </w:t>
      </w:r>
      <w:r>
        <w:rPr>
          <w:rFonts w:ascii="David" w:hAnsi="David" w:cs="David" w:hint="cs"/>
          <w:rtl/>
        </w:rPr>
        <w:t xml:space="preserve">והעדר בחינת </w:t>
      </w:r>
      <w:r w:rsidR="0007476E">
        <w:rPr>
          <w:rFonts w:ascii="David" w:hAnsi="David" w:cs="David" w:hint="cs"/>
          <w:rtl/>
        </w:rPr>
        <w:t xml:space="preserve">עניין זה על ידי </w:t>
      </w:r>
      <w:r>
        <w:rPr>
          <w:rFonts w:ascii="David" w:hAnsi="David" w:cs="David" w:hint="cs"/>
          <w:rtl/>
        </w:rPr>
        <w:t xml:space="preserve">השמאית המכריעה </w:t>
      </w:r>
      <w:r w:rsidR="0007476E">
        <w:rPr>
          <w:rFonts w:ascii="David" w:hAnsi="David" w:cs="David" w:hint="cs"/>
          <w:rtl/>
        </w:rPr>
        <w:t>בשומות</w:t>
      </w:r>
      <w:r>
        <w:rPr>
          <w:rFonts w:ascii="David" w:hAnsi="David" w:cs="David" w:hint="cs"/>
          <w:rtl/>
        </w:rPr>
        <w:t xml:space="preserve"> המכריעות שהובאו על יד</w:t>
      </w:r>
      <w:r w:rsidR="004757E2">
        <w:rPr>
          <w:rFonts w:ascii="David" w:hAnsi="David" w:cs="David" w:hint="cs"/>
          <w:rtl/>
        </w:rPr>
        <w:t>י החברה</w:t>
      </w:r>
      <w:r>
        <w:rPr>
          <w:rFonts w:ascii="David" w:hAnsi="David" w:cs="David" w:hint="cs"/>
          <w:rtl/>
        </w:rPr>
        <w:t xml:space="preserve"> בהליך השמאות המכרעת</w:t>
      </w:r>
      <w:r w:rsidR="0007476E">
        <w:rPr>
          <w:rFonts w:ascii="David" w:hAnsi="David" w:cs="David" w:hint="cs"/>
          <w:rtl/>
        </w:rPr>
        <w:t>,</w:t>
      </w:r>
      <w:r>
        <w:rPr>
          <w:rFonts w:ascii="David" w:hAnsi="David" w:cs="David" w:hint="cs"/>
          <w:rtl/>
        </w:rPr>
        <w:t xml:space="preserve"> והגם שבעניינ</w:t>
      </w:r>
      <w:r>
        <w:rPr>
          <w:rFonts w:ascii="David" w:hAnsi="David" w:cs="David" w:hint="eastAsia"/>
          <w:rtl/>
        </w:rPr>
        <w:t>ו</w:t>
      </w:r>
      <w:r>
        <w:rPr>
          <w:rFonts w:ascii="David" w:hAnsi="David" w:cs="David" w:hint="cs"/>
          <w:rtl/>
        </w:rPr>
        <w:t xml:space="preserve"> מדובר בטיעון שמאי טהור, לאור הפערים שהוצגו והעובדה שהשומות המכריעות שהוצג על ידי החברה בהליך השמאות המכרעת</w:t>
      </w:r>
      <w:r w:rsidR="0007476E">
        <w:rPr>
          <w:rFonts w:ascii="David" w:hAnsi="David" w:cs="David" w:hint="cs"/>
          <w:rtl/>
        </w:rPr>
        <w:t>,</w:t>
      </w:r>
      <w:r>
        <w:rPr>
          <w:rFonts w:ascii="David" w:hAnsi="David" w:cs="David" w:hint="cs"/>
          <w:rtl/>
        </w:rPr>
        <w:t xml:space="preserve"> לא קבלו ביטוי במסגרת השומות המכריעות בעניינינו, סברנו כי נכון זה יהא לפנות לשמאית המכריעה בבירור </w:t>
      </w:r>
      <w:r w:rsidR="004757E2">
        <w:rPr>
          <w:rFonts w:ascii="David" w:hAnsi="David" w:cs="David" w:hint="cs"/>
          <w:rtl/>
        </w:rPr>
        <w:t xml:space="preserve"> בקשת הבהרה </w:t>
      </w:r>
      <w:r>
        <w:rPr>
          <w:rFonts w:ascii="David" w:hAnsi="David" w:cs="David" w:hint="cs"/>
          <w:rtl/>
        </w:rPr>
        <w:t xml:space="preserve">ותיקון במידת הנדרש כאמור בהחלטת הביניים. </w:t>
      </w:r>
    </w:p>
    <w:p w:rsidR="004757E2" w:rsidRPr="004757E2" w:rsidRDefault="002A425B" w:rsidP="00A038F8">
      <w:pPr>
        <w:pStyle w:val="a9"/>
        <w:numPr>
          <w:ilvl w:val="0"/>
          <w:numId w:val="1"/>
        </w:numPr>
        <w:tabs>
          <w:tab w:val="left" w:pos="425"/>
        </w:tabs>
        <w:spacing w:line="360" w:lineRule="auto"/>
        <w:ind w:left="357" w:right="142"/>
        <w:contextualSpacing w:val="0"/>
        <w:jc w:val="both"/>
        <w:rPr>
          <w:rFonts w:ascii="David" w:hAnsi="David" w:cs="David"/>
        </w:rPr>
      </w:pPr>
      <w:r>
        <w:rPr>
          <w:rFonts w:ascii="David" w:hAnsi="David" w:cs="David" w:hint="cs"/>
          <w:rtl/>
        </w:rPr>
        <w:t xml:space="preserve">דא עקא, </w:t>
      </w:r>
      <w:r w:rsidR="005034CC">
        <w:rPr>
          <w:rFonts w:cs="David" w:hint="eastAsia"/>
          <w:rtl/>
        </w:rPr>
        <w:t>לאור</w:t>
      </w:r>
      <w:r w:rsidR="005034CC">
        <w:rPr>
          <w:rFonts w:cs="David"/>
          <w:rtl/>
        </w:rPr>
        <w:t xml:space="preserve"> </w:t>
      </w:r>
      <w:r w:rsidR="005034CC">
        <w:rPr>
          <w:rFonts w:cs="David" w:hint="eastAsia"/>
          <w:rtl/>
        </w:rPr>
        <w:t>תשובת</w:t>
      </w:r>
      <w:r w:rsidR="005034CC">
        <w:rPr>
          <w:rFonts w:cs="David"/>
          <w:rtl/>
        </w:rPr>
        <w:t xml:space="preserve"> </w:t>
      </w:r>
      <w:r w:rsidR="005034CC">
        <w:rPr>
          <w:rFonts w:cs="David" w:hint="eastAsia"/>
          <w:rtl/>
        </w:rPr>
        <w:t>השמאי</w:t>
      </w:r>
      <w:r w:rsidR="005034CC">
        <w:rPr>
          <w:rFonts w:cs="David" w:hint="cs"/>
          <w:rtl/>
        </w:rPr>
        <w:t xml:space="preserve">ת </w:t>
      </w:r>
      <w:r w:rsidR="005034CC">
        <w:rPr>
          <w:rFonts w:cs="David" w:hint="eastAsia"/>
          <w:rtl/>
        </w:rPr>
        <w:t>המכריע</w:t>
      </w:r>
      <w:r w:rsidR="005034CC">
        <w:rPr>
          <w:rFonts w:cs="David" w:hint="cs"/>
          <w:rtl/>
        </w:rPr>
        <w:t>ה</w:t>
      </w:r>
      <w:r w:rsidR="005034CC">
        <w:rPr>
          <w:rFonts w:cs="David"/>
          <w:rtl/>
        </w:rPr>
        <w:t xml:space="preserve"> </w:t>
      </w:r>
      <w:r w:rsidR="005034CC">
        <w:rPr>
          <w:rFonts w:cs="David" w:hint="eastAsia"/>
          <w:rtl/>
        </w:rPr>
        <w:t>אין</w:t>
      </w:r>
      <w:r w:rsidR="005034CC">
        <w:rPr>
          <w:rFonts w:cs="David"/>
          <w:rtl/>
        </w:rPr>
        <w:t xml:space="preserve"> </w:t>
      </w:r>
      <w:r w:rsidR="005034CC">
        <w:rPr>
          <w:rFonts w:cs="David" w:hint="eastAsia"/>
          <w:rtl/>
        </w:rPr>
        <w:t>צורך</w:t>
      </w:r>
      <w:r w:rsidR="005034CC">
        <w:rPr>
          <w:rFonts w:cs="David"/>
          <w:rtl/>
        </w:rPr>
        <w:t xml:space="preserve"> </w:t>
      </w:r>
      <w:r w:rsidR="005034CC">
        <w:rPr>
          <w:rFonts w:cs="David" w:hint="eastAsia"/>
          <w:rtl/>
        </w:rPr>
        <w:t>להכביר</w:t>
      </w:r>
      <w:r w:rsidR="005034CC">
        <w:rPr>
          <w:rFonts w:cs="David"/>
          <w:rtl/>
        </w:rPr>
        <w:t xml:space="preserve"> </w:t>
      </w:r>
      <w:r w:rsidR="005034CC">
        <w:rPr>
          <w:rFonts w:cs="David" w:hint="eastAsia"/>
          <w:rtl/>
        </w:rPr>
        <w:t>מילים</w:t>
      </w:r>
      <w:r w:rsidR="005034CC">
        <w:rPr>
          <w:rFonts w:cs="David"/>
          <w:rtl/>
        </w:rPr>
        <w:t xml:space="preserve"> </w:t>
      </w:r>
      <w:r w:rsidR="005034CC">
        <w:rPr>
          <w:rFonts w:cs="David" w:hint="eastAsia"/>
          <w:rtl/>
        </w:rPr>
        <w:t>מעבר</w:t>
      </w:r>
      <w:r w:rsidR="005034CC">
        <w:rPr>
          <w:rFonts w:cs="David"/>
          <w:rtl/>
        </w:rPr>
        <w:t xml:space="preserve"> </w:t>
      </w:r>
      <w:r w:rsidR="005034CC">
        <w:rPr>
          <w:rFonts w:cs="David" w:hint="eastAsia"/>
          <w:rtl/>
        </w:rPr>
        <w:t>להסברים</w:t>
      </w:r>
      <w:r w:rsidR="005034CC">
        <w:rPr>
          <w:rFonts w:cs="David"/>
          <w:rtl/>
        </w:rPr>
        <w:t xml:space="preserve"> </w:t>
      </w:r>
      <w:r w:rsidR="005034CC">
        <w:rPr>
          <w:rFonts w:cs="David" w:hint="eastAsia"/>
          <w:rtl/>
        </w:rPr>
        <w:t>המפורטים</w:t>
      </w:r>
      <w:r w:rsidR="005034CC">
        <w:rPr>
          <w:rFonts w:cs="David"/>
          <w:rtl/>
        </w:rPr>
        <w:t xml:space="preserve"> </w:t>
      </w:r>
      <w:r w:rsidR="005034CC">
        <w:rPr>
          <w:rFonts w:cs="David" w:hint="eastAsia"/>
          <w:rtl/>
        </w:rPr>
        <w:t>שניתנו</w:t>
      </w:r>
      <w:r w:rsidR="005034CC">
        <w:rPr>
          <w:rFonts w:cs="David"/>
          <w:rtl/>
        </w:rPr>
        <w:t xml:space="preserve"> </w:t>
      </w:r>
      <w:r w:rsidR="005034CC">
        <w:rPr>
          <w:rFonts w:cs="David" w:hint="eastAsia"/>
          <w:rtl/>
        </w:rPr>
        <w:t>על</w:t>
      </w:r>
      <w:r w:rsidR="005034CC">
        <w:rPr>
          <w:rFonts w:cs="David"/>
          <w:rtl/>
        </w:rPr>
        <w:t xml:space="preserve"> </w:t>
      </w:r>
      <w:r w:rsidR="005034CC">
        <w:rPr>
          <w:rFonts w:cs="David" w:hint="eastAsia"/>
          <w:rtl/>
        </w:rPr>
        <w:t>יד</w:t>
      </w:r>
      <w:r w:rsidR="005034CC">
        <w:rPr>
          <w:rFonts w:cs="David" w:hint="cs"/>
          <w:rtl/>
        </w:rPr>
        <w:t xml:space="preserve">ה </w:t>
      </w:r>
      <w:r w:rsidR="005034CC">
        <w:rPr>
          <w:rFonts w:cs="David" w:hint="eastAsia"/>
          <w:rtl/>
        </w:rPr>
        <w:t>לעיל</w:t>
      </w:r>
      <w:r w:rsidR="005034CC">
        <w:rPr>
          <w:rFonts w:cs="David"/>
          <w:rtl/>
        </w:rPr>
        <w:t xml:space="preserve"> </w:t>
      </w:r>
      <w:r w:rsidR="005034CC">
        <w:rPr>
          <w:rFonts w:cs="David" w:hint="eastAsia"/>
          <w:rtl/>
        </w:rPr>
        <w:t>וכי</w:t>
      </w:r>
      <w:r w:rsidR="005034CC">
        <w:rPr>
          <w:rFonts w:cs="David"/>
          <w:rtl/>
        </w:rPr>
        <w:t xml:space="preserve"> </w:t>
      </w:r>
      <w:r w:rsidR="005034CC">
        <w:rPr>
          <w:rFonts w:cs="David" w:hint="eastAsia"/>
          <w:rtl/>
        </w:rPr>
        <w:t>על</w:t>
      </w:r>
      <w:r w:rsidR="005034CC">
        <w:rPr>
          <w:rFonts w:cs="David"/>
          <w:rtl/>
        </w:rPr>
        <w:t xml:space="preserve"> </w:t>
      </w:r>
      <w:r w:rsidR="005034CC">
        <w:rPr>
          <w:rFonts w:cs="David" w:hint="eastAsia"/>
          <w:rtl/>
        </w:rPr>
        <w:t>פני</w:t>
      </w:r>
      <w:r w:rsidR="005034CC">
        <w:rPr>
          <w:rFonts w:cs="David"/>
          <w:rtl/>
        </w:rPr>
        <w:t xml:space="preserve"> </w:t>
      </w:r>
      <w:r w:rsidR="005034CC">
        <w:rPr>
          <w:rFonts w:cs="David" w:hint="eastAsia"/>
          <w:rtl/>
        </w:rPr>
        <w:t>הדברים</w:t>
      </w:r>
      <w:r w:rsidR="005034CC">
        <w:rPr>
          <w:rFonts w:cs="David"/>
          <w:rtl/>
        </w:rPr>
        <w:t xml:space="preserve"> </w:t>
      </w:r>
      <w:r w:rsidR="005034CC">
        <w:rPr>
          <w:rFonts w:cs="David" w:hint="eastAsia"/>
          <w:rtl/>
        </w:rPr>
        <w:t>ברור</w:t>
      </w:r>
      <w:r w:rsidR="005034CC">
        <w:rPr>
          <w:rFonts w:cs="David"/>
          <w:rtl/>
        </w:rPr>
        <w:t xml:space="preserve"> </w:t>
      </w:r>
      <w:r w:rsidR="005034CC" w:rsidRPr="005034CC">
        <w:rPr>
          <w:rFonts w:cs="David" w:hint="eastAsia"/>
          <w:rtl/>
        </w:rPr>
        <w:t>כי</w:t>
      </w:r>
      <w:r w:rsidR="005034CC" w:rsidRPr="005034CC">
        <w:rPr>
          <w:rFonts w:cs="David"/>
          <w:rtl/>
        </w:rPr>
        <w:t xml:space="preserve"> </w:t>
      </w:r>
      <w:r w:rsidR="005034CC" w:rsidRPr="005034CC">
        <w:rPr>
          <w:rFonts w:cs="David" w:hint="eastAsia"/>
          <w:rtl/>
        </w:rPr>
        <w:t>מדובר</w:t>
      </w:r>
      <w:r w:rsidR="005034CC" w:rsidRPr="005034CC">
        <w:rPr>
          <w:rFonts w:cs="David"/>
          <w:rtl/>
        </w:rPr>
        <w:t xml:space="preserve"> </w:t>
      </w:r>
      <w:r w:rsidR="005034CC" w:rsidRPr="005034CC">
        <w:rPr>
          <w:rFonts w:cs="David" w:hint="eastAsia"/>
          <w:rtl/>
        </w:rPr>
        <w:t>בקביעות</w:t>
      </w:r>
      <w:r w:rsidR="005034CC" w:rsidRPr="005034CC">
        <w:rPr>
          <w:rFonts w:cs="David"/>
          <w:rtl/>
        </w:rPr>
        <w:t xml:space="preserve"> </w:t>
      </w:r>
      <w:r w:rsidR="005034CC" w:rsidRPr="005034CC">
        <w:rPr>
          <w:rFonts w:cs="David" w:hint="eastAsia"/>
          <w:rtl/>
        </w:rPr>
        <w:t>מקצועיות</w:t>
      </w:r>
      <w:r w:rsidR="005034CC" w:rsidRPr="005034CC">
        <w:rPr>
          <w:rFonts w:cs="David"/>
          <w:rtl/>
        </w:rPr>
        <w:t xml:space="preserve"> </w:t>
      </w:r>
      <w:r w:rsidR="005034CC" w:rsidRPr="005034CC">
        <w:rPr>
          <w:rFonts w:cs="David" w:hint="eastAsia"/>
          <w:rtl/>
        </w:rPr>
        <w:t>המצויות</w:t>
      </w:r>
      <w:r w:rsidR="005034CC" w:rsidRPr="005034CC">
        <w:rPr>
          <w:rFonts w:cs="David"/>
          <w:rtl/>
        </w:rPr>
        <w:t xml:space="preserve"> </w:t>
      </w:r>
      <w:r w:rsidR="005034CC" w:rsidRPr="005034CC">
        <w:rPr>
          <w:rFonts w:cs="David" w:hint="eastAsia"/>
          <w:rtl/>
        </w:rPr>
        <w:t>בליבת</w:t>
      </w:r>
      <w:r w:rsidR="005034CC" w:rsidRPr="005034CC">
        <w:rPr>
          <w:rFonts w:cs="David"/>
          <w:rtl/>
        </w:rPr>
        <w:t xml:space="preserve"> </w:t>
      </w:r>
      <w:r w:rsidR="005034CC" w:rsidRPr="005034CC">
        <w:rPr>
          <w:rFonts w:cs="David" w:hint="eastAsia"/>
          <w:rtl/>
        </w:rPr>
        <w:t>העיסוק</w:t>
      </w:r>
      <w:r w:rsidR="005034CC" w:rsidRPr="005034CC">
        <w:rPr>
          <w:rFonts w:cs="David"/>
          <w:rtl/>
        </w:rPr>
        <w:t xml:space="preserve"> </w:t>
      </w:r>
      <w:r w:rsidR="005034CC" w:rsidRPr="005034CC">
        <w:rPr>
          <w:rFonts w:cs="David" w:hint="eastAsia"/>
          <w:rtl/>
        </w:rPr>
        <w:t>השמאי</w:t>
      </w:r>
      <w:r w:rsidR="005034CC" w:rsidRPr="005034CC">
        <w:rPr>
          <w:rFonts w:cs="David"/>
          <w:rtl/>
        </w:rPr>
        <w:t xml:space="preserve"> </w:t>
      </w:r>
      <w:r w:rsidR="005034CC" w:rsidRPr="005034CC">
        <w:rPr>
          <w:rFonts w:cs="David" w:hint="eastAsia"/>
          <w:rtl/>
        </w:rPr>
        <w:t>שועדת</w:t>
      </w:r>
      <w:r w:rsidR="005034CC" w:rsidRPr="005034CC">
        <w:rPr>
          <w:rFonts w:cs="David"/>
          <w:rtl/>
        </w:rPr>
        <w:t xml:space="preserve"> </w:t>
      </w:r>
      <w:r w:rsidR="005034CC" w:rsidRPr="005034CC">
        <w:rPr>
          <w:rFonts w:cs="David" w:hint="eastAsia"/>
          <w:rtl/>
        </w:rPr>
        <w:t>הערר</w:t>
      </w:r>
      <w:r w:rsidR="005034CC" w:rsidRPr="005034CC">
        <w:rPr>
          <w:rFonts w:cs="David"/>
          <w:rtl/>
        </w:rPr>
        <w:t xml:space="preserve"> </w:t>
      </w:r>
      <w:r w:rsidR="005034CC" w:rsidRPr="005034CC">
        <w:rPr>
          <w:rFonts w:cs="David" w:hint="eastAsia"/>
          <w:rtl/>
        </w:rPr>
        <w:t>אינה</w:t>
      </w:r>
      <w:r w:rsidR="005034CC" w:rsidRPr="005034CC">
        <w:rPr>
          <w:rFonts w:cs="David"/>
          <w:rtl/>
        </w:rPr>
        <w:t xml:space="preserve"> </w:t>
      </w:r>
      <w:r w:rsidR="005034CC" w:rsidRPr="005034CC">
        <w:rPr>
          <w:rFonts w:cs="David" w:hint="eastAsia"/>
          <w:rtl/>
        </w:rPr>
        <w:t>נוטה</w:t>
      </w:r>
      <w:r w:rsidR="005034CC" w:rsidRPr="005034CC">
        <w:rPr>
          <w:rFonts w:cs="David"/>
          <w:rtl/>
        </w:rPr>
        <w:t xml:space="preserve"> </w:t>
      </w:r>
      <w:r w:rsidR="005034CC" w:rsidRPr="005034CC">
        <w:rPr>
          <w:rFonts w:cs="David" w:hint="eastAsia"/>
          <w:rtl/>
        </w:rPr>
        <w:t>להתערב</w:t>
      </w:r>
      <w:r w:rsidR="005034CC" w:rsidRPr="005034CC">
        <w:rPr>
          <w:rFonts w:cs="David"/>
          <w:rtl/>
        </w:rPr>
        <w:t xml:space="preserve"> </w:t>
      </w:r>
      <w:r w:rsidR="005034CC" w:rsidRPr="005034CC">
        <w:rPr>
          <w:rFonts w:cs="David" w:hint="eastAsia"/>
          <w:rtl/>
        </w:rPr>
        <w:t>בה</w:t>
      </w:r>
      <w:r w:rsidR="00CE35DA">
        <w:rPr>
          <w:rFonts w:cs="David" w:hint="cs"/>
          <w:rtl/>
        </w:rPr>
        <w:t>ן</w:t>
      </w:r>
      <w:r w:rsidR="005034CC" w:rsidRPr="005034CC">
        <w:rPr>
          <w:rFonts w:cs="David"/>
          <w:rtl/>
        </w:rPr>
        <w:t xml:space="preserve">, </w:t>
      </w:r>
      <w:r w:rsidR="005034CC" w:rsidRPr="005034CC">
        <w:rPr>
          <w:rFonts w:cs="David" w:hint="eastAsia"/>
          <w:rtl/>
        </w:rPr>
        <w:t>מה</w:t>
      </w:r>
      <w:r w:rsidR="005034CC" w:rsidRPr="005034CC">
        <w:rPr>
          <w:rFonts w:cs="David"/>
          <w:rtl/>
        </w:rPr>
        <w:t xml:space="preserve"> </w:t>
      </w:r>
      <w:r w:rsidR="005034CC" w:rsidRPr="005034CC">
        <w:rPr>
          <w:rFonts w:cs="David" w:hint="eastAsia"/>
          <w:rtl/>
        </w:rPr>
        <w:t>גם</w:t>
      </w:r>
      <w:r w:rsidR="005034CC" w:rsidRPr="005034CC">
        <w:rPr>
          <w:rFonts w:cs="David"/>
          <w:rtl/>
        </w:rPr>
        <w:t xml:space="preserve"> </w:t>
      </w:r>
      <w:r w:rsidR="005034CC" w:rsidRPr="005034CC">
        <w:rPr>
          <w:rFonts w:cs="David" w:hint="eastAsia"/>
          <w:rtl/>
        </w:rPr>
        <w:t>שאין</w:t>
      </w:r>
      <w:r w:rsidR="005034CC" w:rsidRPr="005034CC">
        <w:rPr>
          <w:rFonts w:cs="David"/>
          <w:rtl/>
        </w:rPr>
        <w:t xml:space="preserve"> </w:t>
      </w:r>
      <w:r w:rsidR="005034CC" w:rsidRPr="005034CC">
        <w:rPr>
          <w:rFonts w:cs="David" w:hint="eastAsia"/>
          <w:rtl/>
        </w:rPr>
        <w:t>הן</w:t>
      </w:r>
      <w:r w:rsidR="005034CC" w:rsidRPr="005034CC">
        <w:rPr>
          <w:rFonts w:cs="David"/>
          <w:rtl/>
        </w:rPr>
        <w:t xml:space="preserve"> </w:t>
      </w:r>
      <w:r w:rsidR="005034CC" w:rsidRPr="005034CC">
        <w:rPr>
          <w:rFonts w:cs="David" w:hint="eastAsia"/>
          <w:rtl/>
        </w:rPr>
        <w:t>מגלות</w:t>
      </w:r>
      <w:r w:rsidR="005034CC" w:rsidRPr="005034CC">
        <w:rPr>
          <w:rFonts w:cs="David"/>
          <w:rtl/>
        </w:rPr>
        <w:t xml:space="preserve"> </w:t>
      </w:r>
      <w:r w:rsidR="005034CC" w:rsidRPr="005034CC">
        <w:rPr>
          <w:rFonts w:cs="David" w:hint="eastAsia"/>
          <w:rtl/>
        </w:rPr>
        <w:t>כל</w:t>
      </w:r>
      <w:r w:rsidR="005034CC" w:rsidRPr="005034CC">
        <w:rPr>
          <w:rFonts w:cs="David"/>
          <w:rtl/>
        </w:rPr>
        <w:t xml:space="preserve"> </w:t>
      </w:r>
      <w:r w:rsidR="005034CC" w:rsidRPr="005034CC">
        <w:rPr>
          <w:rFonts w:cs="David" w:hint="eastAsia"/>
          <w:rtl/>
        </w:rPr>
        <w:t>פגם</w:t>
      </w:r>
      <w:r w:rsidR="005034CC" w:rsidRPr="005034CC">
        <w:rPr>
          <w:rFonts w:cs="David"/>
          <w:rtl/>
        </w:rPr>
        <w:t xml:space="preserve">, </w:t>
      </w:r>
      <w:r w:rsidR="005034CC" w:rsidRPr="005034CC">
        <w:rPr>
          <w:rFonts w:cs="David" w:hint="eastAsia"/>
          <w:rtl/>
        </w:rPr>
        <w:t>לא</w:t>
      </w:r>
      <w:r w:rsidR="005034CC" w:rsidRPr="005034CC">
        <w:rPr>
          <w:rFonts w:cs="David"/>
          <w:rtl/>
        </w:rPr>
        <w:t xml:space="preserve"> </w:t>
      </w:r>
      <w:r w:rsidR="005034CC" w:rsidRPr="005034CC">
        <w:rPr>
          <w:rFonts w:cs="David" w:hint="eastAsia"/>
          <w:rtl/>
        </w:rPr>
        <w:t>כל</w:t>
      </w:r>
      <w:r w:rsidR="005034CC" w:rsidRPr="005034CC">
        <w:rPr>
          <w:rFonts w:cs="David"/>
          <w:rtl/>
        </w:rPr>
        <w:t xml:space="preserve"> </w:t>
      </w:r>
      <w:r w:rsidR="005034CC" w:rsidRPr="005034CC">
        <w:rPr>
          <w:rFonts w:cs="David" w:hint="eastAsia"/>
          <w:rtl/>
        </w:rPr>
        <w:t>שכן</w:t>
      </w:r>
      <w:r w:rsidR="005034CC" w:rsidRPr="005034CC">
        <w:rPr>
          <w:rFonts w:cs="David"/>
          <w:rtl/>
        </w:rPr>
        <w:t xml:space="preserve"> </w:t>
      </w:r>
      <w:r w:rsidR="005034CC" w:rsidRPr="005034CC">
        <w:rPr>
          <w:rFonts w:cs="David" w:hint="eastAsia"/>
          <w:rtl/>
        </w:rPr>
        <w:t>פגם</w:t>
      </w:r>
      <w:r w:rsidR="005034CC" w:rsidRPr="005034CC">
        <w:rPr>
          <w:rFonts w:cs="David"/>
          <w:rtl/>
        </w:rPr>
        <w:t xml:space="preserve"> </w:t>
      </w:r>
      <w:r w:rsidR="005034CC" w:rsidRPr="005034CC">
        <w:rPr>
          <w:rFonts w:cs="David" w:hint="eastAsia"/>
          <w:rtl/>
        </w:rPr>
        <w:t>חמור</w:t>
      </w:r>
      <w:r w:rsidR="005034CC" w:rsidRPr="005034CC">
        <w:rPr>
          <w:rFonts w:cs="David"/>
          <w:rtl/>
        </w:rPr>
        <w:t xml:space="preserve">, </w:t>
      </w:r>
      <w:r w:rsidR="005034CC" w:rsidRPr="005034CC">
        <w:rPr>
          <w:rFonts w:cs="David" w:hint="eastAsia"/>
          <w:rtl/>
        </w:rPr>
        <w:t>המצדיק</w:t>
      </w:r>
      <w:r w:rsidR="005034CC" w:rsidRPr="005034CC">
        <w:rPr>
          <w:rFonts w:cs="David"/>
          <w:rtl/>
        </w:rPr>
        <w:t xml:space="preserve"> </w:t>
      </w:r>
      <w:r w:rsidR="005034CC" w:rsidRPr="005034CC">
        <w:rPr>
          <w:rFonts w:cs="David" w:hint="eastAsia"/>
          <w:rtl/>
        </w:rPr>
        <w:t>את</w:t>
      </w:r>
      <w:r w:rsidR="005034CC" w:rsidRPr="005034CC">
        <w:rPr>
          <w:rFonts w:cs="David"/>
          <w:rtl/>
        </w:rPr>
        <w:t xml:space="preserve"> </w:t>
      </w:r>
      <w:r w:rsidR="005034CC" w:rsidRPr="005034CC">
        <w:rPr>
          <w:rFonts w:cs="David" w:hint="eastAsia"/>
          <w:rtl/>
        </w:rPr>
        <w:t>התערבותנו</w:t>
      </w:r>
      <w:r w:rsidR="004757E2">
        <w:rPr>
          <w:rFonts w:cs="David" w:hint="cs"/>
          <w:rtl/>
        </w:rPr>
        <w:t xml:space="preserve">, וגם לגופו של עניין בנוגע לטיעון בעניין המכפיל עמדתנו כי דין טענה החברה להידחות כפי שהתייחסנו לעיל. </w:t>
      </w:r>
    </w:p>
    <w:p w:rsidR="00710D0D" w:rsidRDefault="00710D0D" w:rsidP="004757E2">
      <w:pPr>
        <w:pStyle w:val="a9"/>
        <w:tabs>
          <w:tab w:val="left" w:pos="425"/>
        </w:tabs>
        <w:spacing w:line="360" w:lineRule="auto"/>
        <w:ind w:left="360" w:right="142"/>
        <w:jc w:val="both"/>
        <w:rPr>
          <w:rFonts w:ascii="David" w:hAnsi="David" w:cs="David"/>
          <w:b/>
          <w:bCs/>
          <w:sz w:val="28"/>
          <w:szCs w:val="28"/>
          <w:u w:val="single"/>
          <w:rtl/>
        </w:rPr>
      </w:pPr>
    </w:p>
    <w:p w:rsidR="00F6443C" w:rsidRDefault="00F6443C" w:rsidP="004757E2">
      <w:pPr>
        <w:pStyle w:val="a9"/>
        <w:tabs>
          <w:tab w:val="left" w:pos="425"/>
        </w:tabs>
        <w:spacing w:line="360" w:lineRule="auto"/>
        <w:ind w:left="360" w:right="142"/>
        <w:jc w:val="both"/>
        <w:rPr>
          <w:rFonts w:ascii="David" w:hAnsi="David" w:cs="David"/>
          <w:b/>
          <w:bCs/>
          <w:sz w:val="28"/>
          <w:szCs w:val="28"/>
          <w:u w:val="single"/>
          <w:rtl/>
        </w:rPr>
      </w:pPr>
    </w:p>
    <w:p w:rsidR="00F6443C" w:rsidRPr="004757E2" w:rsidRDefault="00F6443C" w:rsidP="004757E2">
      <w:pPr>
        <w:pStyle w:val="a9"/>
        <w:tabs>
          <w:tab w:val="left" w:pos="425"/>
        </w:tabs>
        <w:spacing w:line="360" w:lineRule="auto"/>
        <w:ind w:left="360" w:right="142"/>
        <w:jc w:val="both"/>
        <w:rPr>
          <w:rFonts w:ascii="David" w:hAnsi="David" w:cs="David"/>
          <w:b/>
          <w:bCs/>
          <w:sz w:val="28"/>
          <w:szCs w:val="28"/>
          <w:u w:val="single"/>
          <w:rtl/>
        </w:rPr>
      </w:pPr>
    </w:p>
    <w:p w:rsidR="004B30C1" w:rsidRPr="00DA035D" w:rsidRDefault="004B30C1" w:rsidP="00A038F8">
      <w:pPr>
        <w:pStyle w:val="2"/>
      </w:pPr>
      <w:bookmarkStart w:id="39" w:name="_Toc203992519"/>
      <w:bookmarkStart w:id="40" w:name="_Toc204504401"/>
      <w:r w:rsidRPr="00DA035D">
        <w:rPr>
          <w:rFonts w:hint="cs"/>
          <w:rtl/>
        </w:rPr>
        <w:t xml:space="preserve">ב. </w:t>
      </w:r>
      <w:r w:rsidR="00502BD0" w:rsidRPr="00DA035D">
        <w:rPr>
          <w:rFonts w:hint="cs"/>
          <w:rtl/>
        </w:rPr>
        <w:t>שווי מצב קודם בשומ</w:t>
      </w:r>
      <w:r w:rsidR="00813E76" w:rsidRPr="00DA035D">
        <w:rPr>
          <w:rFonts w:hint="cs"/>
          <w:rtl/>
        </w:rPr>
        <w:t>ות</w:t>
      </w:r>
      <w:r w:rsidR="00502BD0" w:rsidRPr="00DA035D">
        <w:rPr>
          <w:rFonts w:hint="cs"/>
          <w:rtl/>
        </w:rPr>
        <w:t xml:space="preserve"> המכר</w:t>
      </w:r>
      <w:r w:rsidR="00813E76" w:rsidRPr="00DA035D">
        <w:rPr>
          <w:rFonts w:hint="cs"/>
          <w:rtl/>
        </w:rPr>
        <w:t xml:space="preserve">יעות </w:t>
      </w:r>
      <w:r w:rsidR="00502BD0" w:rsidRPr="00DA035D">
        <w:rPr>
          <w:rFonts w:hint="cs"/>
          <w:rtl/>
        </w:rPr>
        <w:t>נמוך באופן קיצוני</w:t>
      </w:r>
      <w:bookmarkEnd w:id="39"/>
      <w:bookmarkEnd w:id="40"/>
    </w:p>
    <w:p w:rsidR="009D1D02" w:rsidRDefault="009D1D02" w:rsidP="00332D35">
      <w:pPr>
        <w:spacing w:line="360" w:lineRule="auto"/>
        <w:jc w:val="both"/>
        <w:rPr>
          <w:rFonts w:ascii="David" w:hAnsi="David" w:cs="David"/>
          <w:u w:val="thick"/>
          <w:rtl/>
        </w:rPr>
      </w:pPr>
    </w:p>
    <w:p w:rsidR="00332D35" w:rsidRPr="00F255FB" w:rsidRDefault="00332D35" w:rsidP="00332D35">
      <w:pPr>
        <w:spacing w:line="360" w:lineRule="auto"/>
        <w:jc w:val="both"/>
        <w:rPr>
          <w:rFonts w:ascii="David" w:hAnsi="David" w:cs="David"/>
          <w:u w:val="thick"/>
        </w:rPr>
      </w:pPr>
      <w:r w:rsidRPr="00F255FB">
        <w:rPr>
          <w:rFonts w:ascii="David" w:hAnsi="David" w:cs="David" w:hint="cs"/>
          <w:u w:val="thick"/>
          <w:rtl/>
        </w:rPr>
        <w:t xml:space="preserve">טיעון החברה  </w:t>
      </w:r>
    </w:p>
    <w:p w:rsidR="00F255FB" w:rsidRDefault="00F255FB" w:rsidP="00A038F8">
      <w:pPr>
        <w:pStyle w:val="a9"/>
        <w:numPr>
          <w:ilvl w:val="0"/>
          <w:numId w:val="1"/>
        </w:numPr>
        <w:tabs>
          <w:tab w:val="left" w:pos="425"/>
        </w:tabs>
        <w:spacing w:line="360" w:lineRule="auto"/>
        <w:ind w:left="357" w:hanging="357"/>
        <w:contextualSpacing w:val="0"/>
        <w:jc w:val="both"/>
        <w:rPr>
          <w:rFonts w:ascii="David" w:hAnsi="David" w:cs="David"/>
        </w:rPr>
      </w:pPr>
      <w:r w:rsidRPr="004C4F3A">
        <w:rPr>
          <w:rFonts w:ascii="David" w:hAnsi="David" w:cs="David"/>
          <w:rtl/>
        </w:rPr>
        <w:t>שווי הדירות הקיימות במצב הקודם לתכנית</w:t>
      </w:r>
      <w:r>
        <w:rPr>
          <w:rFonts w:ascii="David" w:hAnsi="David" w:cs="David" w:hint="cs"/>
          <w:rtl/>
        </w:rPr>
        <w:t xml:space="preserve"> בי/517</w:t>
      </w:r>
      <w:r w:rsidRPr="004C4F3A">
        <w:rPr>
          <w:rFonts w:ascii="David" w:hAnsi="David" w:cs="David"/>
          <w:rtl/>
        </w:rPr>
        <w:t xml:space="preserve"> על פי השומה המכרעת הינו נמוך באופן קיצוני</w:t>
      </w:r>
      <w:r>
        <w:rPr>
          <w:rFonts w:ascii="David" w:hAnsi="David" w:cs="David" w:hint="cs"/>
          <w:rtl/>
        </w:rPr>
        <w:t>,</w:t>
      </w:r>
      <w:r w:rsidRPr="004C4F3A">
        <w:rPr>
          <w:rFonts w:ascii="David" w:hAnsi="David" w:cs="David"/>
          <w:rtl/>
        </w:rPr>
        <w:t xml:space="preserve"> ובכל הכבוד הוא כלל אינו תואם את שווין האמיתי באותה עת, כתוצאה מכך</w:t>
      </w:r>
      <w:r>
        <w:rPr>
          <w:rFonts w:ascii="David" w:hAnsi="David" w:cs="David" w:hint="cs"/>
          <w:rtl/>
        </w:rPr>
        <w:t>,</w:t>
      </w:r>
      <w:r w:rsidRPr="004C4F3A">
        <w:rPr>
          <w:rFonts w:ascii="David" w:hAnsi="David" w:cs="David"/>
          <w:rtl/>
        </w:rPr>
        <w:t xml:space="preserve"> השומ</w:t>
      </w:r>
      <w:r>
        <w:rPr>
          <w:rFonts w:ascii="David" w:hAnsi="David" w:cs="David" w:hint="cs"/>
          <w:rtl/>
        </w:rPr>
        <w:t>ות המכריעות</w:t>
      </w:r>
      <w:r w:rsidRPr="004C4F3A">
        <w:rPr>
          <w:rFonts w:ascii="David" w:hAnsi="David" w:cs="David"/>
          <w:rtl/>
        </w:rPr>
        <w:t xml:space="preserve"> מוט</w:t>
      </w:r>
      <w:r>
        <w:rPr>
          <w:rFonts w:ascii="David" w:hAnsi="David" w:cs="David" w:hint="cs"/>
          <w:rtl/>
        </w:rPr>
        <w:t>ות</w:t>
      </w:r>
      <w:r w:rsidRPr="004C4F3A">
        <w:rPr>
          <w:rFonts w:ascii="David" w:hAnsi="David" w:cs="David"/>
          <w:rtl/>
        </w:rPr>
        <w:t xml:space="preserve"> באופן קיצוני לרעת </w:t>
      </w:r>
      <w:r>
        <w:rPr>
          <w:rFonts w:ascii="David" w:hAnsi="David" w:cs="David" w:hint="cs"/>
          <w:rtl/>
        </w:rPr>
        <w:t xml:space="preserve">החברה. </w:t>
      </w:r>
      <w:r w:rsidRPr="004C4F3A">
        <w:rPr>
          <w:rFonts w:ascii="David" w:hAnsi="David" w:cs="David"/>
          <w:rtl/>
        </w:rPr>
        <w:t xml:space="preserve"> </w:t>
      </w:r>
    </w:p>
    <w:p w:rsidR="00F255FB" w:rsidRDefault="00F255FB" w:rsidP="00A038F8">
      <w:pPr>
        <w:pStyle w:val="a9"/>
        <w:numPr>
          <w:ilvl w:val="0"/>
          <w:numId w:val="1"/>
        </w:numPr>
        <w:tabs>
          <w:tab w:val="left" w:pos="425"/>
        </w:tabs>
        <w:spacing w:line="360" w:lineRule="auto"/>
        <w:ind w:left="357" w:hanging="357"/>
        <w:contextualSpacing w:val="0"/>
        <w:jc w:val="both"/>
        <w:rPr>
          <w:rFonts w:ascii="David" w:hAnsi="David" w:cs="David"/>
        </w:rPr>
      </w:pPr>
      <w:r w:rsidRPr="004C4F3A">
        <w:rPr>
          <w:rFonts w:ascii="David" w:hAnsi="David" w:cs="David" w:hint="cs"/>
          <w:rtl/>
        </w:rPr>
        <w:t xml:space="preserve">בהתאם לשומות המכריעות שווי דירת מגורים עובר לתכנית בי/517 הינו בממוצע 580,000 ₪ (סעיף 12.3.6). ואולם על בסיס הסכמי שכירות במתחם, שווי הדירות על פי היוון דמי השכירות בהנחה של תשואה שנתית בהיקף של </w:t>
      </w:r>
      <w:r w:rsidR="00C01CE2">
        <w:rPr>
          <w:rFonts w:ascii="David" w:hAnsi="David" w:cs="David" w:hint="cs"/>
          <w:rtl/>
        </w:rPr>
        <w:t xml:space="preserve">3% </w:t>
      </w:r>
      <w:r w:rsidRPr="004C4F3A">
        <w:rPr>
          <w:rFonts w:ascii="David" w:hAnsi="David" w:cs="David" w:hint="cs"/>
          <w:rtl/>
        </w:rPr>
        <w:t xml:space="preserve">הינו בממוצע כ-1 </w:t>
      </w:r>
      <w:proofErr w:type="spellStart"/>
      <w:r w:rsidRPr="004C4F3A">
        <w:rPr>
          <w:rFonts w:ascii="David" w:hAnsi="David" w:cs="David" w:hint="cs"/>
          <w:rtl/>
        </w:rPr>
        <w:t>מל"ש</w:t>
      </w:r>
      <w:proofErr w:type="spellEnd"/>
      <w:r w:rsidRPr="004C4F3A">
        <w:rPr>
          <w:rFonts w:ascii="David" w:hAnsi="David" w:cs="David" w:hint="cs"/>
          <w:rtl/>
        </w:rPr>
        <w:t xml:space="preserve">, ללא רכיב פוטנציאל (פורטו בעררים טבלת נתונים של הסכמי שכירות אשר צורפו כנספח </w:t>
      </w:r>
      <w:proofErr w:type="spellStart"/>
      <w:r w:rsidRPr="004C4F3A">
        <w:rPr>
          <w:rFonts w:ascii="David" w:hAnsi="David" w:cs="David" w:hint="cs"/>
          <w:rtl/>
        </w:rPr>
        <w:t>לעררים</w:t>
      </w:r>
      <w:proofErr w:type="spellEnd"/>
      <w:r w:rsidRPr="004C4F3A">
        <w:rPr>
          <w:rFonts w:ascii="David" w:hAnsi="David" w:cs="David" w:hint="cs"/>
          <w:rtl/>
        </w:rPr>
        <w:t>)</w:t>
      </w:r>
      <w:r>
        <w:rPr>
          <w:rFonts w:ascii="David" w:hAnsi="David" w:cs="David" w:hint="cs"/>
          <w:rtl/>
        </w:rPr>
        <w:t>.</w:t>
      </w:r>
    </w:p>
    <w:p w:rsidR="00F255FB" w:rsidRDefault="00F255FB" w:rsidP="00A038F8">
      <w:pPr>
        <w:pStyle w:val="a9"/>
        <w:numPr>
          <w:ilvl w:val="0"/>
          <w:numId w:val="1"/>
        </w:numPr>
        <w:tabs>
          <w:tab w:val="left" w:pos="425"/>
        </w:tabs>
        <w:spacing w:line="360" w:lineRule="auto"/>
        <w:ind w:left="357" w:hanging="357"/>
        <w:contextualSpacing w:val="0"/>
        <w:jc w:val="both"/>
        <w:rPr>
          <w:rFonts w:ascii="David" w:hAnsi="David" w:cs="David"/>
        </w:rPr>
      </w:pPr>
      <w:r w:rsidRPr="004C4F3A">
        <w:rPr>
          <w:rFonts w:ascii="David" w:hAnsi="David" w:cs="David"/>
          <w:rtl/>
        </w:rPr>
        <w:t xml:space="preserve">הערכת שווי הדירה על ידי מנגנון היוון דמי השכירות הריאליים שהתקבלו עבור אותה הדירה בפועל אינו מושפע כהוא זה מקיומו או העדר קיומו של פוטנציאל לזכויות בניה </w:t>
      </w:r>
      <w:proofErr w:type="spellStart"/>
      <w:r w:rsidRPr="004C4F3A">
        <w:rPr>
          <w:rFonts w:ascii="David" w:hAnsi="David" w:cs="David"/>
          <w:rtl/>
        </w:rPr>
        <w:t>מכח</w:t>
      </w:r>
      <w:proofErr w:type="spellEnd"/>
      <w:r w:rsidRPr="004C4F3A">
        <w:rPr>
          <w:rFonts w:ascii="David" w:hAnsi="David" w:cs="David"/>
          <w:rtl/>
        </w:rPr>
        <w:t xml:space="preserve"> תמ"א 38</w:t>
      </w:r>
      <w:r>
        <w:rPr>
          <w:rFonts w:ascii="David" w:hAnsi="David" w:cs="David" w:hint="cs"/>
          <w:rtl/>
        </w:rPr>
        <w:t xml:space="preserve"> </w:t>
      </w:r>
      <w:r w:rsidRPr="004C4F3A">
        <w:rPr>
          <w:rFonts w:ascii="David" w:hAnsi="David" w:cs="David"/>
          <w:rtl/>
        </w:rPr>
        <w:t>או מכל מקור אחר</w:t>
      </w:r>
      <w:r>
        <w:rPr>
          <w:rFonts w:ascii="David" w:hAnsi="David" w:cs="David" w:hint="cs"/>
          <w:rtl/>
        </w:rPr>
        <w:t>,</w:t>
      </w:r>
      <w:r w:rsidRPr="004C4F3A">
        <w:rPr>
          <w:rFonts w:ascii="David" w:hAnsi="David" w:cs="David"/>
          <w:rtl/>
        </w:rPr>
        <w:t xml:space="preserve"> זאת הואיל ושאלת קיומן של זכויות בניה בלתי מנוצלות כלל אינה רלוונטית להסכמי שכירות או לשוכר. </w:t>
      </w:r>
    </w:p>
    <w:p w:rsidR="00F255FB" w:rsidRPr="004C4F3A" w:rsidRDefault="00F255FB" w:rsidP="00A038F8">
      <w:pPr>
        <w:pStyle w:val="a9"/>
        <w:numPr>
          <w:ilvl w:val="0"/>
          <w:numId w:val="1"/>
        </w:numPr>
        <w:tabs>
          <w:tab w:val="left" w:pos="425"/>
        </w:tabs>
        <w:spacing w:line="360" w:lineRule="auto"/>
        <w:ind w:left="357" w:hanging="357"/>
        <w:contextualSpacing w:val="0"/>
        <w:jc w:val="both"/>
        <w:rPr>
          <w:rFonts w:ascii="David" w:hAnsi="David" w:cs="David"/>
        </w:rPr>
      </w:pPr>
      <w:r w:rsidRPr="004C4F3A">
        <w:rPr>
          <w:rFonts w:ascii="David" w:hAnsi="David" w:cs="David" w:hint="cs"/>
          <w:rtl/>
        </w:rPr>
        <w:t>הסכמי השכירות מ"זמן אמת" מראים את השווי הנכון הקודם לתכנית בי/517 ומוכיחים שהשווי שנקבע בשומות המכריעות הינו נמוך בצורה חריגה.</w:t>
      </w:r>
    </w:p>
    <w:p w:rsidR="00F255FB" w:rsidRDefault="00F255FB" w:rsidP="00F255FB">
      <w:pPr>
        <w:spacing w:line="360" w:lineRule="auto"/>
        <w:jc w:val="both"/>
        <w:rPr>
          <w:rFonts w:ascii="David" w:hAnsi="David" w:cs="David"/>
          <w:u w:val="thick"/>
          <w:rtl/>
        </w:rPr>
      </w:pPr>
    </w:p>
    <w:p w:rsidR="00F255FB" w:rsidRDefault="00F255FB" w:rsidP="00F255FB">
      <w:pPr>
        <w:spacing w:line="360" w:lineRule="auto"/>
        <w:jc w:val="both"/>
        <w:rPr>
          <w:rFonts w:ascii="David" w:hAnsi="David" w:cs="David"/>
          <w:u w:val="thick"/>
          <w:rtl/>
        </w:rPr>
      </w:pPr>
      <w:r w:rsidRPr="004B30C1">
        <w:rPr>
          <w:rFonts w:ascii="David" w:hAnsi="David" w:cs="David" w:hint="cs"/>
          <w:u w:val="thick"/>
          <w:rtl/>
        </w:rPr>
        <w:t>ת</w:t>
      </w:r>
      <w:r>
        <w:rPr>
          <w:rFonts w:ascii="David" w:hAnsi="David" w:cs="David" w:hint="cs"/>
          <w:u w:val="thick"/>
          <w:rtl/>
        </w:rPr>
        <w:t>שובת הועדה המקומית</w:t>
      </w:r>
    </w:p>
    <w:p w:rsidR="00F255FB" w:rsidRPr="00F255FB" w:rsidRDefault="00F255FB" w:rsidP="00A038F8">
      <w:pPr>
        <w:pStyle w:val="a9"/>
        <w:numPr>
          <w:ilvl w:val="0"/>
          <w:numId w:val="1"/>
        </w:numPr>
        <w:tabs>
          <w:tab w:val="left" w:pos="425"/>
        </w:tabs>
        <w:spacing w:line="360" w:lineRule="auto"/>
        <w:ind w:left="357" w:hanging="357"/>
        <w:contextualSpacing w:val="0"/>
        <w:jc w:val="both"/>
        <w:rPr>
          <w:rFonts w:ascii="David" w:hAnsi="David" w:cs="David"/>
        </w:rPr>
      </w:pPr>
      <w:r w:rsidRPr="00F255FB">
        <w:rPr>
          <w:rFonts w:ascii="David" w:hAnsi="David" w:cs="David" w:hint="cs"/>
          <w:rtl/>
        </w:rPr>
        <w:t>לטענת הועדה המקומית כעולה מנספח השמאי מחירי המכירה של הדירות במתחם הנדון מוכיחים כי שווי מצב קודם אינו 580,000 ₪ כמוצג על ידי החברה אלא 609,000 ₪ לפי התחשיב הבא: ( 37,141,678 ₪ חלקי 61 יח"ד)  הינו 609,000 ₪, כנ"ל לגבי מגרש 102 26,210,335/43 יח"ד כ-609</w:t>
      </w:r>
      <w:r>
        <w:rPr>
          <w:rFonts w:ascii="David" w:hAnsi="David" w:cs="David" w:hint="cs"/>
          <w:rtl/>
        </w:rPr>
        <w:t>,000 ₪.</w:t>
      </w:r>
    </w:p>
    <w:p w:rsidR="00F255FB" w:rsidRPr="00F255FB" w:rsidRDefault="00F255FB" w:rsidP="00A038F8">
      <w:pPr>
        <w:pStyle w:val="a9"/>
        <w:numPr>
          <w:ilvl w:val="0"/>
          <w:numId w:val="1"/>
        </w:numPr>
        <w:tabs>
          <w:tab w:val="left" w:pos="425"/>
        </w:tabs>
        <w:spacing w:line="360" w:lineRule="auto"/>
        <w:ind w:left="357" w:hanging="357"/>
        <w:contextualSpacing w:val="0"/>
        <w:jc w:val="both"/>
        <w:rPr>
          <w:rFonts w:ascii="David" w:hAnsi="David" w:cs="David"/>
          <w:rtl/>
        </w:rPr>
      </w:pPr>
      <w:r w:rsidRPr="00F255FB">
        <w:rPr>
          <w:rFonts w:ascii="David" w:hAnsi="David" w:cs="David" w:hint="cs"/>
          <w:rtl/>
        </w:rPr>
        <w:t>לעמדת הועדה המקומית מחירי המכירה של דירות במתחם הנדון מוכיחים כי שווי מצב קודם הינו לכל היותר 583,000 ₪ בהתאם לכך אומדן שווי</w:t>
      </w:r>
      <w:r>
        <w:rPr>
          <w:rFonts w:ascii="David" w:hAnsi="David" w:cs="David" w:hint="cs"/>
          <w:rtl/>
        </w:rPr>
        <w:t xml:space="preserve"> </w:t>
      </w:r>
      <w:r w:rsidRPr="00F255FB">
        <w:rPr>
          <w:rFonts w:ascii="David" w:hAnsi="David" w:cs="David" w:hint="cs"/>
          <w:rtl/>
        </w:rPr>
        <w:t>מצב קודם שנקבע בשומות המכריעות כ-609,000 ₪ הינו נכון ואף מוטה כלפי מעלה באופן המיטיב עם החברה</w:t>
      </w:r>
      <w:r>
        <w:rPr>
          <w:rFonts w:ascii="David" w:hAnsi="David" w:cs="David" w:hint="cs"/>
          <w:rtl/>
        </w:rPr>
        <w:t>.</w:t>
      </w:r>
    </w:p>
    <w:p w:rsidR="00F255FB" w:rsidRPr="000504E4" w:rsidRDefault="00F255FB" w:rsidP="00F255FB">
      <w:pPr>
        <w:tabs>
          <w:tab w:val="left" w:pos="1244"/>
        </w:tabs>
        <w:spacing w:line="360" w:lineRule="auto"/>
        <w:jc w:val="both"/>
        <w:rPr>
          <w:rFonts w:ascii="David" w:hAnsi="David" w:cs="David"/>
          <w:b/>
          <w:bCs/>
          <w:u w:val="thick"/>
          <w:rtl/>
        </w:rPr>
      </w:pPr>
      <w:r w:rsidRPr="000504E4">
        <w:rPr>
          <w:rFonts w:ascii="David" w:hAnsi="David" w:cs="David" w:hint="cs"/>
          <w:b/>
          <w:bCs/>
          <w:u w:val="thick"/>
          <w:rtl/>
        </w:rPr>
        <w:t xml:space="preserve">דיון והכרעה </w:t>
      </w:r>
    </w:p>
    <w:p w:rsidR="00F255FB" w:rsidRDefault="00F255FB" w:rsidP="00A038F8">
      <w:pPr>
        <w:pStyle w:val="a9"/>
        <w:numPr>
          <w:ilvl w:val="0"/>
          <w:numId w:val="1"/>
        </w:numPr>
        <w:tabs>
          <w:tab w:val="left" w:pos="425"/>
        </w:tabs>
        <w:spacing w:line="360" w:lineRule="auto"/>
        <w:ind w:left="357" w:hanging="357"/>
        <w:contextualSpacing w:val="0"/>
        <w:jc w:val="both"/>
        <w:rPr>
          <w:rFonts w:ascii="David" w:hAnsi="David" w:cs="David"/>
        </w:rPr>
      </w:pPr>
      <w:r w:rsidRPr="000504E4">
        <w:rPr>
          <w:rFonts w:ascii="David" w:hAnsi="David" w:cs="David" w:hint="cs"/>
          <w:rtl/>
        </w:rPr>
        <w:t>ראשית נראה לנו על פניו כי הנתונים המועלים על ידי שני הצדדים בפועל אינם סותרים, שכן</w:t>
      </w:r>
      <w:r w:rsidR="00BE0AA6">
        <w:rPr>
          <w:rFonts w:ascii="David" w:hAnsi="David" w:cs="David" w:hint="cs"/>
          <w:rtl/>
        </w:rPr>
        <w:t>,</w:t>
      </w:r>
      <w:r w:rsidRPr="000504E4">
        <w:rPr>
          <w:rFonts w:ascii="David" w:hAnsi="David" w:cs="David" w:hint="cs"/>
          <w:rtl/>
        </w:rPr>
        <w:t xml:space="preserve"> שמאי החברה לקח את סך תרומת השטח הבנוי בלבד וחילק למספר </w:t>
      </w:r>
      <w:proofErr w:type="spellStart"/>
      <w:r w:rsidRPr="000504E4">
        <w:rPr>
          <w:rFonts w:ascii="David" w:hAnsi="David" w:cs="David" w:hint="cs"/>
          <w:rtl/>
        </w:rPr>
        <w:t>היח"ד</w:t>
      </w:r>
      <w:proofErr w:type="spellEnd"/>
      <w:r w:rsidRPr="000504E4">
        <w:rPr>
          <w:rFonts w:ascii="David" w:hAnsi="David" w:cs="David" w:hint="cs"/>
          <w:rtl/>
        </w:rPr>
        <w:t xml:space="preserve">, ואילו שמאי הועדה המקומית מראה את סך השווי הבנוי כולל זכויות הבניה הנוספות המחולק בדירות. על כן תוצאת </w:t>
      </w:r>
      <w:r w:rsidR="00C01CE2">
        <w:rPr>
          <w:rFonts w:ascii="David" w:hAnsi="David" w:cs="David" w:hint="cs"/>
          <w:rtl/>
        </w:rPr>
        <w:t xml:space="preserve">תחשיבו של </w:t>
      </w:r>
      <w:r w:rsidRPr="000504E4">
        <w:rPr>
          <w:rFonts w:ascii="David" w:hAnsi="David" w:cs="David" w:hint="cs"/>
          <w:rtl/>
        </w:rPr>
        <w:t xml:space="preserve">כל אחד מהשמאים מטבעה לא אמורה להביא לתוצאה זהה.  </w:t>
      </w:r>
    </w:p>
    <w:p w:rsidR="00BE0AA6" w:rsidRDefault="00F255FB" w:rsidP="00A038F8">
      <w:pPr>
        <w:pStyle w:val="a9"/>
        <w:numPr>
          <w:ilvl w:val="0"/>
          <w:numId w:val="1"/>
        </w:numPr>
        <w:tabs>
          <w:tab w:val="left" w:pos="425"/>
        </w:tabs>
        <w:spacing w:line="360" w:lineRule="auto"/>
        <w:ind w:left="357" w:hanging="357"/>
        <w:contextualSpacing w:val="0"/>
        <w:jc w:val="both"/>
        <w:rPr>
          <w:rFonts w:ascii="David" w:hAnsi="David" w:cs="David"/>
        </w:rPr>
      </w:pPr>
      <w:r w:rsidRPr="00BE0AA6">
        <w:rPr>
          <w:rFonts w:ascii="David" w:hAnsi="David" w:cs="David" w:hint="cs"/>
          <w:rtl/>
        </w:rPr>
        <w:t>מכל מקום, השמאית המכריעה לצורך קביעת שווי המטר הבנוי</w:t>
      </w:r>
      <w:r w:rsidR="00BE0AA6" w:rsidRPr="00BE0AA6">
        <w:rPr>
          <w:rFonts w:ascii="David" w:hAnsi="David" w:cs="David" w:hint="cs"/>
          <w:rtl/>
        </w:rPr>
        <w:t>,</w:t>
      </w:r>
      <w:r w:rsidRPr="00BE0AA6">
        <w:rPr>
          <w:rFonts w:ascii="David" w:hAnsi="David" w:cs="David" w:hint="cs"/>
          <w:rtl/>
        </w:rPr>
        <w:t xml:space="preserve"> התחשבה בעסקאות בדירות ולא בהסכמי השכירות כפי שטענה החברה</w:t>
      </w:r>
      <w:r w:rsidR="00BE0AA6">
        <w:rPr>
          <w:rFonts w:ascii="David" w:hAnsi="David" w:cs="David" w:hint="cs"/>
          <w:rtl/>
        </w:rPr>
        <w:t xml:space="preserve">. </w:t>
      </w:r>
    </w:p>
    <w:p w:rsidR="005E3BD5" w:rsidRDefault="00BE0AA6" w:rsidP="00A038F8">
      <w:pPr>
        <w:pStyle w:val="a9"/>
        <w:numPr>
          <w:ilvl w:val="0"/>
          <w:numId w:val="1"/>
        </w:numPr>
        <w:tabs>
          <w:tab w:val="left" w:pos="425"/>
        </w:tabs>
        <w:spacing w:line="360" w:lineRule="auto"/>
        <w:ind w:left="357" w:hanging="357"/>
        <w:contextualSpacing w:val="0"/>
        <w:jc w:val="both"/>
        <w:rPr>
          <w:rFonts w:ascii="David" w:hAnsi="David" w:cs="David"/>
        </w:rPr>
      </w:pPr>
      <w:r>
        <w:rPr>
          <w:rFonts w:ascii="David" w:hAnsi="David" w:cs="David" w:hint="cs"/>
          <w:rtl/>
        </w:rPr>
        <w:t xml:space="preserve">נראה כי </w:t>
      </w:r>
      <w:r w:rsidRPr="000504E4">
        <w:rPr>
          <w:rFonts w:ascii="David" w:hAnsi="David" w:cs="David" w:hint="cs"/>
          <w:rtl/>
        </w:rPr>
        <w:t xml:space="preserve">התבססותה </w:t>
      </w:r>
      <w:r>
        <w:rPr>
          <w:rFonts w:ascii="David" w:hAnsi="David" w:cs="David" w:hint="cs"/>
          <w:rtl/>
        </w:rPr>
        <w:t xml:space="preserve">של השמאית המכריעה </w:t>
      </w:r>
      <w:r w:rsidRPr="000504E4">
        <w:rPr>
          <w:rFonts w:ascii="David" w:hAnsi="David" w:cs="David" w:hint="cs"/>
          <w:rtl/>
        </w:rPr>
        <w:t>על עסקאות בדירות תואמת את סעיף 3.1 לתקן מספר 2  שעניינו "יישום גישות השומה בשומות מקרקעין לנכסים בנויים למגורים משרדים תעשיה מלאכה ומסחר מרץ 2007" שעניינו טבלה לאפיון תוקף הגישות לשו</w:t>
      </w:r>
      <w:r w:rsidR="00682B2C">
        <w:rPr>
          <w:rFonts w:ascii="David" w:hAnsi="David" w:cs="David" w:hint="cs"/>
          <w:rtl/>
        </w:rPr>
        <w:t>ם</w:t>
      </w:r>
      <w:r w:rsidRPr="000504E4">
        <w:rPr>
          <w:rFonts w:ascii="David" w:hAnsi="David" w:cs="David" w:hint="cs"/>
          <w:rtl/>
        </w:rPr>
        <w:t xml:space="preserve"> זכויות על פי סוגי הנכסים הקובע בין השאר כי </w:t>
      </w:r>
      <w:r w:rsidRPr="00BE0AA6">
        <w:rPr>
          <w:rFonts w:ascii="David" w:hAnsi="David" w:cs="David" w:hint="cs"/>
          <w:u w:val="single"/>
          <w:rtl/>
        </w:rPr>
        <w:t>גישת ההשוואה היא גישת השומה בעלת התוקף הגבוה לשם הערכת שווי דירה בבניה רוויה</w:t>
      </w:r>
      <w:r w:rsidRPr="000504E4">
        <w:rPr>
          <w:rFonts w:ascii="David" w:hAnsi="David" w:cs="David" w:hint="cs"/>
          <w:rtl/>
        </w:rPr>
        <w:t>.</w:t>
      </w:r>
    </w:p>
    <w:p w:rsidR="00EA090E" w:rsidRPr="005E3BD5" w:rsidRDefault="00EA090E" w:rsidP="00A038F8">
      <w:pPr>
        <w:pStyle w:val="a9"/>
        <w:numPr>
          <w:ilvl w:val="0"/>
          <w:numId w:val="1"/>
        </w:numPr>
        <w:tabs>
          <w:tab w:val="left" w:pos="425"/>
        </w:tabs>
        <w:spacing w:line="360" w:lineRule="auto"/>
        <w:ind w:left="357" w:hanging="357"/>
        <w:contextualSpacing w:val="0"/>
        <w:jc w:val="both"/>
        <w:rPr>
          <w:rFonts w:ascii="David" w:hAnsi="David" w:cs="David"/>
        </w:rPr>
      </w:pPr>
      <w:r w:rsidRPr="005E3BD5">
        <w:rPr>
          <w:rFonts w:ascii="David" w:hAnsi="David" w:cs="David" w:hint="cs"/>
          <w:rtl/>
        </w:rPr>
        <w:t>לזאת יש להוסיף כי ב</w:t>
      </w:r>
      <w:r w:rsidR="00F10CA0">
        <w:rPr>
          <w:rFonts w:ascii="David" w:hAnsi="David" w:cs="David" w:hint="cs"/>
          <w:rtl/>
        </w:rPr>
        <w:t>החלטה ב</w:t>
      </w:r>
      <w:r w:rsidRPr="005E3BD5">
        <w:rPr>
          <w:rFonts w:ascii="David" w:hAnsi="David" w:cs="David" w:hint="cs"/>
          <w:rtl/>
        </w:rPr>
        <w:t>ערר "</w:t>
      </w:r>
      <w:r w:rsidRPr="005E3BD5">
        <w:rPr>
          <w:rFonts w:ascii="David" w:hAnsi="David" w:cs="David" w:hint="cs"/>
          <w:b/>
          <w:bCs/>
          <w:rtl/>
        </w:rPr>
        <w:t>אברהם כספי</w:t>
      </w:r>
      <w:r w:rsidRPr="005E3BD5">
        <w:rPr>
          <w:rFonts w:ascii="David" w:hAnsi="David" w:cs="David" w:hint="cs"/>
          <w:rtl/>
        </w:rPr>
        <w:t>"</w:t>
      </w:r>
      <w:r w:rsidR="00F10CA0">
        <w:rPr>
          <w:rFonts w:ascii="David" w:hAnsi="David" w:cs="David" w:hint="cs"/>
          <w:rtl/>
        </w:rPr>
        <w:t xml:space="preserve"> </w:t>
      </w:r>
      <w:r w:rsidRPr="005E3BD5">
        <w:rPr>
          <w:rFonts w:ascii="David" w:hAnsi="David" w:cs="David" w:hint="cs"/>
          <w:rtl/>
        </w:rPr>
        <w:t>שניתן על ידי כב' היו"ר גלקופ</w:t>
      </w:r>
      <w:r w:rsidR="00F10CA0">
        <w:rPr>
          <w:rFonts w:ascii="David" w:hAnsi="David" w:cs="David" w:hint="cs"/>
          <w:rtl/>
        </w:rPr>
        <w:t xml:space="preserve"> שאוזכר לעיל</w:t>
      </w:r>
      <w:r w:rsidRPr="005E3BD5">
        <w:rPr>
          <w:rFonts w:ascii="David" w:hAnsi="David" w:cs="David" w:hint="cs"/>
          <w:rtl/>
        </w:rPr>
        <w:t xml:space="preserve"> </w:t>
      </w:r>
      <w:r w:rsidR="00F10CA0">
        <w:rPr>
          <w:rFonts w:ascii="David" w:hAnsi="David" w:cs="David" w:hint="cs"/>
          <w:rtl/>
        </w:rPr>
        <w:t xml:space="preserve">(החלטת ועדת הערר זו אושרה כאמור בפסק דינו המחוזי של כב' </w:t>
      </w:r>
      <w:proofErr w:type="spellStart"/>
      <w:r w:rsidR="00F10CA0">
        <w:rPr>
          <w:rFonts w:ascii="David" w:hAnsi="David" w:cs="David" w:hint="cs"/>
          <w:rtl/>
        </w:rPr>
        <w:t>הש</w:t>
      </w:r>
      <w:proofErr w:type="spellEnd"/>
      <w:r w:rsidR="00F10CA0">
        <w:rPr>
          <w:rFonts w:ascii="David" w:hAnsi="David" w:cs="David" w:hint="cs"/>
          <w:rtl/>
        </w:rPr>
        <w:t xml:space="preserve">' אילן צור בעניין </w:t>
      </w:r>
      <w:proofErr w:type="spellStart"/>
      <w:r w:rsidR="00F10CA0">
        <w:rPr>
          <w:rFonts w:ascii="David" w:hAnsi="David" w:cs="David" w:hint="cs"/>
          <w:rtl/>
        </w:rPr>
        <w:t>עמ"נ</w:t>
      </w:r>
      <w:proofErr w:type="spellEnd"/>
      <w:r w:rsidR="00F10CA0">
        <w:rPr>
          <w:rFonts w:ascii="David" w:hAnsi="David" w:cs="David" w:hint="cs"/>
          <w:rtl/>
        </w:rPr>
        <w:t xml:space="preserve"> </w:t>
      </w:r>
      <w:r w:rsidR="00F10CA0" w:rsidRPr="00DC41B2">
        <w:rPr>
          <w:rFonts w:ascii="David" w:hAnsi="David" w:cs="David"/>
          <w:rtl/>
        </w:rPr>
        <w:t>24406-11-24</w:t>
      </w:r>
      <w:r w:rsidR="00F10CA0">
        <w:rPr>
          <w:rFonts w:ascii="David" w:hAnsi="David" w:cs="David" w:hint="cs"/>
          <w:rtl/>
        </w:rPr>
        <w:t xml:space="preserve">), </w:t>
      </w:r>
      <w:r w:rsidRPr="005E3BD5">
        <w:rPr>
          <w:rFonts w:ascii="David" w:hAnsi="David" w:cs="David" w:hint="cs"/>
          <w:rtl/>
        </w:rPr>
        <w:t>נתנה סקירה מקיפה של הפסיקה בהתייחס לגישת</w:t>
      </w:r>
      <w:r w:rsidR="009C663B" w:rsidRPr="005E3BD5">
        <w:rPr>
          <w:rFonts w:ascii="David" w:hAnsi="David" w:cs="David" w:hint="cs"/>
          <w:rtl/>
        </w:rPr>
        <w:t>ה המועדפת של גישת</w:t>
      </w:r>
      <w:r w:rsidRPr="005E3BD5">
        <w:rPr>
          <w:rFonts w:ascii="David" w:hAnsi="David" w:cs="David" w:hint="cs"/>
          <w:rtl/>
        </w:rPr>
        <w:t xml:space="preserve"> ההשוואה</w:t>
      </w:r>
      <w:r w:rsidR="00DC41B2">
        <w:rPr>
          <w:rFonts w:ascii="David" w:hAnsi="David" w:cs="David" w:hint="cs"/>
          <w:rtl/>
        </w:rPr>
        <w:t xml:space="preserve">, </w:t>
      </w:r>
      <w:proofErr w:type="spellStart"/>
      <w:r w:rsidRPr="005E3BD5">
        <w:rPr>
          <w:rFonts w:ascii="David" w:hAnsi="David" w:cs="David" w:hint="cs"/>
          <w:rtl/>
        </w:rPr>
        <w:t>וכדלקמן</w:t>
      </w:r>
      <w:proofErr w:type="spellEnd"/>
      <w:r w:rsidRPr="005E3BD5">
        <w:rPr>
          <w:rFonts w:ascii="David" w:hAnsi="David" w:cs="David" w:hint="cs"/>
          <w:rtl/>
        </w:rPr>
        <w:t>:</w:t>
      </w:r>
    </w:p>
    <w:p w:rsidR="00044AE3" w:rsidRPr="00A038F8" w:rsidRDefault="00044AE3" w:rsidP="009C663B">
      <w:pPr>
        <w:suppressLineNumbers/>
        <w:tabs>
          <w:tab w:val="left" w:pos="1083"/>
          <w:tab w:val="left" w:pos="1367"/>
        </w:tabs>
        <w:spacing w:before="240" w:after="240" w:line="360" w:lineRule="auto"/>
        <w:ind w:left="992" w:right="851"/>
        <w:jc w:val="both"/>
        <w:rPr>
          <w:rFonts w:ascii="David" w:hAnsi="David" w:cs="David"/>
          <w:i/>
          <w:iCs/>
          <w:lang w:eastAsia="he-IL"/>
        </w:rPr>
      </w:pPr>
      <w:r w:rsidRPr="00A038F8">
        <w:rPr>
          <w:rFonts w:ascii="David" w:hAnsi="David" w:cs="David"/>
          <w:i/>
          <w:iCs/>
          <w:rtl/>
          <w:lang w:eastAsia="he-IL"/>
        </w:rPr>
        <w:t>"ככלל, "גישת השוואה הישירה" (להלן: "</w:t>
      </w:r>
      <w:r w:rsidRPr="00A038F8">
        <w:rPr>
          <w:rFonts w:ascii="David" w:hAnsi="David" w:cs="David"/>
          <w:b/>
          <w:bCs/>
          <w:i/>
          <w:iCs/>
          <w:rtl/>
          <w:lang w:eastAsia="he-IL"/>
        </w:rPr>
        <w:t>גישת ההשוואה</w:t>
      </w:r>
      <w:r w:rsidRPr="00A038F8">
        <w:rPr>
          <w:rFonts w:ascii="David" w:hAnsi="David" w:cs="David"/>
          <w:i/>
          <w:iCs/>
          <w:rtl/>
          <w:lang w:eastAsia="he-IL"/>
        </w:rPr>
        <w:t>") נחשבת לגישה עדיפה בענף שמאות המקרקעין ביחס לרוב פרש</w:t>
      </w:r>
      <w:r w:rsidR="0028510F" w:rsidRPr="00A038F8">
        <w:rPr>
          <w:rFonts w:ascii="David" w:hAnsi="David" w:cs="David" w:hint="eastAsia"/>
          <w:i/>
          <w:iCs/>
          <w:rtl/>
          <w:lang w:eastAsia="he-IL"/>
        </w:rPr>
        <w:t>נ</w:t>
      </w:r>
      <w:r w:rsidRPr="00A038F8">
        <w:rPr>
          <w:rFonts w:ascii="David" w:hAnsi="David" w:cs="David"/>
          <w:i/>
          <w:iCs/>
          <w:rtl/>
          <w:lang w:eastAsia="he-IL"/>
        </w:rPr>
        <w:t>ות השומה. גישה זו נחשבת לגישה בעלת "רמת תוקף גבוהה"</w:t>
      </w:r>
      <w:r w:rsidRPr="00A038F8">
        <w:rPr>
          <w:rFonts w:ascii="Times New Roman" w:hAnsi="Times New Roman" w:cs="David"/>
          <w:i/>
          <w:iCs/>
          <w:sz w:val="28"/>
          <w:vertAlign w:val="superscript"/>
          <w:rtl/>
          <w:lang w:eastAsia="he-IL"/>
        </w:rPr>
        <w:footnoteReference w:id="10"/>
      </w:r>
      <w:r w:rsidRPr="00A038F8">
        <w:rPr>
          <w:rFonts w:ascii="Times New Roman" w:hAnsi="Times New Roman" w:cs="David"/>
          <w:i/>
          <w:iCs/>
          <w:sz w:val="28"/>
          <w:vertAlign w:val="superscript"/>
          <w:rtl/>
          <w:lang w:eastAsia="he-IL"/>
        </w:rPr>
        <w:t xml:space="preserve"> </w:t>
      </w:r>
      <w:r w:rsidRPr="00A038F8">
        <w:rPr>
          <w:rFonts w:ascii="David" w:hAnsi="David" w:cs="David"/>
          <w:i/>
          <w:iCs/>
          <w:rtl/>
          <w:lang w:eastAsia="he-IL"/>
        </w:rPr>
        <w:t>הן בנכסי מגורים בנויים, שנסחרים בין פרטיים והן בנכסים עסקיים, שנסחרים בין שחקנים שהם ברובם המכריע חברות או עוסקים מורשים.</w:t>
      </w:r>
    </w:p>
    <w:p w:rsidR="00044AE3" w:rsidRPr="00A038F8" w:rsidRDefault="00044AE3" w:rsidP="009C663B">
      <w:pPr>
        <w:suppressLineNumbers/>
        <w:tabs>
          <w:tab w:val="left" w:pos="1083"/>
          <w:tab w:val="left" w:pos="1367"/>
        </w:tabs>
        <w:spacing w:before="240" w:after="240" w:line="360" w:lineRule="auto"/>
        <w:ind w:left="992" w:right="993"/>
        <w:jc w:val="both"/>
        <w:rPr>
          <w:rFonts w:ascii="David" w:hAnsi="David" w:cs="David"/>
          <w:i/>
          <w:iCs/>
          <w:rtl/>
          <w:lang w:eastAsia="he-IL"/>
        </w:rPr>
      </w:pPr>
      <w:r w:rsidRPr="00A038F8">
        <w:rPr>
          <w:rFonts w:ascii="David" w:hAnsi="David" w:cs="David"/>
          <w:i/>
          <w:iCs/>
          <w:rtl/>
          <w:lang w:eastAsia="he-IL"/>
        </w:rPr>
        <w:t>יתרונותיה של גישת ההשוואה נעוצים בשלוש סיבות עיקריות: הגישה מדמה היטב את ההיגיון של השחקנים בשוק, רמת האינטואיטיביות של הגישה היא גבוהה, ורגישותה</w:t>
      </w:r>
      <w:r w:rsidRPr="00A038F8">
        <w:rPr>
          <w:rFonts w:ascii="Times New Roman" w:hAnsi="Times New Roman" w:cs="David"/>
          <w:i/>
          <w:iCs/>
          <w:sz w:val="28"/>
          <w:vertAlign w:val="superscript"/>
          <w:rtl/>
          <w:lang w:eastAsia="he-IL"/>
        </w:rPr>
        <w:footnoteReference w:id="11"/>
      </w:r>
      <w:r w:rsidRPr="00A038F8">
        <w:rPr>
          <w:rFonts w:ascii="Times New Roman" w:hAnsi="Times New Roman" w:cs="David"/>
          <w:i/>
          <w:iCs/>
          <w:sz w:val="28"/>
          <w:vertAlign w:val="superscript"/>
          <w:rtl/>
          <w:lang w:eastAsia="he-IL"/>
        </w:rPr>
        <w:t xml:space="preserve"> </w:t>
      </w:r>
      <w:r w:rsidRPr="00A038F8">
        <w:rPr>
          <w:rFonts w:ascii="David" w:hAnsi="David" w:cs="David"/>
          <w:i/>
          <w:iCs/>
          <w:rtl/>
          <w:lang w:eastAsia="he-IL"/>
        </w:rPr>
        <w:t>לשינויים בהנחות עבודה היא קטנה (יחסית לגישות השומה האחרות).</w:t>
      </w:r>
    </w:p>
    <w:p w:rsidR="00044AE3" w:rsidRPr="00A038F8" w:rsidRDefault="00044AE3" w:rsidP="009C663B">
      <w:pPr>
        <w:suppressLineNumbers/>
        <w:tabs>
          <w:tab w:val="left" w:pos="1083"/>
          <w:tab w:val="left" w:pos="1367"/>
        </w:tabs>
        <w:spacing w:before="240" w:after="240" w:line="360" w:lineRule="auto"/>
        <w:ind w:left="992" w:right="993"/>
        <w:jc w:val="both"/>
        <w:rPr>
          <w:rFonts w:ascii="David" w:hAnsi="David" w:cs="David"/>
          <w:i/>
          <w:iCs/>
          <w:lang w:eastAsia="he-IL"/>
        </w:rPr>
      </w:pPr>
      <w:r w:rsidRPr="00A038F8">
        <w:rPr>
          <w:rFonts w:ascii="David" w:hAnsi="David" w:cs="David"/>
          <w:i/>
          <w:iCs/>
          <w:rtl/>
          <w:lang w:eastAsia="he-IL"/>
        </w:rPr>
        <w:t xml:space="preserve">ביטוי לבְכִירות הגישה מצוי ראשית בפסיקת בתי המשפט. כך הוגדרה שיטה זו בהלכת </w:t>
      </w:r>
      <w:hyperlink r:id="rId49" w:history="1">
        <w:proofErr w:type="spellStart"/>
        <w:r w:rsidRPr="00A038F8">
          <w:rPr>
            <w:rFonts w:ascii="David" w:hAnsi="David" w:cs="David"/>
            <w:i/>
            <w:iCs/>
            <w:color w:val="0000FF"/>
            <w:u w:val="single"/>
            <w:rtl/>
            <w:lang w:eastAsia="he-IL"/>
          </w:rPr>
          <w:t>ברמ</w:t>
        </w:r>
        <w:proofErr w:type="spellEnd"/>
        <w:r w:rsidRPr="00A038F8">
          <w:rPr>
            <w:rFonts w:ascii="David" w:hAnsi="David" w:cs="David"/>
            <w:i/>
            <w:iCs/>
            <w:color w:val="0000FF"/>
            <w:u w:val="single"/>
            <w:rtl/>
            <w:lang w:eastAsia="he-IL"/>
          </w:rPr>
          <w:t xml:space="preserve"> 10212/16</w:t>
        </w:r>
      </w:hyperlink>
      <w:r w:rsidRPr="00A038F8">
        <w:rPr>
          <w:rFonts w:ascii="David" w:hAnsi="David" w:cs="David"/>
          <w:i/>
          <w:iCs/>
          <w:rtl/>
          <w:lang w:eastAsia="he-IL"/>
        </w:rPr>
        <w:t xml:space="preserve"> </w:t>
      </w:r>
      <w:r w:rsidRPr="00A038F8">
        <w:rPr>
          <w:rFonts w:ascii="David" w:hAnsi="David" w:cs="David"/>
          <w:b/>
          <w:bCs/>
          <w:i/>
          <w:iCs/>
          <w:rtl/>
          <w:lang w:eastAsia="he-IL"/>
        </w:rPr>
        <w:t>דלי דליה ועוד 333 אח' נ' הוועדה המקומית לתכנון ולבנייה הרצליה</w:t>
      </w:r>
      <w:r w:rsidRPr="00A038F8">
        <w:rPr>
          <w:rFonts w:ascii="David" w:hAnsi="David" w:cs="David"/>
          <w:i/>
          <w:iCs/>
          <w:rtl/>
          <w:lang w:eastAsia="he-IL"/>
        </w:rPr>
        <w:t xml:space="preserve"> (נבו) וההלכות הנוספות המוזכרות בה:</w:t>
      </w:r>
    </w:p>
    <w:p w:rsidR="00044AE3" w:rsidRPr="00A038F8" w:rsidRDefault="00044AE3" w:rsidP="00DC707C">
      <w:pPr>
        <w:suppressLineNumbers/>
        <w:tabs>
          <w:tab w:val="left" w:pos="1276"/>
          <w:tab w:val="left" w:pos="1367"/>
          <w:tab w:val="left" w:pos="1417"/>
        </w:tabs>
        <w:spacing w:after="0" w:line="360" w:lineRule="auto"/>
        <w:ind w:left="1417" w:right="2127" w:firstLine="6"/>
        <w:jc w:val="both"/>
        <w:rPr>
          <w:rFonts w:ascii="Narkisim" w:hAnsi="Narkisim" w:cs="Narkisim"/>
          <w:i/>
          <w:iCs/>
          <w:rtl/>
          <w:lang w:eastAsia="he-IL"/>
        </w:rPr>
      </w:pPr>
      <w:r w:rsidRPr="00A038F8">
        <w:rPr>
          <w:rFonts w:ascii="Narkisim" w:hAnsi="Narkisim" w:cs="Narkisim"/>
          <w:i/>
          <w:iCs/>
          <w:rtl/>
          <w:lang w:eastAsia="he-IL"/>
        </w:rPr>
        <w:t xml:space="preserve">במישור השמאי-עובדתי, </w:t>
      </w:r>
      <w:r w:rsidRPr="00A038F8">
        <w:rPr>
          <w:rFonts w:ascii="Narkisim" w:hAnsi="Narkisim" w:cs="Narkisim"/>
          <w:b/>
          <w:bCs/>
          <w:i/>
          <w:iCs/>
          <w:u w:val="single"/>
          <w:rtl/>
          <w:lang w:eastAsia="he-IL"/>
        </w:rPr>
        <w:t>שיטת ההערכה המקובלת והמועדפת בפסיקה היא "שיטת ההשוואה"</w:t>
      </w:r>
      <w:r w:rsidRPr="00A038F8">
        <w:rPr>
          <w:rFonts w:ascii="Narkisim" w:hAnsi="Narkisim" w:cs="Narkisim"/>
          <w:i/>
          <w:iCs/>
          <w:rtl/>
          <w:lang w:eastAsia="he-IL"/>
        </w:rPr>
        <w:t xml:space="preserve"> (המכונה גם "שיטת שווי השוק"). במסגרת שיטה זו בוחן השמאי עסקאות סמוכות במקום ובמועד לעסקה הנבחנת, במקרקעין שנתוניהם דומים למקרקעין מושאי השומה (ראו</w:t>
      </w:r>
      <w:r w:rsidRPr="00A038F8">
        <w:rPr>
          <w:rFonts w:ascii="Narkisim" w:hAnsi="Narkisim" w:cs="Narkisim"/>
          <w:i/>
          <w:iCs/>
          <w:lang w:eastAsia="he-IL"/>
        </w:rPr>
        <w:t xml:space="preserve">: </w:t>
      </w:r>
      <w:hyperlink r:id="rId50" w:history="1">
        <w:r w:rsidRPr="00A038F8">
          <w:rPr>
            <w:rFonts w:ascii="Narkisim" w:hAnsi="Narkisim" w:cs="Narkisim"/>
            <w:i/>
            <w:iCs/>
            <w:color w:val="0000FF"/>
            <w:u w:val="single"/>
            <w:rtl/>
            <w:lang w:eastAsia="he-IL"/>
          </w:rPr>
          <w:t>ע"א 161/79</w:t>
        </w:r>
      </w:hyperlink>
      <w:r w:rsidRPr="00A038F8">
        <w:rPr>
          <w:rFonts w:ascii="Narkisim" w:hAnsi="Narkisim" w:cs="Narkisim"/>
          <w:i/>
          <w:iCs/>
          <w:color w:val="000000"/>
          <w:rtl/>
          <w:lang w:eastAsia="he-IL"/>
        </w:rPr>
        <w:t xml:space="preserve"> שר האוצר נ' זילברשטיין, פ"ד לד</w:t>
      </w:r>
      <w:r w:rsidRPr="00A038F8">
        <w:rPr>
          <w:rFonts w:ascii="Narkisim" w:hAnsi="Narkisim" w:cs="Narkisim"/>
          <w:i/>
          <w:iCs/>
          <w:lang w:eastAsia="he-IL"/>
        </w:rPr>
        <w:t xml:space="preserve"> (3) 225, 227 (1980); </w:t>
      </w:r>
      <w:r w:rsidRPr="00A038F8">
        <w:rPr>
          <w:rFonts w:ascii="Narkisim" w:hAnsi="Narkisim" w:cs="Narkisim"/>
          <w:i/>
          <w:iCs/>
          <w:rtl/>
          <w:lang w:eastAsia="he-IL"/>
        </w:rPr>
        <w:t xml:space="preserve">אהרן </w:t>
      </w:r>
      <w:proofErr w:type="spellStart"/>
      <w:r w:rsidRPr="00A038F8">
        <w:rPr>
          <w:rFonts w:ascii="Narkisim" w:hAnsi="Narkisim" w:cs="Narkisim"/>
          <w:i/>
          <w:iCs/>
          <w:color w:val="000000"/>
          <w:rtl/>
          <w:lang w:eastAsia="he-IL"/>
        </w:rPr>
        <w:t>נמדר</w:t>
      </w:r>
      <w:proofErr w:type="spellEnd"/>
      <w:r w:rsidRPr="00A038F8">
        <w:rPr>
          <w:rFonts w:ascii="Narkisim" w:hAnsi="Narkisim" w:cs="Narkisim"/>
          <w:i/>
          <w:iCs/>
          <w:color w:val="000000"/>
          <w:rtl/>
          <w:lang w:eastAsia="he-IL"/>
        </w:rPr>
        <w:t xml:space="preserve"> </w:t>
      </w:r>
      <w:hyperlink r:id="rId51" w:history="1">
        <w:r w:rsidRPr="00A038F8">
          <w:rPr>
            <w:rFonts w:ascii="Narkisim" w:hAnsi="Narkisim" w:cs="Narkisim"/>
            <w:i/>
            <w:iCs/>
            <w:color w:val="0000FF"/>
            <w:u w:val="single"/>
            <w:rtl/>
            <w:lang w:eastAsia="he-IL"/>
          </w:rPr>
          <w:t>מס שבח מקרקעין</w:t>
        </w:r>
      </w:hyperlink>
      <w:r w:rsidRPr="00A038F8">
        <w:rPr>
          <w:rFonts w:ascii="Narkisim" w:hAnsi="Narkisim" w:cs="Narkisim"/>
          <w:i/>
          <w:iCs/>
          <w:lang w:eastAsia="he-IL"/>
        </w:rPr>
        <w:t xml:space="preserve"> </w:t>
      </w:r>
      <w:r w:rsidRPr="00A038F8">
        <w:rPr>
          <w:rFonts w:ascii="Narkisim" w:hAnsi="Narkisim" w:cs="Narkisim"/>
          <w:i/>
          <w:iCs/>
          <w:rtl/>
          <w:lang w:eastAsia="he-IL"/>
        </w:rPr>
        <w:t>חלק שני – חישוב המס ותשלומו 42-41 (מהדורה שביעית, 2012) (להלן</w:t>
      </w:r>
      <w:r w:rsidRPr="00A038F8">
        <w:rPr>
          <w:rFonts w:ascii="Narkisim" w:hAnsi="Narkisim" w:cs="Narkisim"/>
          <w:i/>
          <w:iCs/>
          <w:lang w:eastAsia="he-IL"/>
        </w:rPr>
        <w:t xml:space="preserve">: </w:t>
      </w:r>
      <w:proofErr w:type="spellStart"/>
      <w:r w:rsidRPr="00A038F8">
        <w:rPr>
          <w:rFonts w:ascii="Narkisim" w:hAnsi="Narkisim" w:cs="Narkisim"/>
          <w:i/>
          <w:iCs/>
          <w:rtl/>
          <w:lang w:eastAsia="he-IL"/>
        </w:rPr>
        <w:t>נמדר</w:t>
      </w:r>
      <w:proofErr w:type="spellEnd"/>
      <w:r w:rsidRPr="00A038F8">
        <w:rPr>
          <w:rFonts w:ascii="Narkisim" w:hAnsi="Narkisim" w:cs="Narkisim"/>
          <w:i/>
          <w:iCs/>
          <w:rtl/>
          <w:lang w:eastAsia="he-IL"/>
        </w:rPr>
        <w:t>, מס שבח</w:t>
      </w:r>
      <w:r w:rsidRPr="00A038F8">
        <w:rPr>
          <w:rFonts w:ascii="Narkisim" w:hAnsi="Narkisim" w:cs="Narkisim"/>
          <w:i/>
          <w:iCs/>
          <w:lang w:eastAsia="he-IL"/>
        </w:rPr>
        <w:t xml:space="preserve">)). </w:t>
      </w:r>
      <w:r w:rsidRPr="00A038F8">
        <w:rPr>
          <w:rFonts w:ascii="Narkisim" w:hAnsi="Narkisim" w:cs="Narkisim"/>
          <w:i/>
          <w:iCs/>
          <w:rtl/>
          <w:lang w:eastAsia="he-IL"/>
        </w:rPr>
        <w:t>בתוך כך נקבע כי פוטנציאל המקרקעין, אפשרויות הניצול הגלומות בהם וציפייה לשינוי תכנוני גם הם נתונים רלוונטיים לעניין הערכת השווי (ראו</w:t>
      </w:r>
      <w:r w:rsidRPr="00A038F8">
        <w:rPr>
          <w:rFonts w:ascii="Narkisim" w:hAnsi="Narkisim" w:cs="Narkisim"/>
          <w:i/>
          <w:iCs/>
          <w:lang w:eastAsia="he-IL"/>
        </w:rPr>
        <w:t xml:space="preserve">: </w:t>
      </w:r>
      <w:hyperlink r:id="rId52" w:history="1">
        <w:r w:rsidRPr="00A038F8">
          <w:rPr>
            <w:rFonts w:ascii="Narkisim" w:hAnsi="Narkisim" w:cs="Narkisim"/>
            <w:i/>
            <w:iCs/>
            <w:color w:val="0000FF"/>
            <w:u w:val="single"/>
            <w:rtl/>
            <w:lang w:eastAsia="he-IL"/>
          </w:rPr>
          <w:t>ע"א 738/10</w:t>
        </w:r>
      </w:hyperlink>
      <w:r w:rsidRPr="00A038F8">
        <w:rPr>
          <w:rFonts w:ascii="Narkisim" w:hAnsi="Narkisim" w:cs="Narkisim"/>
          <w:i/>
          <w:iCs/>
          <w:lang w:eastAsia="he-IL"/>
        </w:rPr>
        <w:t xml:space="preserve"> </w:t>
      </w:r>
      <w:proofErr w:type="spellStart"/>
      <w:r w:rsidRPr="00A038F8">
        <w:rPr>
          <w:rFonts w:ascii="Narkisim" w:hAnsi="Narkisim" w:cs="Narkisim"/>
          <w:i/>
          <w:iCs/>
          <w:rtl/>
          <w:lang w:eastAsia="he-IL"/>
        </w:rPr>
        <w:t>דבאח</w:t>
      </w:r>
      <w:proofErr w:type="spellEnd"/>
      <w:r w:rsidRPr="00A038F8">
        <w:rPr>
          <w:rFonts w:ascii="Narkisim" w:hAnsi="Narkisim" w:cs="Narkisim"/>
          <w:i/>
          <w:iCs/>
          <w:rtl/>
          <w:lang w:eastAsia="he-IL"/>
        </w:rPr>
        <w:t xml:space="preserve"> נ' מדינת ישראל</w:t>
      </w:r>
      <w:r w:rsidRPr="00A038F8">
        <w:rPr>
          <w:rFonts w:ascii="Narkisim" w:hAnsi="Narkisim" w:cs="Narkisim"/>
          <w:i/>
          <w:iCs/>
          <w:lang w:eastAsia="he-IL"/>
        </w:rPr>
        <w:t>, [</w:t>
      </w:r>
      <w:r w:rsidRPr="00A038F8">
        <w:rPr>
          <w:rFonts w:ascii="Narkisim" w:hAnsi="Narkisim" w:cs="Narkisim"/>
          <w:i/>
          <w:iCs/>
          <w:rtl/>
          <w:lang w:eastAsia="he-IL"/>
        </w:rPr>
        <w:t>פורסם בנבו</w:t>
      </w:r>
      <w:r w:rsidRPr="00A038F8">
        <w:rPr>
          <w:rFonts w:ascii="Narkisim" w:hAnsi="Narkisim" w:cs="Narkisim"/>
          <w:i/>
          <w:iCs/>
          <w:lang w:eastAsia="he-IL"/>
        </w:rPr>
        <w:t xml:space="preserve">] </w:t>
      </w:r>
      <w:r w:rsidRPr="00A038F8">
        <w:rPr>
          <w:rFonts w:ascii="Narkisim" w:hAnsi="Narkisim" w:cs="Narkisim"/>
          <w:i/>
          <w:iCs/>
          <w:rtl/>
          <w:lang w:eastAsia="he-IL"/>
        </w:rPr>
        <w:t>פסקאות 13-12</w:t>
      </w:r>
      <w:r w:rsidRPr="00A038F8">
        <w:rPr>
          <w:rFonts w:ascii="Narkisim" w:hAnsi="Narkisim" w:cs="Narkisim"/>
          <w:i/>
          <w:iCs/>
          <w:lang w:eastAsia="he-IL"/>
        </w:rPr>
        <w:t xml:space="preserve"> (17.11.2013); </w:t>
      </w:r>
      <w:hyperlink r:id="rId53" w:history="1">
        <w:r w:rsidRPr="00A038F8">
          <w:rPr>
            <w:rFonts w:ascii="Narkisim" w:hAnsi="Narkisim" w:cs="Narkisim"/>
            <w:i/>
            <w:iCs/>
            <w:color w:val="0000FF"/>
            <w:u w:val="single"/>
            <w:rtl/>
            <w:lang w:eastAsia="he-IL"/>
          </w:rPr>
          <w:t>ע"א 6132/12</w:t>
        </w:r>
      </w:hyperlink>
      <w:r w:rsidRPr="00A038F8">
        <w:rPr>
          <w:rFonts w:ascii="Narkisim" w:hAnsi="Narkisim" w:cs="Narkisim"/>
          <w:i/>
          <w:iCs/>
          <w:lang w:eastAsia="he-IL"/>
        </w:rPr>
        <w:t xml:space="preserve"> </w:t>
      </w:r>
      <w:r w:rsidRPr="00A038F8">
        <w:rPr>
          <w:rFonts w:ascii="Narkisim" w:hAnsi="Narkisim" w:cs="Narkisim"/>
          <w:i/>
          <w:iCs/>
          <w:rtl/>
          <w:lang w:eastAsia="he-IL"/>
        </w:rPr>
        <w:t>‏</w:t>
      </w:r>
      <w:proofErr w:type="spellStart"/>
      <w:r w:rsidRPr="00A038F8">
        <w:rPr>
          <w:rFonts w:ascii="Narkisim" w:hAnsi="Narkisim" w:cs="Narkisim"/>
          <w:i/>
          <w:iCs/>
          <w:rtl/>
          <w:lang w:eastAsia="he-IL"/>
        </w:rPr>
        <w:t>ח'ג'אזי</w:t>
      </w:r>
      <w:proofErr w:type="spellEnd"/>
      <w:r w:rsidRPr="00A038F8">
        <w:rPr>
          <w:rFonts w:ascii="Narkisim" w:hAnsi="Narkisim" w:cs="Narkisim"/>
          <w:i/>
          <w:iCs/>
          <w:rtl/>
          <w:lang w:eastAsia="he-IL"/>
        </w:rPr>
        <w:t xml:space="preserve"> נ' מדינת ישראל</w:t>
      </w:r>
      <w:r w:rsidRPr="00A038F8">
        <w:rPr>
          <w:rFonts w:ascii="Narkisim" w:hAnsi="Narkisim" w:cs="Narkisim"/>
          <w:i/>
          <w:iCs/>
          <w:lang w:eastAsia="he-IL"/>
        </w:rPr>
        <w:t>, [</w:t>
      </w:r>
      <w:r w:rsidRPr="00A038F8">
        <w:rPr>
          <w:rFonts w:ascii="Narkisim" w:hAnsi="Narkisim" w:cs="Narkisim"/>
          <w:i/>
          <w:iCs/>
          <w:rtl/>
          <w:lang w:eastAsia="he-IL"/>
        </w:rPr>
        <w:t>פורסם בנבו</w:t>
      </w:r>
      <w:r w:rsidRPr="00A038F8">
        <w:rPr>
          <w:rFonts w:ascii="Narkisim" w:hAnsi="Narkisim" w:cs="Narkisim"/>
          <w:i/>
          <w:iCs/>
          <w:lang w:eastAsia="he-IL"/>
        </w:rPr>
        <w:t xml:space="preserve">] </w:t>
      </w:r>
      <w:r w:rsidRPr="00A038F8">
        <w:rPr>
          <w:rFonts w:ascii="Narkisim" w:hAnsi="Narkisim" w:cs="Narkisim"/>
          <w:i/>
          <w:iCs/>
          <w:rtl/>
          <w:lang w:eastAsia="he-IL"/>
        </w:rPr>
        <w:t>פסקה 15</w:t>
      </w:r>
      <w:r w:rsidRPr="00A038F8">
        <w:rPr>
          <w:rFonts w:ascii="Narkisim" w:hAnsi="Narkisim" w:cs="Narkisim"/>
          <w:i/>
          <w:iCs/>
          <w:lang w:eastAsia="he-IL"/>
        </w:rPr>
        <w:t xml:space="preserve"> (7.1.2014); </w:t>
      </w:r>
      <w:proofErr w:type="spellStart"/>
      <w:r w:rsidRPr="00A038F8">
        <w:rPr>
          <w:rFonts w:ascii="Narkisim" w:hAnsi="Narkisim" w:cs="Narkisim"/>
          <w:i/>
          <w:iCs/>
          <w:rtl/>
          <w:lang w:eastAsia="he-IL"/>
        </w:rPr>
        <w:t>נמדר</w:t>
      </w:r>
      <w:proofErr w:type="spellEnd"/>
      <w:r w:rsidRPr="00A038F8">
        <w:rPr>
          <w:rFonts w:ascii="Narkisim" w:hAnsi="Narkisim" w:cs="Narkisim"/>
          <w:i/>
          <w:iCs/>
          <w:rtl/>
          <w:lang w:eastAsia="he-IL"/>
        </w:rPr>
        <w:t>, מס שבח</w:t>
      </w:r>
      <w:r w:rsidRPr="00A038F8">
        <w:rPr>
          <w:rFonts w:ascii="Narkisim" w:hAnsi="Narkisim" w:cs="Narkisim"/>
          <w:i/>
          <w:iCs/>
          <w:lang w:eastAsia="he-IL"/>
        </w:rPr>
        <w:t xml:space="preserve">, </w:t>
      </w:r>
      <w:r w:rsidRPr="00A038F8">
        <w:rPr>
          <w:rFonts w:ascii="Narkisim" w:hAnsi="Narkisim" w:cs="Narkisim"/>
          <w:i/>
          <w:iCs/>
          <w:rtl/>
          <w:lang w:eastAsia="he-IL"/>
        </w:rPr>
        <w:t>בעמ' 49-48). על רקע זה, טענתם של בעלי הקרקע היא בעיקרו של דבר שעקרון ההשוואה המבוסס על בדיקת עסקאות אחרות צריך לחול גם בעניינם</w:t>
      </w:r>
      <w:r w:rsidRPr="00A038F8">
        <w:rPr>
          <w:rFonts w:ascii="Narkisim" w:hAnsi="Narkisim" w:cs="Narkisim"/>
          <w:i/>
          <w:iCs/>
          <w:lang w:eastAsia="he-IL"/>
        </w:rPr>
        <w:t>.</w:t>
      </w:r>
      <w:r w:rsidRPr="00A038F8">
        <w:rPr>
          <w:rFonts w:ascii="Narkisim" w:hAnsi="Narkisim" w:cs="Narkisim"/>
          <w:i/>
          <w:iCs/>
          <w:rtl/>
          <w:lang w:eastAsia="he-IL"/>
        </w:rPr>
        <w:t xml:space="preserve"> </w:t>
      </w:r>
    </w:p>
    <w:p w:rsidR="00044AE3" w:rsidRPr="00A038F8" w:rsidRDefault="00044AE3" w:rsidP="009C663B">
      <w:pPr>
        <w:suppressLineNumbers/>
        <w:tabs>
          <w:tab w:val="left" w:pos="1083"/>
          <w:tab w:val="left" w:pos="1367"/>
        </w:tabs>
        <w:spacing w:before="240" w:after="240" w:line="360" w:lineRule="auto"/>
        <w:ind w:left="992" w:right="1134"/>
        <w:jc w:val="both"/>
        <w:rPr>
          <w:rFonts w:ascii="David" w:hAnsi="David" w:cs="David"/>
          <w:i/>
          <w:iCs/>
          <w:lang w:eastAsia="he-IL"/>
        </w:rPr>
      </w:pPr>
      <w:r w:rsidRPr="00A038F8">
        <w:rPr>
          <w:rFonts w:ascii="David" w:hAnsi="David" w:cs="David"/>
          <w:i/>
          <w:iCs/>
          <w:rtl/>
          <w:lang w:eastAsia="he-IL"/>
        </w:rPr>
        <w:t xml:space="preserve">כך נקבע עוד קודם לכן בהלכת </w:t>
      </w:r>
      <w:hyperlink r:id="rId54" w:history="1">
        <w:proofErr w:type="spellStart"/>
        <w:r w:rsidRPr="00A038F8">
          <w:rPr>
            <w:rFonts w:ascii="David" w:hAnsi="David" w:cs="David"/>
            <w:i/>
            <w:iCs/>
            <w:color w:val="0000FF"/>
            <w:u w:val="single"/>
            <w:rtl/>
            <w:lang w:eastAsia="he-IL"/>
          </w:rPr>
          <w:t>עא</w:t>
        </w:r>
        <w:proofErr w:type="spellEnd"/>
        <w:r w:rsidRPr="00A038F8">
          <w:rPr>
            <w:rFonts w:ascii="David" w:hAnsi="David" w:cs="David"/>
            <w:i/>
            <w:iCs/>
            <w:color w:val="0000FF"/>
            <w:u w:val="single"/>
            <w:rtl/>
            <w:lang w:eastAsia="he-IL"/>
          </w:rPr>
          <w:t xml:space="preserve"> 161/79</w:t>
        </w:r>
      </w:hyperlink>
      <w:r w:rsidRPr="00A038F8">
        <w:rPr>
          <w:rFonts w:ascii="David" w:hAnsi="David" w:cs="David"/>
          <w:i/>
          <w:iCs/>
          <w:rtl/>
          <w:lang w:eastAsia="he-IL"/>
        </w:rPr>
        <w:t xml:space="preserve"> </w:t>
      </w:r>
      <w:r w:rsidRPr="00A038F8">
        <w:rPr>
          <w:rFonts w:ascii="David" w:hAnsi="David" w:cs="David"/>
          <w:b/>
          <w:bCs/>
          <w:i/>
          <w:iCs/>
          <w:rtl/>
          <w:lang w:eastAsia="he-IL"/>
        </w:rPr>
        <w:t>שר האוצר נ' הרברט זילברשטיין</w:t>
      </w:r>
      <w:r w:rsidRPr="00A038F8">
        <w:rPr>
          <w:rFonts w:ascii="David" w:hAnsi="David" w:cs="David"/>
          <w:i/>
          <w:iCs/>
          <w:rtl/>
          <w:lang w:eastAsia="he-IL"/>
        </w:rPr>
        <w:t xml:space="preserve"> (נבו):</w:t>
      </w:r>
    </w:p>
    <w:p w:rsidR="00044AE3" w:rsidRPr="00A038F8" w:rsidRDefault="00044AE3" w:rsidP="00DC707C">
      <w:pPr>
        <w:suppressLineNumbers/>
        <w:tabs>
          <w:tab w:val="left" w:pos="1276"/>
          <w:tab w:val="left" w:pos="1367"/>
        </w:tabs>
        <w:spacing w:after="0" w:line="360" w:lineRule="auto"/>
        <w:ind w:left="1417" w:right="2268" w:firstLine="6"/>
        <w:jc w:val="both"/>
        <w:rPr>
          <w:rFonts w:ascii="Narkisim" w:hAnsi="Narkisim" w:cs="Narkisim"/>
          <w:i/>
          <w:iCs/>
          <w:rtl/>
          <w:lang w:eastAsia="he-IL"/>
        </w:rPr>
      </w:pPr>
      <w:r w:rsidRPr="00A038F8">
        <w:rPr>
          <w:rFonts w:ascii="Narkisim" w:hAnsi="Narkisim" w:cs="Narkisim"/>
          <w:i/>
          <w:iCs/>
          <w:rtl/>
          <w:lang w:eastAsia="he-IL"/>
        </w:rPr>
        <w:t>לפני שאנתח כל אחת מחוות הדעת בנפרד, מן הראוי להבהיר כי מבין כל השיטות האפשריות לשום מקרקעין, עדיפה זו הנקראת "השוואתית" והמבוססת על עסקאות שבוצעו לערך באותו פרק זמן במקרקעין שנתוניהם דומים לנכס נשוא הדיון. העובדה המוכחת שפלוני שילם עבור נכס דומה סכום ידוע, מהווה את הבסיס הטוב והבטוח ביותר לקביעת הפיצוי בהתאם</w:t>
      </w:r>
      <w:r w:rsidRPr="00A038F8">
        <w:rPr>
          <w:rFonts w:ascii="Narkisim" w:hAnsi="Narkisim" w:cs="Narkisim"/>
          <w:i/>
          <w:iCs/>
          <w:lang w:eastAsia="he-IL"/>
        </w:rPr>
        <w:t>.</w:t>
      </w:r>
    </w:p>
    <w:p w:rsidR="00044AE3" w:rsidRPr="00A038F8" w:rsidRDefault="00044AE3" w:rsidP="009C663B">
      <w:pPr>
        <w:suppressLineNumbers/>
        <w:tabs>
          <w:tab w:val="left" w:pos="1083"/>
          <w:tab w:val="left" w:pos="1367"/>
        </w:tabs>
        <w:spacing w:before="240" w:after="240" w:line="360" w:lineRule="auto"/>
        <w:ind w:left="992" w:right="1418"/>
        <w:jc w:val="both"/>
        <w:rPr>
          <w:rFonts w:ascii="David" w:hAnsi="David" w:cs="David"/>
          <w:i/>
          <w:iCs/>
          <w:lang w:eastAsia="he-IL"/>
        </w:rPr>
      </w:pPr>
      <w:r w:rsidRPr="00A038F8">
        <w:rPr>
          <w:rFonts w:ascii="David" w:hAnsi="David" w:cs="David"/>
          <w:i/>
          <w:iCs/>
          <w:rtl/>
          <w:lang w:eastAsia="he-IL"/>
        </w:rPr>
        <w:t>עדיפותה של שיטת ההשוואה, כפי שבאה לידי ביטוי בהלכות בית המשפט העליון דלעיל, באה לידי ביטוי גם בהטמעתה של גישה זו בשני תקנים יסודיים של הוועדה לתקינה שמאית במשרד המשפטים לקביעת גישות שומה: תקן מספר 2.0</w:t>
      </w:r>
      <w:r w:rsidRPr="00A038F8">
        <w:rPr>
          <w:rFonts w:ascii="David" w:hAnsi="David" w:cs="David"/>
          <w:i/>
          <w:iCs/>
          <w:vertAlign w:val="superscript"/>
          <w:rtl/>
          <w:lang w:eastAsia="he-IL"/>
        </w:rPr>
        <w:footnoteReference w:id="12"/>
      </w:r>
      <w:r w:rsidRPr="00A038F8">
        <w:rPr>
          <w:rFonts w:ascii="David" w:hAnsi="David" w:cs="David"/>
          <w:i/>
          <w:iCs/>
          <w:rtl/>
          <w:lang w:eastAsia="he-IL"/>
        </w:rPr>
        <w:t xml:space="preserve"> ותקן מספר 3.0</w:t>
      </w:r>
      <w:r w:rsidRPr="00A038F8">
        <w:rPr>
          <w:rFonts w:ascii="David" w:hAnsi="David" w:cs="David"/>
          <w:i/>
          <w:iCs/>
          <w:vertAlign w:val="superscript"/>
          <w:rtl/>
          <w:lang w:eastAsia="he-IL"/>
        </w:rPr>
        <w:footnoteReference w:id="13"/>
      </w:r>
      <w:r w:rsidRPr="00A038F8">
        <w:rPr>
          <w:rFonts w:ascii="David" w:hAnsi="David" w:cs="David"/>
          <w:i/>
          <w:iCs/>
          <w:rtl/>
          <w:lang w:eastAsia="he-IL"/>
        </w:rPr>
        <w:t xml:space="preserve">. בתקנים אלה מפורטים הגורמים המשפיעים על רמת התוקף שיש לייחס לכל גישת שומה, את חסרונותיה ויתרונותיה. </w:t>
      </w:r>
    </w:p>
    <w:p w:rsidR="00044AE3" w:rsidRPr="00A038F8" w:rsidRDefault="00044AE3" w:rsidP="009C663B">
      <w:pPr>
        <w:suppressLineNumbers/>
        <w:tabs>
          <w:tab w:val="left" w:pos="1083"/>
          <w:tab w:val="left" w:pos="1367"/>
        </w:tabs>
        <w:spacing w:before="240" w:after="240" w:line="360" w:lineRule="auto"/>
        <w:ind w:left="992" w:right="1418"/>
        <w:jc w:val="both"/>
        <w:rPr>
          <w:rFonts w:ascii="David" w:hAnsi="David" w:cs="David"/>
          <w:i/>
          <w:iCs/>
          <w:rtl/>
          <w:lang w:eastAsia="he-IL"/>
        </w:rPr>
      </w:pPr>
      <w:r w:rsidRPr="00A038F8">
        <w:rPr>
          <w:rFonts w:ascii="David" w:hAnsi="David" w:cs="David"/>
          <w:i/>
          <w:iCs/>
          <w:rtl/>
          <w:lang w:eastAsia="he-IL"/>
        </w:rPr>
        <w:t xml:space="preserve">נראה כי גישה זו עולה בקנה אחד גם אם לשון </w:t>
      </w:r>
      <w:hyperlink r:id="rId55" w:history="1">
        <w:r w:rsidRPr="00A038F8">
          <w:rPr>
            <w:rStyle w:val="Hyperlink"/>
            <w:rFonts w:ascii="David" w:hAnsi="David" w:cs="David"/>
            <w:i/>
            <w:iCs/>
            <w:rtl/>
            <w:lang w:eastAsia="he-IL"/>
          </w:rPr>
          <w:t>סעיף 4(7)</w:t>
        </w:r>
      </w:hyperlink>
      <w:r w:rsidRPr="00A038F8">
        <w:rPr>
          <w:rFonts w:ascii="David" w:hAnsi="David" w:cs="David"/>
          <w:i/>
          <w:iCs/>
          <w:rtl/>
          <w:lang w:eastAsia="he-IL"/>
        </w:rPr>
        <w:t xml:space="preserve"> לתוספת השלישית הקובע כי: "השומה תיערך ליום תחילת התכנית, או ליום אישור ההקלה או השימוש החורג, לפי העניין, בהתחשב בעליית ערך המקרקעין וכאילו נמכרו בשוק חופשי". אכן דרך המלך לחישוב ההשבחה היא חישוב שווי השוק ביחס לעיניו של קונה מרצון כך קבע בית המשפט העליון: "הנוסחה שאימץ המחוקק להערכת </w:t>
      </w:r>
      <w:proofErr w:type="spellStart"/>
      <w:r w:rsidRPr="00A038F8">
        <w:rPr>
          <w:rFonts w:ascii="David" w:hAnsi="David" w:cs="David"/>
          <w:i/>
          <w:iCs/>
          <w:rtl/>
          <w:lang w:eastAsia="he-IL"/>
        </w:rPr>
        <w:t>שוויים</w:t>
      </w:r>
      <w:proofErr w:type="spellEnd"/>
      <w:r w:rsidRPr="00A038F8">
        <w:rPr>
          <w:rFonts w:ascii="David" w:hAnsi="David" w:cs="David"/>
          <w:i/>
          <w:iCs/>
          <w:rtl/>
          <w:lang w:eastAsia="he-IL"/>
        </w:rPr>
        <w:t xml:space="preserve"> של מקרקעין לצורך שומת היטל ההשבחה היא "שווי השוק", לאמור המחיר שהיה מתקבל כתוצאה </w:t>
      </w:r>
      <w:proofErr w:type="spellStart"/>
      <w:r w:rsidRPr="00A038F8">
        <w:rPr>
          <w:rFonts w:ascii="David" w:hAnsi="David" w:cs="David"/>
          <w:i/>
          <w:iCs/>
          <w:rtl/>
          <w:lang w:eastAsia="he-IL"/>
        </w:rPr>
        <w:t>מעיסקה</w:t>
      </w:r>
      <w:proofErr w:type="spellEnd"/>
      <w:r w:rsidRPr="00A038F8">
        <w:rPr>
          <w:rFonts w:ascii="David" w:hAnsi="David" w:cs="David"/>
          <w:i/>
          <w:iCs/>
          <w:rtl/>
          <w:lang w:eastAsia="he-IL"/>
        </w:rPr>
        <w:t xml:space="preserve"> המתבצעת בשוק החופשי בין מוכר מרצון לקונה מרצון. מבחן זה, המבוסס על יסודות אובייקטיבים וערכי שוק חופשי, גלום בו איזון ראוי של אינטרסים, הן של הפרט הן של הרשות הציבורית, ונעשה בו שימוש בתחומי חקיקה שונים". (רע"א 4487/01‏ </w:t>
      </w:r>
      <w:r w:rsidRPr="00A038F8">
        <w:rPr>
          <w:rFonts w:ascii="David" w:hAnsi="David" w:cs="David"/>
          <w:b/>
          <w:bCs/>
          <w:i/>
          <w:iCs/>
          <w:rtl/>
          <w:lang w:eastAsia="he-IL"/>
        </w:rPr>
        <w:t xml:space="preserve">הוועדה המקומית לתכנון ולבנייה, רחובות נ' מ. </w:t>
      </w:r>
      <w:proofErr w:type="spellStart"/>
      <w:r w:rsidRPr="00A038F8">
        <w:rPr>
          <w:rFonts w:ascii="David" w:hAnsi="David" w:cs="David"/>
          <w:b/>
          <w:bCs/>
          <w:i/>
          <w:iCs/>
          <w:rtl/>
          <w:lang w:eastAsia="he-IL"/>
        </w:rPr>
        <w:t>לוסטרניק</w:t>
      </w:r>
      <w:proofErr w:type="spellEnd"/>
      <w:r w:rsidRPr="00A038F8">
        <w:rPr>
          <w:rFonts w:ascii="David" w:hAnsi="David" w:cs="David"/>
          <w:b/>
          <w:bCs/>
          <w:i/>
          <w:iCs/>
          <w:rtl/>
          <w:lang w:eastAsia="he-IL"/>
        </w:rPr>
        <w:t xml:space="preserve"> ובנו חברה להנדסה ובניין בע"</w:t>
      </w:r>
      <w:r w:rsidRPr="00A038F8">
        <w:rPr>
          <w:rFonts w:ascii="David" w:hAnsi="David" w:cs="David"/>
          <w:i/>
          <w:iCs/>
          <w:rtl/>
          <w:lang w:eastAsia="he-IL"/>
        </w:rPr>
        <w:t>מ (נבו)).</w:t>
      </w:r>
    </w:p>
    <w:p w:rsidR="00044AE3" w:rsidRPr="00A038F8" w:rsidRDefault="00044AE3" w:rsidP="009C663B">
      <w:pPr>
        <w:suppressLineNumbers/>
        <w:tabs>
          <w:tab w:val="left" w:pos="1083"/>
          <w:tab w:val="left" w:pos="1367"/>
        </w:tabs>
        <w:spacing w:before="240" w:after="240" w:line="360" w:lineRule="auto"/>
        <w:ind w:left="992" w:right="1418"/>
        <w:jc w:val="both"/>
        <w:rPr>
          <w:rFonts w:ascii="David" w:hAnsi="David" w:cs="David"/>
          <w:i/>
          <w:iCs/>
          <w:lang w:eastAsia="he-IL"/>
        </w:rPr>
      </w:pPr>
      <w:r w:rsidRPr="00A038F8">
        <w:rPr>
          <w:rFonts w:ascii="David" w:hAnsi="David" w:cs="David"/>
          <w:i/>
          <w:iCs/>
          <w:rtl/>
          <w:lang w:eastAsia="he-IL"/>
        </w:rPr>
        <w:t>המושג "שווי השוק" של זכויות בנכס מקרקעין מוגדר גם במילון התקינה השמאית: "המחיר הסביר ביותר להתקבל, במונחי כסף, עבור זכות במקרקעין, בשוק פתוח, תחרותי ובזמן חשיפה ראוי, תחת כל התנאים הנדרשים למכירה נאותה, כשהמוכר והקונה פועלים באופן מושכל ואינם מושפעים משיקולים מיוחדים"</w:t>
      </w:r>
      <w:r w:rsidRPr="00A038F8">
        <w:rPr>
          <w:rFonts w:ascii="David" w:hAnsi="David" w:cs="David"/>
          <w:i/>
          <w:iCs/>
          <w:vertAlign w:val="superscript"/>
          <w:rtl/>
          <w:lang w:eastAsia="he-IL"/>
        </w:rPr>
        <w:footnoteReference w:id="14"/>
      </w:r>
      <w:r w:rsidRPr="00A038F8">
        <w:rPr>
          <w:rFonts w:ascii="David" w:hAnsi="David" w:cs="David"/>
          <w:i/>
          <w:iCs/>
          <w:rtl/>
          <w:lang w:eastAsia="he-IL"/>
        </w:rPr>
        <w:t>.</w:t>
      </w:r>
    </w:p>
    <w:p w:rsidR="00044AE3" w:rsidRPr="00A038F8" w:rsidRDefault="00044AE3" w:rsidP="009C663B">
      <w:pPr>
        <w:suppressLineNumbers/>
        <w:tabs>
          <w:tab w:val="left" w:pos="1083"/>
          <w:tab w:val="left" w:pos="1367"/>
        </w:tabs>
        <w:spacing w:before="240" w:after="240" w:line="360" w:lineRule="auto"/>
        <w:ind w:left="992" w:right="1418"/>
        <w:jc w:val="both"/>
        <w:rPr>
          <w:rFonts w:ascii="David" w:hAnsi="David" w:cs="David"/>
          <w:i/>
          <w:iCs/>
          <w:rtl/>
          <w:lang w:eastAsia="he-IL"/>
        </w:rPr>
      </w:pPr>
      <w:r w:rsidRPr="00A038F8">
        <w:rPr>
          <w:rFonts w:ascii="David" w:hAnsi="David" w:cs="David"/>
          <w:i/>
          <w:iCs/>
          <w:rtl/>
          <w:lang w:eastAsia="he-IL"/>
        </w:rPr>
        <w:t>מקביעות אלו עולה כי שיטת ההשוואה משקפת ומגלמת למעשה את כל התנאים הקיימים ב"שוק החופשי" במועד הקובע, ככלל, בלא צורך בהערכה ובהשערה חיצונית (מלבד התאמות מקובלות) ועל כן משקפת ודאות ויציבות ואובייקטיבית, שככלל אינה מושפעת משיקולים סובייקטיביים.</w:t>
      </w:r>
    </w:p>
    <w:p w:rsidR="00F17972" w:rsidRDefault="00F17972" w:rsidP="00A038F8">
      <w:pPr>
        <w:pStyle w:val="a9"/>
        <w:numPr>
          <w:ilvl w:val="0"/>
          <w:numId w:val="1"/>
        </w:numPr>
        <w:tabs>
          <w:tab w:val="left" w:pos="425"/>
        </w:tabs>
        <w:spacing w:line="360" w:lineRule="auto"/>
        <w:ind w:left="357"/>
        <w:contextualSpacing w:val="0"/>
        <w:jc w:val="both"/>
        <w:rPr>
          <w:rFonts w:ascii="David" w:hAnsi="David" w:cs="David"/>
        </w:rPr>
      </w:pPr>
      <w:r>
        <w:rPr>
          <w:rFonts w:ascii="David" w:hAnsi="David" w:cs="David" w:hint="cs"/>
          <w:rtl/>
        </w:rPr>
        <w:t xml:space="preserve">כן ר' דברי בית המשפט המחוזי שניתן ממש לאחרונה מפי כב' </w:t>
      </w:r>
      <w:proofErr w:type="spellStart"/>
      <w:r>
        <w:rPr>
          <w:rFonts w:ascii="David" w:hAnsi="David" w:cs="David" w:hint="cs"/>
          <w:rtl/>
        </w:rPr>
        <w:t>הש</w:t>
      </w:r>
      <w:proofErr w:type="spellEnd"/>
      <w:r>
        <w:rPr>
          <w:rFonts w:ascii="David" w:hAnsi="David" w:cs="David" w:hint="cs"/>
          <w:rtl/>
        </w:rPr>
        <w:t xml:space="preserve">' גלעד הס בעניין </w:t>
      </w:r>
      <w:proofErr w:type="spellStart"/>
      <w:r>
        <w:rPr>
          <w:rFonts w:ascii="David" w:hAnsi="David" w:cs="David" w:hint="cs"/>
          <w:rtl/>
        </w:rPr>
        <w:t>עמ"נ</w:t>
      </w:r>
      <w:proofErr w:type="spellEnd"/>
      <w:r>
        <w:rPr>
          <w:rFonts w:ascii="David" w:hAnsi="David" w:cs="David" w:hint="cs"/>
          <w:rtl/>
        </w:rPr>
        <w:t xml:space="preserve"> 18341-09024 </w:t>
      </w:r>
      <w:r w:rsidRPr="00F17972">
        <w:rPr>
          <w:rFonts w:ascii="David" w:hAnsi="David" w:cs="David" w:hint="cs"/>
          <w:b/>
          <w:bCs/>
          <w:u w:val="single"/>
          <w:rtl/>
        </w:rPr>
        <w:t>הועדה המקומית לתכנון ולבניה תל אביב יפו נ' נועה לב' ואח'</w:t>
      </w:r>
      <w:r>
        <w:rPr>
          <w:rFonts w:ascii="David" w:hAnsi="David" w:cs="David" w:hint="cs"/>
          <w:rtl/>
        </w:rPr>
        <w:t xml:space="preserve">  (נבו 26.6.25) , עמ' 9-11 פסקאות </w:t>
      </w:r>
      <w:r w:rsidR="005E3BD5">
        <w:rPr>
          <w:rFonts w:ascii="David" w:hAnsi="David" w:cs="David" w:hint="cs"/>
          <w:rtl/>
        </w:rPr>
        <w:t xml:space="preserve">35-36 לפסק הדין. </w:t>
      </w:r>
    </w:p>
    <w:p w:rsidR="00987BC3" w:rsidRDefault="00987BC3" w:rsidP="00987BC3">
      <w:pPr>
        <w:tabs>
          <w:tab w:val="left" w:pos="425"/>
        </w:tabs>
        <w:spacing w:line="360" w:lineRule="auto"/>
        <w:jc w:val="both"/>
        <w:rPr>
          <w:rFonts w:ascii="David" w:hAnsi="David" w:cs="David"/>
          <w:rtl/>
        </w:rPr>
      </w:pPr>
    </w:p>
    <w:p w:rsidR="00987BC3" w:rsidRPr="00CD4258" w:rsidRDefault="00987BC3" w:rsidP="00CD4258">
      <w:pPr>
        <w:tabs>
          <w:tab w:val="left" w:pos="425"/>
        </w:tabs>
        <w:spacing w:line="360" w:lineRule="auto"/>
        <w:jc w:val="both"/>
        <w:rPr>
          <w:rFonts w:ascii="David" w:hAnsi="David" w:cs="David"/>
        </w:rPr>
      </w:pPr>
    </w:p>
    <w:p w:rsidR="00BE0AA6" w:rsidRDefault="00BE0AA6" w:rsidP="00A038F8">
      <w:pPr>
        <w:pStyle w:val="a9"/>
        <w:numPr>
          <w:ilvl w:val="0"/>
          <w:numId w:val="1"/>
        </w:numPr>
        <w:tabs>
          <w:tab w:val="left" w:pos="425"/>
        </w:tabs>
        <w:spacing w:line="360" w:lineRule="auto"/>
        <w:ind w:left="357"/>
        <w:contextualSpacing w:val="0"/>
        <w:jc w:val="both"/>
        <w:rPr>
          <w:rFonts w:ascii="David" w:hAnsi="David" w:cs="David"/>
        </w:rPr>
      </w:pPr>
      <w:r>
        <w:rPr>
          <w:rFonts w:ascii="David" w:hAnsi="David" w:cs="David" w:hint="cs"/>
          <w:rtl/>
        </w:rPr>
        <w:t xml:space="preserve">על כן, </w:t>
      </w:r>
      <w:r w:rsidRPr="00F17972">
        <w:rPr>
          <w:rFonts w:ascii="David" w:hAnsi="David" w:cs="David" w:hint="cs"/>
          <w:b/>
          <w:bCs/>
          <w:rtl/>
        </w:rPr>
        <w:t xml:space="preserve">ברי כי התחשבות השמאית המכריעה בעסקאות ההשוואה היא </w:t>
      </w:r>
      <w:r w:rsidR="00EA090E" w:rsidRPr="00F17972">
        <w:rPr>
          <w:rFonts w:ascii="David" w:hAnsi="David" w:cs="David" w:hint="cs"/>
          <w:b/>
          <w:bCs/>
          <w:rtl/>
        </w:rPr>
        <w:t>ה</w:t>
      </w:r>
      <w:r w:rsidRPr="00F17972">
        <w:rPr>
          <w:rFonts w:ascii="David" w:hAnsi="David" w:cs="David" w:hint="cs"/>
          <w:b/>
          <w:bCs/>
          <w:rtl/>
        </w:rPr>
        <w:t>נכונה</w:t>
      </w:r>
      <w:r w:rsidR="00EA090E" w:rsidRPr="00F17972">
        <w:rPr>
          <w:rFonts w:ascii="David" w:hAnsi="David" w:cs="David" w:hint="cs"/>
          <w:b/>
          <w:bCs/>
          <w:rtl/>
        </w:rPr>
        <w:t xml:space="preserve"> ואף הגישה המועדפת</w:t>
      </w:r>
      <w:r w:rsidRPr="00F17972">
        <w:rPr>
          <w:rFonts w:ascii="David" w:hAnsi="David" w:cs="David" w:hint="cs"/>
          <w:b/>
          <w:bCs/>
          <w:rtl/>
        </w:rPr>
        <w:t xml:space="preserve">. </w:t>
      </w:r>
      <w:r w:rsidRPr="00C72F0C">
        <w:rPr>
          <w:rFonts w:ascii="David" w:hAnsi="David" w:cs="David" w:hint="cs"/>
          <w:rtl/>
        </w:rPr>
        <w:t xml:space="preserve">כמו </w:t>
      </w:r>
      <w:r>
        <w:rPr>
          <w:rFonts w:ascii="David" w:hAnsi="David" w:cs="David" w:hint="cs"/>
          <w:rtl/>
        </w:rPr>
        <w:t>כן לגבי הסכמי השכירות שמביאים שמאי החברה</w:t>
      </w:r>
      <w:r w:rsidR="004757E2">
        <w:rPr>
          <w:rFonts w:ascii="David" w:hAnsi="David" w:cs="David" w:hint="cs"/>
          <w:rtl/>
        </w:rPr>
        <w:t>,</w:t>
      </w:r>
      <w:r>
        <w:rPr>
          <w:rFonts w:ascii="David" w:hAnsi="David" w:cs="David" w:hint="cs"/>
          <w:rtl/>
        </w:rPr>
        <w:t xml:space="preserve"> אכן ניתן לערוך שומה בשיטת היוון ההכנסות</w:t>
      </w:r>
      <w:r w:rsidR="00DC707C">
        <w:rPr>
          <w:rFonts w:ascii="David" w:hAnsi="David" w:cs="David" w:hint="cs"/>
          <w:rtl/>
        </w:rPr>
        <w:t>,</w:t>
      </w:r>
      <w:r>
        <w:rPr>
          <w:rFonts w:ascii="David" w:hAnsi="David" w:cs="David" w:hint="cs"/>
          <w:rtl/>
        </w:rPr>
        <w:t xml:space="preserve"> אולם כאמור, שיטת ההשוואה היא השיטה העדיפה ואילו לגבי שיטת היוון ההכנסות, לא זו בלבד שאין העדפה לשיטה זו</w:t>
      </w:r>
      <w:r w:rsidR="00DC707C">
        <w:rPr>
          <w:rFonts w:ascii="David" w:hAnsi="David" w:cs="David" w:hint="cs"/>
          <w:rtl/>
        </w:rPr>
        <w:t>,</w:t>
      </w:r>
      <w:r>
        <w:rPr>
          <w:rFonts w:ascii="David" w:hAnsi="David" w:cs="David" w:hint="cs"/>
          <w:rtl/>
        </w:rPr>
        <w:t xml:space="preserve">  אלא שהתקן לא נתן לה כל משקל</w:t>
      </w:r>
      <w:r w:rsidR="004757E2">
        <w:rPr>
          <w:rFonts w:ascii="David" w:hAnsi="David" w:cs="David" w:hint="cs"/>
          <w:rtl/>
        </w:rPr>
        <w:t>,</w:t>
      </w:r>
      <w:r>
        <w:rPr>
          <w:rFonts w:ascii="David" w:hAnsi="David" w:cs="David" w:hint="cs"/>
          <w:rtl/>
        </w:rPr>
        <w:t xml:space="preserve"> </w:t>
      </w:r>
      <w:r w:rsidR="00C01CE2">
        <w:rPr>
          <w:rFonts w:ascii="David" w:hAnsi="David" w:cs="David" w:hint="cs"/>
          <w:rtl/>
        </w:rPr>
        <w:t xml:space="preserve">ולא </w:t>
      </w:r>
      <w:r>
        <w:rPr>
          <w:rFonts w:ascii="David" w:hAnsi="David" w:cs="David" w:hint="cs"/>
          <w:rtl/>
        </w:rPr>
        <w:t xml:space="preserve">ייחס לשיטה זו </w:t>
      </w:r>
      <w:r w:rsidR="00C01CE2">
        <w:rPr>
          <w:rFonts w:ascii="David" w:hAnsi="David" w:cs="David" w:hint="cs"/>
          <w:rtl/>
        </w:rPr>
        <w:t xml:space="preserve">כל תוקף (ואף לא </w:t>
      </w:r>
      <w:r>
        <w:rPr>
          <w:rFonts w:ascii="David" w:hAnsi="David" w:cs="David" w:hint="cs"/>
          <w:rtl/>
        </w:rPr>
        <w:t>תוקף נמוך</w:t>
      </w:r>
      <w:r w:rsidR="00C01CE2">
        <w:rPr>
          <w:rFonts w:ascii="David" w:hAnsi="David" w:cs="David" w:hint="cs"/>
          <w:rtl/>
        </w:rPr>
        <w:t>)</w:t>
      </w:r>
      <w:r>
        <w:rPr>
          <w:rFonts w:ascii="David" w:hAnsi="David" w:cs="David" w:hint="cs"/>
          <w:rtl/>
        </w:rPr>
        <w:t xml:space="preserve"> בעת עריכת שומה לדירות מגורים בבנייה רוויה.</w:t>
      </w:r>
    </w:p>
    <w:p w:rsidR="002110F7" w:rsidRDefault="00B729C7" w:rsidP="00A038F8">
      <w:pPr>
        <w:pStyle w:val="a9"/>
        <w:numPr>
          <w:ilvl w:val="0"/>
          <w:numId w:val="1"/>
        </w:numPr>
        <w:tabs>
          <w:tab w:val="left" w:pos="425"/>
        </w:tabs>
        <w:spacing w:line="360" w:lineRule="auto"/>
        <w:ind w:left="357"/>
        <w:contextualSpacing w:val="0"/>
        <w:jc w:val="both"/>
        <w:rPr>
          <w:rFonts w:ascii="David" w:hAnsi="David" w:cs="David"/>
        </w:rPr>
      </w:pPr>
      <w:r w:rsidRPr="002110F7">
        <w:rPr>
          <w:rFonts w:ascii="David" w:hAnsi="David" w:cs="David" w:hint="cs"/>
          <w:rtl/>
        </w:rPr>
        <w:t>נציין כי שיטת היוון ההכנסות מחייבת</w:t>
      </w:r>
      <w:r w:rsidR="002110F7">
        <w:rPr>
          <w:rFonts w:ascii="David" w:hAnsi="David" w:cs="David" w:hint="cs"/>
          <w:rtl/>
        </w:rPr>
        <w:t xml:space="preserve"> חישוב הערך הנוכחי של הכנסות השכירות הצפויות, תוך שימוש בשער ההיוון המתאים להכנסות אלה. לטענת החברה שער ההיוון הנכון הינו 3% לשנה, אולם כאשר </w:t>
      </w:r>
      <w:r w:rsidR="00A038F8">
        <w:rPr>
          <w:rFonts w:ascii="David" w:hAnsi="David" w:cs="David" w:hint="cs"/>
          <w:rtl/>
        </w:rPr>
        <w:t>ענייננו</w:t>
      </w:r>
      <w:r w:rsidR="00C01CE2">
        <w:rPr>
          <w:rFonts w:ascii="David" w:hAnsi="David" w:cs="David" w:hint="cs"/>
          <w:rtl/>
        </w:rPr>
        <w:t xml:space="preserve"> </w:t>
      </w:r>
      <w:r w:rsidR="002110F7">
        <w:rPr>
          <w:rFonts w:ascii="David" w:hAnsi="David" w:cs="David" w:hint="cs"/>
          <w:rtl/>
        </w:rPr>
        <w:t xml:space="preserve">בשכונה בעלת אוכלוסייה ברמה סוציו אקונומית שאינה מן הגבוהות, </w:t>
      </w:r>
      <w:r w:rsidR="00C01CE2">
        <w:rPr>
          <w:rFonts w:ascii="David" w:hAnsi="David" w:cs="David" w:hint="cs"/>
          <w:rtl/>
        </w:rPr>
        <w:t>ובנכסים הדורשים תשומות אחזקה ניהול וגבייה גבוהות יחסית לשווי</w:t>
      </w:r>
      <w:r w:rsidR="0044000D">
        <w:rPr>
          <w:rFonts w:ascii="David" w:hAnsi="David" w:cs="David" w:hint="cs"/>
          <w:rtl/>
        </w:rPr>
        <w:t xml:space="preserve">ם ולהכנסות מהם </w:t>
      </w:r>
      <w:r w:rsidR="002110F7">
        <w:rPr>
          <w:rFonts w:ascii="David" w:hAnsi="David" w:cs="David" w:hint="cs"/>
          <w:rtl/>
        </w:rPr>
        <w:t xml:space="preserve">הדעת נותנת כי משקיע סביר </w:t>
      </w:r>
      <w:r w:rsidR="0044000D">
        <w:rPr>
          <w:rFonts w:ascii="David" w:hAnsi="David" w:cs="David" w:hint="cs"/>
          <w:rtl/>
        </w:rPr>
        <w:t>ייאות להשקיע בהם אך כאשר שיעור התשואה הצפויה מהם תהא גבוהה יחסית לנכסי מגורים אחרים, והמשמעות הינה כי</w:t>
      </w:r>
      <w:r w:rsidR="002110F7">
        <w:rPr>
          <w:rFonts w:ascii="David" w:hAnsi="David" w:cs="David" w:hint="cs"/>
          <w:rtl/>
        </w:rPr>
        <w:t xml:space="preserve"> יביא בחשבון שער היוון גבוה יותר, משער </w:t>
      </w:r>
      <w:r w:rsidR="00682B2C">
        <w:rPr>
          <w:rFonts w:ascii="David" w:hAnsi="David" w:cs="David" w:hint="cs"/>
          <w:rtl/>
        </w:rPr>
        <w:t>ה</w:t>
      </w:r>
      <w:r w:rsidR="002110F7">
        <w:rPr>
          <w:rFonts w:ascii="David" w:hAnsi="David" w:cs="David" w:hint="cs"/>
          <w:rtl/>
        </w:rPr>
        <w:t xml:space="preserve">היוון המקובל בהיוון דמי שכירות למגורים באזורים אחרים. </w:t>
      </w:r>
    </w:p>
    <w:p w:rsidR="002110F7" w:rsidRPr="00AC787C" w:rsidRDefault="002110F7" w:rsidP="00A038F8">
      <w:pPr>
        <w:pStyle w:val="a9"/>
        <w:numPr>
          <w:ilvl w:val="0"/>
          <w:numId w:val="1"/>
        </w:numPr>
        <w:tabs>
          <w:tab w:val="left" w:pos="425"/>
        </w:tabs>
        <w:spacing w:line="360" w:lineRule="auto"/>
        <w:ind w:left="357"/>
        <w:contextualSpacing w:val="0"/>
        <w:jc w:val="both"/>
        <w:rPr>
          <w:rFonts w:ascii="David" w:hAnsi="David" w:cs="David"/>
        </w:rPr>
      </w:pPr>
      <w:r w:rsidRPr="00AC787C">
        <w:rPr>
          <w:rFonts w:ascii="David" w:hAnsi="David" w:cs="David" w:hint="cs"/>
          <w:rtl/>
        </w:rPr>
        <w:t>שיטת היוון ההכנסות רגישה מאוד לשינוי בשערי ההיוון</w:t>
      </w:r>
      <w:r w:rsidR="00AC787C" w:rsidRPr="00AC787C">
        <w:rPr>
          <w:rFonts w:ascii="David" w:hAnsi="David" w:cs="David" w:hint="cs"/>
          <w:rtl/>
        </w:rPr>
        <w:t xml:space="preserve">, ר' לעניין זה </w:t>
      </w:r>
      <w:proofErr w:type="spellStart"/>
      <w:r w:rsidR="00AC787C" w:rsidRPr="00AC787C">
        <w:rPr>
          <w:rFonts w:ascii="David" w:hAnsi="David" w:cs="David"/>
          <w:rtl/>
        </w:rPr>
        <w:t>וע</w:t>
      </w:r>
      <w:proofErr w:type="spellEnd"/>
      <w:r w:rsidR="00AC787C" w:rsidRPr="00AC787C">
        <w:rPr>
          <w:rFonts w:ascii="David" w:hAnsi="David" w:cs="David"/>
          <w:rtl/>
        </w:rPr>
        <w:t xml:space="preserve"> (ת"א) 22605-02-19 </w:t>
      </w:r>
      <w:r w:rsidR="00AC787C" w:rsidRPr="00C72F0C">
        <w:rPr>
          <w:rFonts w:ascii="David" w:hAnsi="David" w:cs="David"/>
          <w:b/>
          <w:bCs/>
          <w:u w:val="single"/>
          <w:rtl/>
        </w:rPr>
        <w:t>רוק גלן אחזקות בע"מ נ' מנהל מיסוי מקרקעין ת"א</w:t>
      </w:r>
      <w:r w:rsidR="00AC787C" w:rsidRPr="00AC787C">
        <w:rPr>
          <w:rFonts w:ascii="David" w:hAnsi="David" w:cs="David" w:hint="cs"/>
          <w:rtl/>
        </w:rPr>
        <w:t xml:space="preserve"> בראשות כב' </w:t>
      </w:r>
      <w:proofErr w:type="spellStart"/>
      <w:r w:rsidR="00AC787C" w:rsidRPr="00AC787C">
        <w:rPr>
          <w:rFonts w:ascii="David" w:hAnsi="David" w:cs="David" w:hint="cs"/>
          <w:rtl/>
        </w:rPr>
        <w:t>הש</w:t>
      </w:r>
      <w:proofErr w:type="spellEnd"/>
      <w:r w:rsidR="00AC787C" w:rsidRPr="00AC787C">
        <w:rPr>
          <w:rFonts w:ascii="David" w:hAnsi="David" w:cs="David" w:hint="cs"/>
          <w:rtl/>
        </w:rPr>
        <w:t xml:space="preserve">' הרי </w:t>
      </w:r>
      <w:proofErr w:type="spellStart"/>
      <w:r w:rsidR="00AC787C" w:rsidRPr="00AC787C">
        <w:rPr>
          <w:rFonts w:ascii="David" w:hAnsi="David" w:cs="David" w:hint="cs"/>
          <w:rtl/>
        </w:rPr>
        <w:t>קירש</w:t>
      </w:r>
      <w:proofErr w:type="spellEnd"/>
      <w:r w:rsidR="00AC787C" w:rsidRPr="00AC787C">
        <w:rPr>
          <w:rFonts w:ascii="David" w:hAnsi="David" w:cs="David" w:hint="cs"/>
          <w:rtl/>
        </w:rPr>
        <w:t xml:space="preserve"> לפיו  </w:t>
      </w:r>
      <w:r w:rsidR="00AC787C" w:rsidRPr="00A038F8">
        <w:rPr>
          <w:rFonts w:ascii="David" w:hAnsi="David" w:cs="David"/>
          <w:i/>
          <w:iCs/>
          <w:rtl/>
        </w:rPr>
        <w:t xml:space="preserve">"קיימת </w:t>
      </w:r>
      <w:r w:rsidR="00AC787C" w:rsidRPr="00A038F8">
        <w:rPr>
          <w:rFonts w:ascii="David" w:hAnsi="David" w:cs="David"/>
          <w:b/>
          <w:bCs/>
          <w:i/>
          <w:iCs/>
          <w:rtl/>
        </w:rPr>
        <w:t>רגישות</w:t>
      </w:r>
      <w:r w:rsidR="00AC787C" w:rsidRPr="00A038F8">
        <w:rPr>
          <w:rFonts w:ascii="David" w:hAnsi="David" w:cs="David"/>
          <w:i/>
          <w:iCs/>
          <w:rtl/>
        </w:rPr>
        <w:t xml:space="preserve"> ממשית לשיעור ההיוון הנבחר לצורך היוון תזרים דמי השכירות"</w:t>
      </w:r>
      <w:r w:rsidR="00AC787C" w:rsidRPr="00AC787C">
        <w:rPr>
          <w:rFonts w:ascii="David" w:hAnsi="David" w:cs="David" w:hint="cs"/>
          <w:rtl/>
        </w:rPr>
        <w:t xml:space="preserve"> כן ר' </w:t>
      </w:r>
      <w:r w:rsidR="005D1D47" w:rsidRPr="00AC787C">
        <w:rPr>
          <w:rFonts w:ascii="David" w:hAnsi="David" w:cs="David"/>
          <w:rtl/>
        </w:rPr>
        <w:t xml:space="preserve">ערר (חי') 82022-10-21 </w:t>
      </w:r>
      <w:r w:rsidR="005D1D47" w:rsidRPr="00AC787C">
        <w:rPr>
          <w:rFonts w:ascii="David" w:hAnsi="David" w:cs="David"/>
          <w:b/>
          <w:bCs/>
          <w:u w:val="single"/>
          <w:rtl/>
        </w:rPr>
        <w:t>חברת החשמל לישראל בע"מ נ' הוועדה המקומית לתכנון ולבנייה חדרה</w:t>
      </w:r>
      <w:r w:rsidR="005D1D47" w:rsidRPr="00AC787C">
        <w:rPr>
          <w:rFonts w:ascii="David" w:hAnsi="David" w:cs="David" w:hint="cs"/>
          <w:rtl/>
        </w:rPr>
        <w:t xml:space="preserve"> (נבו 1.5.23)</w:t>
      </w:r>
      <w:r w:rsidR="003B60B5" w:rsidRPr="00AC787C">
        <w:rPr>
          <w:rFonts w:ascii="David" w:hAnsi="David" w:cs="David" w:hint="cs"/>
          <w:rtl/>
        </w:rPr>
        <w:t xml:space="preserve"> ;</w:t>
      </w:r>
      <w:r w:rsidR="003B60B5" w:rsidRPr="00AC787C">
        <w:rPr>
          <w:rFonts w:ascii="David" w:hAnsi="David" w:cs="David"/>
        </w:rPr>
        <w:t xml:space="preserve"> </w:t>
      </w:r>
      <w:r w:rsidR="003B60B5" w:rsidRPr="00AC787C">
        <w:rPr>
          <w:rFonts w:ascii="David" w:hAnsi="David" w:cs="David"/>
          <w:rtl/>
          <w:lang w:eastAsia="he-IL"/>
        </w:rPr>
        <w:t xml:space="preserve">ערר (דרום) 6034/14  </w:t>
      </w:r>
      <w:proofErr w:type="spellStart"/>
      <w:r w:rsidR="003B60B5" w:rsidRPr="00AC787C">
        <w:rPr>
          <w:rFonts w:ascii="David" w:hAnsi="David" w:cs="David"/>
          <w:b/>
          <w:bCs/>
          <w:u w:val="single"/>
          <w:rtl/>
          <w:lang w:eastAsia="he-IL"/>
        </w:rPr>
        <w:t>טריפל</w:t>
      </w:r>
      <w:proofErr w:type="spellEnd"/>
      <w:r w:rsidR="003B60B5" w:rsidRPr="00AC787C">
        <w:rPr>
          <w:rFonts w:ascii="David" w:hAnsi="David" w:cs="David"/>
          <w:b/>
          <w:bCs/>
          <w:u w:val="single"/>
          <w:rtl/>
          <w:lang w:eastAsia="he-IL"/>
        </w:rPr>
        <w:t xml:space="preserve"> מ - תחנות </w:t>
      </w:r>
      <w:proofErr w:type="spellStart"/>
      <w:r w:rsidR="003B60B5" w:rsidRPr="00AC787C">
        <w:rPr>
          <w:rFonts w:ascii="David" w:hAnsi="David" w:cs="David"/>
          <w:b/>
          <w:bCs/>
          <w:u w:val="single"/>
          <w:rtl/>
          <w:lang w:eastAsia="he-IL"/>
        </w:rPr>
        <w:t>כח</w:t>
      </w:r>
      <w:proofErr w:type="spellEnd"/>
      <w:r w:rsidR="003B60B5" w:rsidRPr="00AC787C">
        <w:rPr>
          <w:rFonts w:ascii="David" w:hAnsi="David" w:cs="David"/>
          <w:b/>
          <w:bCs/>
          <w:u w:val="single"/>
          <w:rtl/>
          <w:lang w:eastAsia="he-IL"/>
        </w:rPr>
        <w:t xml:space="preserve"> בע"מ נ' הועדה המקומית לתכנון ובניה באר-טוביה</w:t>
      </w:r>
      <w:r w:rsidR="003B60B5" w:rsidRPr="00AC787C">
        <w:rPr>
          <w:rFonts w:ascii="David" w:hAnsi="David" w:cs="David"/>
          <w:b/>
          <w:bCs/>
          <w:u w:val="single"/>
        </w:rPr>
        <w:t xml:space="preserve"> </w:t>
      </w:r>
      <w:r w:rsidR="003B60B5" w:rsidRPr="00AC787C">
        <w:rPr>
          <w:rFonts w:ascii="David" w:hAnsi="David" w:cs="David" w:hint="cs"/>
          <w:rtl/>
        </w:rPr>
        <w:t>(2.6.16)</w:t>
      </w:r>
      <w:r w:rsidR="003B60B5" w:rsidRPr="00AC787C">
        <w:rPr>
          <w:rFonts w:ascii="David" w:hAnsi="David" w:cs="David"/>
        </w:rPr>
        <w:t xml:space="preserve"> </w:t>
      </w:r>
      <w:r w:rsidR="00F900F6" w:rsidRPr="00AC787C">
        <w:rPr>
          <w:rFonts w:ascii="David" w:hAnsi="David" w:cs="David"/>
        </w:rPr>
        <w:t xml:space="preserve"> </w:t>
      </w:r>
      <w:r w:rsidR="00F900F6" w:rsidRPr="00AC787C">
        <w:rPr>
          <w:rFonts w:ascii="David" w:hAnsi="David" w:cs="David" w:hint="cs"/>
          <w:rtl/>
        </w:rPr>
        <w:t xml:space="preserve"> (להלן </w:t>
      </w:r>
      <w:r w:rsidR="00F900F6" w:rsidRPr="00AC787C">
        <w:rPr>
          <w:rFonts w:ascii="David" w:hAnsi="David" w:cs="David"/>
          <w:rtl/>
        </w:rPr>
        <w:t>–</w:t>
      </w:r>
      <w:r w:rsidR="00F900F6" w:rsidRPr="00AC787C">
        <w:rPr>
          <w:rFonts w:ascii="David" w:hAnsi="David" w:cs="David" w:hint="cs"/>
          <w:rtl/>
        </w:rPr>
        <w:t>"</w:t>
      </w:r>
      <w:proofErr w:type="spellStart"/>
      <w:r w:rsidR="00F900F6" w:rsidRPr="00AC787C">
        <w:rPr>
          <w:rFonts w:ascii="David" w:hAnsi="David" w:cs="David" w:hint="cs"/>
          <w:b/>
          <w:bCs/>
          <w:rtl/>
        </w:rPr>
        <w:t>טריפל</w:t>
      </w:r>
      <w:proofErr w:type="spellEnd"/>
      <w:r w:rsidR="00F900F6" w:rsidRPr="00AC787C">
        <w:rPr>
          <w:rFonts w:ascii="David" w:hAnsi="David" w:cs="David" w:hint="cs"/>
          <w:rtl/>
        </w:rPr>
        <w:t xml:space="preserve">") </w:t>
      </w:r>
      <w:r w:rsidRPr="00AC787C">
        <w:rPr>
          <w:rFonts w:ascii="David" w:hAnsi="David" w:cs="David" w:hint="cs"/>
          <w:rtl/>
        </w:rPr>
        <w:t xml:space="preserve">ועל כן, כל שינוי בשער ההיוון אף אם הוא קטן יכול להוביל לשינוי גדול בתוצאת השווי המתקבלת. </w:t>
      </w:r>
    </w:p>
    <w:p w:rsidR="00F900F6" w:rsidRDefault="00F900F6" w:rsidP="00A038F8">
      <w:pPr>
        <w:pStyle w:val="a9"/>
        <w:tabs>
          <w:tab w:val="left" w:pos="425"/>
        </w:tabs>
        <w:spacing w:line="360" w:lineRule="auto"/>
        <w:ind w:left="357"/>
        <w:contextualSpacing w:val="0"/>
        <w:jc w:val="both"/>
        <w:rPr>
          <w:rFonts w:ascii="David" w:hAnsi="David" w:cs="David"/>
          <w:rtl/>
        </w:rPr>
      </w:pPr>
      <w:r>
        <w:rPr>
          <w:rFonts w:ascii="David" w:hAnsi="David" w:cs="David" w:hint="cs"/>
          <w:rtl/>
        </w:rPr>
        <w:t>ר' דברים שנקבעו בין השאר בעניין "</w:t>
      </w:r>
      <w:proofErr w:type="spellStart"/>
      <w:r>
        <w:rPr>
          <w:rFonts w:ascii="David" w:hAnsi="David" w:cs="David" w:hint="cs"/>
          <w:rtl/>
        </w:rPr>
        <w:t>טריפל</w:t>
      </w:r>
      <w:proofErr w:type="spellEnd"/>
      <w:r>
        <w:rPr>
          <w:rFonts w:ascii="David" w:hAnsi="David" w:cs="David" w:hint="cs"/>
          <w:rtl/>
        </w:rPr>
        <w:t xml:space="preserve">" </w:t>
      </w:r>
      <w:r w:rsidR="00AC787C">
        <w:rPr>
          <w:rFonts w:ascii="David" w:hAnsi="David" w:cs="David" w:hint="cs"/>
          <w:rtl/>
        </w:rPr>
        <w:t xml:space="preserve">בראשות כב' היו"ר דאז עו"ד בנימין </w:t>
      </w:r>
      <w:proofErr w:type="spellStart"/>
      <w:r w:rsidR="00AC787C">
        <w:rPr>
          <w:rFonts w:ascii="David" w:hAnsi="David" w:cs="David" w:hint="cs"/>
          <w:rtl/>
        </w:rPr>
        <w:t>זלמנוביץ</w:t>
      </w:r>
      <w:proofErr w:type="spellEnd"/>
      <w:r w:rsidR="00AC787C">
        <w:rPr>
          <w:rFonts w:ascii="David" w:hAnsi="David" w:cs="David" w:hint="cs"/>
          <w:rtl/>
        </w:rPr>
        <w:t xml:space="preserve">, שם מונה השמאי המייעץ אייל יצחקי בציינו בין היתר כדלקמן: </w:t>
      </w:r>
    </w:p>
    <w:p w:rsidR="00F900F6" w:rsidRPr="00A038F8" w:rsidRDefault="00F900F6" w:rsidP="00F900F6">
      <w:pPr>
        <w:pStyle w:val="a9"/>
        <w:tabs>
          <w:tab w:val="left" w:pos="1417"/>
        </w:tabs>
        <w:spacing w:line="360" w:lineRule="auto"/>
        <w:ind w:left="992" w:right="1134"/>
        <w:jc w:val="both"/>
        <w:rPr>
          <w:rFonts w:cs="David"/>
          <w:b/>
          <w:bCs/>
          <w:i/>
          <w:iCs/>
          <w:sz w:val="22"/>
          <w:szCs w:val="22"/>
          <w:rtl/>
        </w:rPr>
      </w:pPr>
      <w:r w:rsidRPr="00A038F8">
        <w:rPr>
          <w:rFonts w:cs="David"/>
          <w:b/>
          <w:bCs/>
          <w:i/>
          <w:iCs/>
          <w:sz w:val="22"/>
          <w:szCs w:val="22"/>
          <w:rtl/>
        </w:rPr>
        <w:t>"ביחס למבחן הרגישות, סבור השמאי שבניתוח רגישות לשני משתנים מרכזיים בגישת היוון ההכנסות... ושער הריבית להיוון מתקבלת תוצאה לפיה ה"המודל רגיש מאוד" לשינויים. ...</w:t>
      </w:r>
    </w:p>
    <w:p w:rsidR="00F900F6" w:rsidRPr="00A038F8" w:rsidRDefault="00F900F6" w:rsidP="00F900F6">
      <w:pPr>
        <w:pStyle w:val="a9"/>
        <w:tabs>
          <w:tab w:val="left" w:pos="1417"/>
        </w:tabs>
        <w:spacing w:line="360" w:lineRule="auto"/>
        <w:ind w:left="992" w:right="1134"/>
        <w:jc w:val="both"/>
        <w:rPr>
          <w:rFonts w:cs="David"/>
          <w:b/>
          <w:bCs/>
          <w:i/>
          <w:iCs/>
          <w:sz w:val="22"/>
          <w:szCs w:val="22"/>
          <w:rtl/>
        </w:rPr>
      </w:pPr>
      <w:r w:rsidRPr="00A038F8">
        <w:rPr>
          <w:rFonts w:cs="David"/>
          <w:b/>
          <w:bCs/>
          <w:i/>
          <w:iCs/>
          <w:sz w:val="22"/>
          <w:szCs w:val="22"/>
          <w:rtl/>
        </w:rPr>
        <w:t>תוספת של אחוז אחד בשיעור ההי</w:t>
      </w:r>
      <w:r w:rsidR="00C72F0C" w:rsidRPr="00A038F8">
        <w:rPr>
          <w:rFonts w:cs="David" w:hint="eastAsia"/>
          <w:b/>
          <w:bCs/>
          <w:i/>
          <w:iCs/>
          <w:sz w:val="22"/>
          <w:szCs w:val="22"/>
          <w:rtl/>
        </w:rPr>
        <w:t>ו</w:t>
      </w:r>
      <w:r w:rsidRPr="00A038F8">
        <w:rPr>
          <w:rFonts w:cs="David"/>
          <w:b/>
          <w:bCs/>
          <w:i/>
          <w:iCs/>
          <w:sz w:val="22"/>
          <w:szCs w:val="22"/>
          <w:rtl/>
        </w:rPr>
        <w:t>ון תביא להשבחה אפסית וירידה של אחוז אחד בשיעור ההיוון תביא להכפלת ההשבחה.... שהמודל בעל מהימנות נמוכה במידה כזו שקשה לבסס עליו שווי.</w:t>
      </w:r>
    </w:p>
    <w:p w:rsidR="00F900F6" w:rsidRPr="00A038F8" w:rsidRDefault="00F900F6" w:rsidP="00F900F6">
      <w:pPr>
        <w:pStyle w:val="a9"/>
        <w:tabs>
          <w:tab w:val="left" w:pos="1417"/>
        </w:tabs>
        <w:spacing w:line="360" w:lineRule="auto"/>
        <w:ind w:left="992" w:right="1134"/>
        <w:jc w:val="both"/>
        <w:rPr>
          <w:rFonts w:cs="David"/>
          <w:b/>
          <w:bCs/>
          <w:i/>
          <w:iCs/>
          <w:sz w:val="22"/>
          <w:szCs w:val="22"/>
          <w:rtl/>
        </w:rPr>
      </w:pPr>
      <w:r w:rsidRPr="00A038F8">
        <w:rPr>
          <w:rFonts w:cs="David"/>
          <w:b/>
          <w:bCs/>
          <w:i/>
          <w:iCs/>
          <w:sz w:val="22"/>
          <w:szCs w:val="22"/>
          <w:rtl/>
        </w:rPr>
        <w:t>גישת השומה להיוון הוצאות והכנסות עתידיות אינה מתאימה בשל היותה רגישה מאוד לשינויים קטנים בהנחות העבודה</w:t>
      </w:r>
      <w:r w:rsidR="00AC787C" w:rsidRPr="00A038F8">
        <w:rPr>
          <w:rFonts w:cs="David"/>
          <w:b/>
          <w:bCs/>
          <w:i/>
          <w:iCs/>
          <w:sz w:val="22"/>
          <w:szCs w:val="22"/>
          <w:rtl/>
        </w:rPr>
        <w:t>".</w:t>
      </w:r>
    </w:p>
    <w:p w:rsidR="00AC787C" w:rsidRDefault="00AC787C" w:rsidP="00F900F6">
      <w:pPr>
        <w:pStyle w:val="a9"/>
        <w:tabs>
          <w:tab w:val="left" w:pos="1417"/>
        </w:tabs>
        <w:spacing w:line="360" w:lineRule="auto"/>
        <w:ind w:left="992" w:right="1134"/>
        <w:jc w:val="both"/>
        <w:rPr>
          <w:rFonts w:cs="David"/>
          <w:b/>
          <w:bCs/>
          <w:sz w:val="22"/>
          <w:szCs w:val="22"/>
          <w:rtl/>
        </w:rPr>
      </w:pPr>
    </w:p>
    <w:p w:rsidR="007D4C79" w:rsidRPr="000504E4" w:rsidRDefault="007D4C79" w:rsidP="00A81A18">
      <w:pPr>
        <w:pStyle w:val="a9"/>
        <w:numPr>
          <w:ilvl w:val="0"/>
          <w:numId w:val="1"/>
        </w:numPr>
        <w:tabs>
          <w:tab w:val="left" w:pos="425"/>
        </w:tabs>
        <w:spacing w:line="360" w:lineRule="auto"/>
        <w:jc w:val="both"/>
        <w:rPr>
          <w:rFonts w:ascii="David" w:hAnsi="David" w:cs="David"/>
        </w:rPr>
      </w:pPr>
      <w:r w:rsidRPr="000504E4">
        <w:rPr>
          <w:rFonts w:ascii="David" w:hAnsi="David" w:cs="David" w:hint="cs"/>
          <w:rtl/>
        </w:rPr>
        <w:t xml:space="preserve">נציין כי במסגרת החלטת הביניים מיום 8.6.2025 בה נשלחו בין היתר שאלות הבהרה לשמאית המכריעה נכתב בין היתר בהתייחס לטיעון החברה </w:t>
      </w:r>
      <w:r w:rsidR="007C11FA" w:rsidRPr="000504E4">
        <w:rPr>
          <w:rFonts w:ascii="David" w:hAnsi="David" w:cs="David" w:hint="cs"/>
          <w:rtl/>
        </w:rPr>
        <w:t>ביחס ל</w:t>
      </w:r>
      <w:r w:rsidRPr="000504E4">
        <w:rPr>
          <w:rFonts w:ascii="David" w:hAnsi="David" w:cs="David" w:hint="cs"/>
          <w:rtl/>
        </w:rPr>
        <w:t>קביעת שווי מ"ר מבונה במצב קודם לתכנית בי/517 כדלקמן:</w:t>
      </w:r>
    </w:p>
    <w:p w:rsidR="007D4C79" w:rsidRPr="00467B6F" w:rsidRDefault="007D4C79" w:rsidP="007D4C79">
      <w:pPr>
        <w:spacing w:line="360" w:lineRule="auto"/>
        <w:ind w:left="709" w:right="993"/>
        <w:jc w:val="both"/>
        <w:rPr>
          <w:rFonts w:ascii="David" w:hAnsi="David" w:cs="David"/>
          <w:i/>
          <w:iCs/>
          <w:rtl/>
        </w:rPr>
      </w:pPr>
      <w:r w:rsidRPr="00467B6F">
        <w:rPr>
          <w:rFonts w:ascii="David" w:hAnsi="David" w:cs="David"/>
          <w:i/>
          <w:iCs/>
          <w:rtl/>
        </w:rPr>
        <w:t xml:space="preserve">"בהתייחס לשווי מצב קודם טענה החברה כי השווי נמוך בצורה קיצונית שכן בהתאם לשומות המכריעות שווי דירת מגורים עובר לתכנית בי/517 הינו בממוצע 580,000 ₪ ואולם על בסיס הסכמי שכירות במתחם, שווי הדירות על פי היוון דמי השכירות בהנחה של תשואה שנתית בהיקף של 3% הינו בממוצע כ-1 </w:t>
      </w:r>
      <w:proofErr w:type="spellStart"/>
      <w:r w:rsidRPr="00467B6F">
        <w:rPr>
          <w:rFonts w:ascii="David" w:hAnsi="David" w:cs="David"/>
          <w:i/>
          <w:iCs/>
          <w:rtl/>
        </w:rPr>
        <w:t>מל"ש</w:t>
      </w:r>
      <w:proofErr w:type="spellEnd"/>
      <w:r w:rsidRPr="00467B6F">
        <w:rPr>
          <w:rFonts w:ascii="David" w:hAnsi="David" w:cs="David"/>
          <w:i/>
          <w:iCs/>
          <w:rtl/>
        </w:rPr>
        <w:t>, ללא רכיב פוטנציאל (פורטו טבלת נתונים של הסכמי שכירות)</w:t>
      </w:r>
      <w:r w:rsidRPr="00467B6F">
        <w:rPr>
          <w:rFonts w:ascii="David" w:hAnsi="David" w:cs="David"/>
          <w:b/>
          <w:bCs/>
          <w:i/>
          <w:iCs/>
          <w:rtl/>
        </w:rPr>
        <w:t xml:space="preserve">. </w:t>
      </w:r>
      <w:r w:rsidRPr="00467B6F">
        <w:rPr>
          <w:rFonts w:ascii="David" w:hAnsi="David" w:cs="David"/>
          <w:i/>
          <w:iCs/>
          <w:rtl/>
        </w:rPr>
        <w:t>אי לכך</w:t>
      </w:r>
      <w:r w:rsidRPr="00467B6F">
        <w:rPr>
          <w:rFonts w:ascii="David" w:hAnsi="David" w:cs="David"/>
          <w:b/>
          <w:bCs/>
          <w:i/>
          <w:iCs/>
          <w:rtl/>
        </w:rPr>
        <w:t xml:space="preserve"> </w:t>
      </w:r>
      <w:r w:rsidRPr="00467B6F">
        <w:rPr>
          <w:rFonts w:ascii="David" w:hAnsi="David" w:cs="David"/>
          <w:i/>
          <w:iCs/>
          <w:rtl/>
        </w:rPr>
        <w:t xml:space="preserve">ועל אף שועדת הערר ערה לתקינה השמאית (תקן מס' 2) ולסעיף 3 לה לפיה הערכת שווי דירות בנויות בבנייה רוויה יש לשום לפי "גישת ההשוואה", </w:t>
      </w:r>
      <w:r w:rsidRPr="00467B6F">
        <w:rPr>
          <w:rFonts w:ascii="David" w:hAnsi="David" w:cs="David"/>
          <w:b/>
          <w:bCs/>
          <w:i/>
          <w:iCs/>
          <w:rtl/>
        </w:rPr>
        <w:t>מתבקשת השמאית המכריעה להבהיר את מידת הרלוונטיות של נתוני השכירות במתחם ומדוע לא הביאה אותן בחשבון בתחשיביה. רק במידה ותסבור כי יש להן רלוונטיות באופן המצדיק תיקון השומות המכריעות, היא רשאית לעשות כן</w:t>
      </w:r>
      <w:r w:rsidRPr="00467B6F">
        <w:rPr>
          <w:rFonts w:ascii="David" w:hAnsi="David" w:cs="David"/>
          <w:i/>
          <w:iCs/>
          <w:rtl/>
        </w:rPr>
        <w:t xml:space="preserve">" </w:t>
      </w:r>
    </w:p>
    <w:p w:rsidR="007D4C79" w:rsidRDefault="007D4C79" w:rsidP="00A81A18">
      <w:pPr>
        <w:pStyle w:val="a9"/>
        <w:numPr>
          <w:ilvl w:val="0"/>
          <w:numId w:val="1"/>
        </w:numPr>
        <w:tabs>
          <w:tab w:val="left" w:pos="425"/>
        </w:tabs>
        <w:spacing w:line="360" w:lineRule="auto"/>
        <w:ind w:right="993"/>
        <w:jc w:val="both"/>
        <w:rPr>
          <w:rFonts w:ascii="David" w:hAnsi="David" w:cs="David"/>
        </w:rPr>
      </w:pPr>
      <w:r w:rsidRPr="000504E4">
        <w:rPr>
          <w:rFonts w:ascii="David" w:hAnsi="David" w:cs="David" w:hint="cs"/>
          <w:rtl/>
        </w:rPr>
        <w:t xml:space="preserve">בעניין זה </w:t>
      </w:r>
      <w:r w:rsidR="0028510F">
        <w:rPr>
          <w:rFonts w:ascii="David" w:hAnsi="David" w:cs="David" w:hint="cs"/>
          <w:rtl/>
        </w:rPr>
        <w:t xml:space="preserve"> השיבה השמאית המכריעה במסגרת </w:t>
      </w:r>
      <w:r w:rsidR="00095A69">
        <w:rPr>
          <w:rFonts w:ascii="David" w:hAnsi="David" w:cs="David" w:hint="cs"/>
          <w:rtl/>
        </w:rPr>
        <w:t>תשובה להבהרות מיום 25.6.2025</w:t>
      </w:r>
      <w:r w:rsidR="0028510F">
        <w:rPr>
          <w:rFonts w:ascii="David" w:hAnsi="David" w:cs="David" w:hint="cs"/>
          <w:rtl/>
        </w:rPr>
        <w:t xml:space="preserve"> כדלקמן:</w:t>
      </w:r>
    </w:p>
    <w:p w:rsidR="0028510F" w:rsidRDefault="00EE5BD1" w:rsidP="0028510F">
      <w:pPr>
        <w:pStyle w:val="a9"/>
        <w:tabs>
          <w:tab w:val="left" w:pos="425"/>
        </w:tabs>
        <w:spacing w:line="360" w:lineRule="auto"/>
        <w:ind w:left="360" w:right="993"/>
        <w:jc w:val="both"/>
        <w:rPr>
          <w:rFonts w:ascii="David" w:hAnsi="David" w:cs="David"/>
          <w:rtl/>
        </w:rPr>
      </w:pPr>
      <w:r w:rsidRPr="00EE5BD1">
        <w:rPr>
          <w:rFonts w:ascii="David" w:hAnsi="David" w:cs="David"/>
          <w:noProof/>
          <w:rtl/>
        </w:rPr>
        <w:drawing>
          <wp:inline distT="0" distB="0" distL="0" distR="0" wp14:anchorId="0D26E6AB" wp14:editId="286BD3E3">
            <wp:extent cx="4737100" cy="4114800"/>
            <wp:effectExtent l="0" t="0" r="6350" b="0"/>
            <wp:docPr id="11993084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0840" name=""/>
                    <pic:cNvPicPr/>
                  </pic:nvPicPr>
                  <pic:blipFill>
                    <a:blip r:embed="rId56"/>
                    <a:stretch>
                      <a:fillRect/>
                    </a:stretch>
                  </pic:blipFill>
                  <pic:spPr>
                    <a:xfrm>
                      <a:off x="0" y="0"/>
                      <a:ext cx="4737346" cy="4115014"/>
                    </a:xfrm>
                    <a:prstGeom prst="rect">
                      <a:avLst/>
                    </a:prstGeom>
                  </pic:spPr>
                </pic:pic>
              </a:graphicData>
            </a:graphic>
          </wp:inline>
        </w:drawing>
      </w:r>
    </w:p>
    <w:p w:rsidR="0028510F" w:rsidRPr="000504E4" w:rsidRDefault="00EE5BD1" w:rsidP="00DF266B">
      <w:pPr>
        <w:pStyle w:val="a9"/>
        <w:tabs>
          <w:tab w:val="left" w:pos="425"/>
        </w:tabs>
        <w:spacing w:line="360" w:lineRule="auto"/>
        <w:ind w:left="360" w:right="993"/>
        <w:rPr>
          <w:rFonts w:ascii="David" w:hAnsi="David" w:cs="David"/>
        </w:rPr>
      </w:pPr>
      <w:r>
        <w:rPr>
          <w:rFonts w:ascii="David" w:hAnsi="David" w:cs="David" w:hint="cs"/>
          <w:rtl/>
        </w:rPr>
        <w:t xml:space="preserve">          </w:t>
      </w:r>
      <w:r w:rsidRPr="00EE5BD1">
        <w:rPr>
          <w:rFonts w:ascii="David" w:hAnsi="David" w:cs="David"/>
          <w:noProof/>
          <w:rtl/>
        </w:rPr>
        <w:drawing>
          <wp:inline distT="0" distB="0" distL="0" distR="0" wp14:anchorId="4BAC73EC" wp14:editId="31E7F103">
            <wp:extent cx="3838580" cy="263864"/>
            <wp:effectExtent l="0" t="0" r="0" b="3175"/>
            <wp:docPr id="7126921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9218" name=""/>
                    <pic:cNvPicPr/>
                  </pic:nvPicPr>
                  <pic:blipFill>
                    <a:blip r:embed="rId57"/>
                    <a:stretch>
                      <a:fillRect/>
                    </a:stretch>
                  </pic:blipFill>
                  <pic:spPr>
                    <a:xfrm>
                      <a:off x="0" y="0"/>
                      <a:ext cx="4019799" cy="276321"/>
                    </a:xfrm>
                    <a:prstGeom prst="rect">
                      <a:avLst/>
                    </a:prstGeom>
                  </pic:spPr>
                </pic:pic>
              </a:graphicData>
            </a:graphic>
          </wp:inline>
        </w:drawing>
      </w:r>
    </w:p>
    <w:p w:rsidR="00C72F0C" w:rsidRDefault="00C72F0C" w:rsidP="00467B6F">
      <w:pPr>
        <w:pStyle w:val="a9"/>
        <w:numPr>
          <w:ilvl w:val="0"/>
          <w:numId w:val="1"/>
        </w:numPr>
        <w:tabs>
          <w:tab w:val="left" w:pos="425"/>
        </w:tabs>
        <w:spacing w:line="360" w:lineRule="auto"/>
        <w:ind w:left="357"/>
        <w:contextualSpacing w:val="0"/>
        <w:jc w:val="both"/>
        <w:rPr>
          <w:rFonts w:ascii="David" w:hAnsi="David" w:cs="David"/>
        </w:rPr>
      </w:pPr>
      <w:r w:rsidRPr="004757E2">
        <w:rPr>
          <w:rFonts w:ascii="David" w:hAnsi="David" w:cs="David" w:hint="cs"/>
          <w:u w:val="single"/>
          <w:rtl/>
        </w:rPr>
        <w:t>החברה</w:t>
      </w:r>
      <w:r>
        <w:rPr>
          <w:rFonts w:ascii="David" w:hAnsi="David" w:cs="David" w:hint="cs"/>
          <w:rtl/>
        </w:rPr>
        <w:t xml:space="preserve"> הגישה מצידה התייחסות לתשובת ההבהרה ולפיה</w:t>
      </w:r>
      <w:r w:rsidR="004757E2">
        <w:rPr>
          <w:rFonts w:ascii="David" w:hAnsi="David" w:cs="David" w:hint="cs"/>
          <w:rtl/>
        </w:rPr>
        <w:t xml:space="preserve">, </w:t>
      </w:r>
      <w:r>
        <w:rPr>
          <w:rFonts w:ascii="David" w:hAnsi="David" w:cs="David" w:hint="cs"/>
          <w:rtl/>
        </w:rPr>
        <w:t>היא חולקת על עמדת השמאית המכריעה וטוענת כי אין זה סביר שדווקא עבור דירות ישנות ורעועות יסכים שוכר לשלם שכר דירה יותר גבוה באופן יחסי</w:t>
      </w:r>
      <w:r w:rsidR="004757E2">
        <w:rPr>
          <w:rFonts w:ascii="David" w:hAnsi="David" w:cs="David" w:hint="cs"/>
          <w:rtl/>
        </w:rPr>
        <w:t xml:space="preserve"> מאשר יסכים לשלם</w:t>
      </w:r>
      <w:r w:rsidR="00D40A5C">
        <w:rPr>
          <w:rFonts w:ascii="David" w:hAnsi="David" w:cs="David" w:hint="cs"/>
          <w:rtl/>
        </w:rPr>
        <w:t xml:space="preserve"> שוכר </w:t>
      </w:r>
      <w:r w:rsidR="004757E2">
        <w:rPr>
          <w:rFonts w:ascii="David" w:hAnsi="David" w:cs="David" w:hint="cs"/>
          <w:rtl/>
        </w:rPr>
        <w:t xml:space="preserve"> </w:t>
      </w:r>
      <w:r>
        <w:rPr>
          <w:rFonts w:ascii="David" w:hAnsi="David" w:cs="David" w:hint="cs"/>
          <w:rtl/>
        </w:rPr>
        <w:t>עבור דירות ראויות באזור ביקוש גבוה</w:t>
      </w:r>
      <w:r w:rsidR="00D40A5C">
        <w:rPr>
          <w:rFonts w:ascii="David" w:hAnsi="David" w:cs="David" w:hint="cs"/>
          <w:rtl/>
        </w:rPr>
        <w:t>. כלומר לעמדת החברה המצב הוא בדיוק הפוך</w:t>
      </w:r>
      <w:r>
        <w:rPr>
          <w:rFonts w:ascii="David" w:hAnsi="David" w:cs="David" w:hint="cs"/>
          <w:rtl/>
        </w:rPr>
        <w:t>.</w:t>
      </w:r>
    </w:p>
    <w:p w:rsidR="00421F27" w:rsidRDefault="00421F27" w:rsidP="00467B6F">
      <w:pPr>
        <w:pStyle w:val="a9"/>
        <w:tabs>
          <w:tab w:val="left" w:pos="425"/>
        </w:tabs>
        <w:spacing w:line="360" w:lineRule="auto"/>
        <w:ind w:left="357"/>
        <w:contextualSpacing w:val="0"/>
        <w:jc w:val="both"/>
        <w:rPr>
          <w:rFonts w:ascii="David" w:hAnsi="David" w:cs="David"/>
          <w:rtl/>
        </w:rPr>
      </w:pPr>
      <w:r>
        <w:rPr>
          <w:rFonts w:ascii="David" w:hAnsi="David" w:cs="David" w:hint="cs"/>
          <w:rtl/>
        </w:rPr>
        <w:t>בנוסף טוענת החברה</w:t>
      </w:r>
      <w:r w:rsidR="00D40A5C">
        <w:rPr>
          <w:rFonts w:ascii="David" w:hAnsi="David" w:cs="David" w:hint="cs"/>
          <w:rtl/>
        </w:rPr>
        <w:t>,</w:t>
      </w:r>
      <w:r>
        <w:rPr>
          <w:rFonts w:ascii="David" w:hAnsi="David" w:cs="David" w:hint="cs"/>
          <w:rtl/>
        </w:rPr>
        <w:t xml:space="preserve"> כי שכר הדירה המשולם הינו רק בעבור עצם הזכאות למגורים ואינו מגלם פוטנציאל לעליית ערך. </w:t>
      </w:r>
    </w:p>
    <w:p w:rsidR="00C72F0C" w:rsidRDefault="00C72F0C" w:rsidP="00467B6F">
      <w:pPr>
        <w:pStyle w:val="a9"/>
        <w:tabs>
          <w:tab w:val="left" w:pos="425"/>
        </w:tabs>
        <w:spacing w:line="360" w:lineRule="auto"/>
        <w:ind w:left="357"/>
        <w:contextualSpacing w:val="0"/>
        <w:jc w:val="both"/>
        <w:rPr>
          <w:rFonts w:ascii="David" w:hAnsi="David" w:cs="David"/>
          <w:rtl/>
        </w:rPr>
      </w:pPr>
      <w:r w:rsidRPr="00D40A5C">
        <w:rPr>
          <w:rFonts w:ascii="David" w:hAnsi="David" w:cs="David" w:hint="cs"/>
          <w:u w:val="single"/>
          <w:rtl/>
        </w:rPr>
        <w:t>הועדה המקומית</w:t>
      </w:r>
      <w:r>
        <w:rPr>
          <w:rFonts w:ascii="David" w:hAnsi="David" w:cs="David" w:hint="cs"/>
          <w:rtl/>
        </w:rPr>
        <w:t xml:space="preserve"> לא הגישה התייחסות בנקודה זו. </w:t>
      </w:r>
    </w:p>
    <w:p w:rsidR="00987BC3" w:rsidRPr="00CD4258" w:rsidRDefault="00421F27" w:rsidP="00785478">
      <w:pPr>
        <w:pStyle w:val="a9"/>
        <w:tabs>
          <w:tab w:val="left" w:pos="425"/>
        </w:tabs>
        <w:spacing w:line="360" w:lineRule="auto"/>
        <w:ind w:left="357"/>
        <w:contextualSpacing w:val="0"/>
        <w:jc w:val="both"/>
        <w:rPr>
          <w:rFonts w:ascii="David" w:hAnsi="David" w:cs="David"/>
          <w:rtl/>
        </w:rPr>
      </w:pPr>
      <w:r>
        <w:rPr>
          <w:rFonts w:ascii="David" w:hAnsi="David" w:cs="David" w:hint="cs"/>
          <w:rtl/>
        </w:rPr>
        <w:t>ראשית טיעון החברה לעניין שכר דירה שישלם שוכר פוטנציאלי בדירות ישנות ורעועות לעומת שוכר פוטנציאלי בדירות ראויות באזור ביקוש</w:t>
      </w:r>
      <w:r w:rsidR="00D40A5C">
        <w:rPr>
          <w:rFonts w:ascii="David" w:hAnsi="David" w:cs="David" w:hint="cs"/>
          <w:rtl/>
        </w:rPr>
        <w:t>,</w:t>
      </w:r>
      <w:r>
        <w:rPr>
          <w:rFonts w:ascii="David" w:hAnsi="David" w:cs="David" w:hint="cs"/>
          <w:rtl/>
        </w:rPr>
        <w:t xml:space="preserve"> </w:t>
      </w:r>
      <w:r w:rsidR="00D944D9">
        <w:rPr>
          <w:rFonts w:ascii="David" w:hAnsi="David" w:cs="David" w:hint="cs"/>
          <w:rtl/>
        </w:rPr>
        <w:t>הגם שמתיימרת להיות מוצגת כשובת לב עומדת בניגוד להתנהלות שוק בכלליות</w:t>
      </w:r>
      <w:r w:rsidR="00D40A5C">
        <w:rPr>
          <w:rFonts w:ascii="David" w:hAnsi="David" w:cs="David" w:hint="cs"/>
          <w:rtl/>
        </w:rPr>
        <w:t>,</w:t>
      </w:r>
      <w:r w:rsidR="00D944D9">
        <w:rPr>
          <w:rFonts w:ascii="David" w:hAnsi="David" w:cs="David" w:hint="cs"/>
          <w:rtl/>
        </w:rPr>
        <w:t xml:space="preserve"> כך למשל, כאשר עניינינו בדירות ישנות ורעועות מצריכה הדירה הוצאות תחזוקה גבוהות ביחס לשוויה מאשר דירה ראויה במצב </w:t>
      </w:r>
      <w:r w:rsidR="00BC494D">
        <w:rPr>
          <w:rFonts w:ascii="David" w:hAnsi="David" w:cs="David" w:hint="cs"/>
          <w:rtl/>
        </w:rPr>
        <w:t xml:space="preserve">פיזי </w:t>
      </w:r>
      <w:r w:rsidR="00D944D9">
        <w:rPr>
          <w:rFonts w:ascii="David" w:hAnsi="David" w:cs="David" w:hint="cs"/>
          <w:rtl/>
        </w:rPr>
        <w:t>טוב</w:t>
      </w:r>
      <w:r w:rsidR="00D40A5C">
        <w:rPr>
          <w:rFonts w:ascii="David" w:hAnsi="David" w:cs="David" w:hint="cs"/>
          <w:rtl/>
        </w:rPr>
        <w:t>,</w:t>
      </w:r>
      <w:r w:rsidR="00BC494D">
        <w:rPr>
          <w:rFonts w:ascii="David" w:hAnsi="David" w:cs="David" w:hint="cs"/>
          <w:rtl/>
        </w:rPr>
        <w:t xml:space="preserve"> כפי שעמדה על כך השמאית המכריעה בתשובה להבהרות</w:t>
      </w:r>
      <w:r w:rsidR="00D944D9">
        <w:rPr>
          <w:rFonts w:ascii="David" w:hAnsi="David" w:cs="David" w:hint="cs"/>
          <w:rtl/>
        </w:rPr>
        <w:t xml:space="preserve">. </w:t>
      </w:r>
    </w:p>
    <w:p w:rsidR="00D944D9" w:rsidRPr="00987BC3" w:rsidRDefault="00D944D9" w:rsidP="00CD4258">
      <w:pPr>
        <w:pStyle w:val="a9"/>
        <w:tabs>
          <w:tab w:val="left" w:pos="425"/>
        </w:tabs>
        <w:spacing w:line="360" w:lineRule="auto"/>
        <w:ind w:left="357"/>
        <w:contextualSpacing w:val="0"/>
        <w:jc w:val="both"/>
      </w:pPr>
      <w:r>
        <w:rPr>
          <w:rFonts w:ascii="David" w:hAnsi="David" w:cs="David" w:hint="cs"/>
          <w:rtl/>
        </w:rPr>
        <w:t xml:space="preserve">מכל מקום, </w:t>
      </w:r>
      <w:r w:rsidR="00421F27">
        <w:rPr>
          <w:rFonts w:ascii="David" w:hAnsi="David" w:cs="David" w:hint="cs"/>
          <w:rtl/>
        </w:rPr>
        <w:t xml:space="preserve">כאשר אנו מדברים על שיעורי תשואה ושיעורי היוון הבחינה צריכה להיעשות בצורת "יחס" ולא בבחינה של </w:t>
      </w:r>
      <w:r w:rsidR="00BC494D">
        <w:rPr>
          <w:rFonts w:ascii="David" w:hAnsi="David" w:cs="David" w:hint="cs"/>
          <w:rtl/>
        </w:rPr>
        <w:t>"</w:t>
      </w:r>
      <w:r w:rsidR="00421F27">
        <w:rPr>
          <w:rFonts w:ascii="David" w:hAnsi="David" w:cs="David" w:hint="cs"/>
          <w:rtl/>
        </w:rPr>
        <w:t xml:space="preserve">ערך </w:t>
      </w:r>
      <w:r w:rsidR="00BC494D">
        <w:rPr>
          <w:rFonts w:ascii="David" w:hAnsi="David" w:cs="David" w:hint="cs"/>
          <w:rtl/>
        </w:rPr>
        <w:t xml:space="preserve">כספי </w:t>
      </w:r>
      <w:r w:rsidR="00421F27">
        <w:rPr>
          <w:rFonts w:ascii="David" w:hAnsi="David" w:cs="David" w:hint="cs"/>
          <w:rtl/>
        </w:rPr>
        <w:t>מוחלט</w:t>
      </w:r>
      <w:r w:rsidR="00BC494D">
        <w:rPr>
          <w:rFonts w:ascii="David" w:hAnsi="David" w:cs="David" w:hint="cs"/>
          <w:rtl/>
        </w:rPr>
        <w:t>"</w:t>
      </w:r>
      <w:r w:rsidR="00421F27">
        <w:rPr>
          <w:rFonts w:ascii="David" w:hAnsi="David" w:cs="David" w:hint="cs"/>
          <w:rtl/>
        </w:rPr>
        <w:t xml:space="preserve">. </w:t>
      </w:r>
      <w:r>
        <w:rPr>
          <w:rFonts w:ascii="David" w:hAnsi="David" w:cs="David" w:hint="cs"/>
          <w:rtl/>
        </w:rPr>
        <w:t>בעת בחינת היחס נבחנת התשואה השנתית שהיא מחולקת לסך שווי הדירה</w:t>
      </w:r>
      <w:r w:rsidR="00BC494D">
        <w:rPr>
          <w:rFonts w:ascii="David" w:hAnsi="David" w:cs="David" w:hint="cs"/>
          <w:rtl/>
        </w:rPr>
        <w:t>,</w:t>
      </w:r>
      <w:r>
        <w:rPr>
          <w:rFonts w:ascii="David" w:hAnsi="David" w:cs="David" w:hint="cs"/>
          <w:rtl/>
        </w:rPr>
        <w:t xml:space="preserve"> ולכן כאשר אנו משווים שכר דירה בין שכונות ברמה סוציו אקונומית גבוה</w:t>
      </w:r>
      <w:r w:rsidR="00BC494D">
        <w:rPr>
          <w:rFonts w:ascii="David" w:hAnsi="David" w:cs="David" w:hint="cs"/>
          <w:rtl/>
        </w:rPr>
        <w:t>ה</w:t>
      </w:r>
      <w:r>
        <w:rPr>
          <w:rFonts w:ascii="David" w:hAnsi="David" w:cs="David" w:hint="cs"/>
          <w:rtl/>
        </w:rPr>
        <w:t xml:space="preserve"> ל</w:t>
      </w:r>
      <w:r w:rsidR="00D40A5C">
        <w:rPr>
          <w:rFonts w:ascii="David" w:hAnsi="David" w:cs="David" w:hint="cs"/>
          <w:rtl/>
        </w:rPr>
        <w:t xml:space="preserve">רמה </w:t>
      </w:r>
      <w:r>
        <w:rPr>
          <w:rFonts w:ascii="David" w:hAnsi="David" w:cs="David" w:hint="cs"/>
          <w:rtl/>
        </w:rPr>
        <w:t>סוציו אקונומית נמוכה</w:t>
      </w:r>
      <w:r w:rsidR="00D40A5C">
        <w:rPr>
          <w:rFonts w:ascii="David" w:hAnsi="David" w:cs="David" w:hint="cs"/>
          <w:rtl/>
        </w:rPr>
        <w:t>,</w:t>
      </w:r>
      <w:r>
        <w:rPr>
          <w:rFonts w:ascii="David" w:hAnsi="David" w:cs="David" w:hint="cs"/>
          <w:rtl/>
        </w:rPr>
        <w:t xml:space="preserve"> הן שווי הדירה והן שכר הדירה המשולם יהיה גבוה יותר בשכונות </w:t>
      </w:r>
      <w:r w:rsidR="0044000D">
        <w:rPr>
          <w:rFonts w:ascii="David" w:hAnsi="David" w:cs="David" w:hint="cs"/>
          <w:rtl/>
        </w:rPr>
        <w:t xml:space="preserve">המתאפיינות </w:t>
      </w:r>
      <w:proofErr w:type="spellStart"/>
      <w:r w:rsidR="0044000D">
        <w:rPr>
          <w:rFonts w:ascii="David" w:hAnsi="David" w:cs="David" w:hint="cs"/>
          <w:rtl/>
        </w:rPr>
        <w:t>באוכלוסיה</w:t>
      </w:r>
      <w:proofErr w:type="spellEnd"/>
      <w:r w:rsidR="0044000D">
        <w:rPr>
          <w:rFonts w:ascii="David" w:hAnsi="David" w:cs="David" w:hint="cs"/>
          <w:rtl/>
        </w:rPr>
        <w:t xml:space="preserve"> במעמד כלכלי חברתי גבוה</w:t>
      </w:r>
      <w:r>
        <w:rPr>
          <w:rFonts w:ascii="David" w:hAnsi="David" w:cs="David" w:hint="cs"/>
          <w:rtl/>
        </w:rPr>
        <w:t xml:space="preserve">, אולם </w:t>
      </w:r>
      <w:r w:rsidR="0044000D">
        <w:rPr>
          <w:rFonts w:ascii="David" w:hAnsi="David" w:cs="David" w:hint="cs"/>
          <w:rtl/>
        </w:rPr>
        <w:t xml:space="preserve">אין </w:t>
      </w:r>
      <w:r>
        <w:rPr>
          <w:rFonts w:ascii="David" w:hAnsi="David" w:cs="David" w:hint="cs"/>
          <w:rtl/>
        </w:rPr>
        <w:t xml:space="preserve">משמעות הדבר </w:t>
      </w:r>
      <w:r w:rsidR="00BC494D">
        <w:rPr>
          <w:rFonts w:ascii="David" w:hAnsi="David" w:cs="David" w:hint="cs"/>
          <w:rtl/>
        </w:rPr>
        <w:t xml:space="preserve">היא </w:t>
      </w:r>
      <w:r>
        <w:rPr>
          <w:rFonts w:ascii="David" w:hAnsi="David" w:cs="David" w:hint="cs"/>
          <w:rtl/>
        </w:rPr>
        <w:t>כי היחס בין שכר הדירה ובין שווי הדירה יישאר קבוע</w:t>
      </w:r>
      <w:r w:rsidR="00BC494D">
        <w:rPr>
          <w:rFonts w:ascii="David" w:hAnsi="David" w:cs="David" w:hint="cs"/>
          <w:rtl/>
        </w:rPr>
        <w:t xml:space="preserve">. </w:t>
      </w:r>
    </w:p>
    <w:p w:rsidR="007C11FA" w:rsidRPr="000504E4" w:rsidRDefault="00BC494D" w:rsidP="00A81A18">
      <w:pPr>
        <w:pStyle w:val="a9"/>
        <w:numPr>
          <w:ilvl w:val="0"/>
          <w:numId w:val="1"/>
        </w:numPr>
        <w:tabs>
          <w:tab w:val="left" w:pos="425"/>
        </w:tabs>
        <w:spacing w:line="360" w:lineRule="auto"/>
        <w:jc w:val="both"/>
        <w:rPr>
          <w:rFonts w:ascii="David" w:hAnsi="David" w:cs="David"/>
        </w:rPr>
      </w:pPr>
      <w:r>
        <w:rPr>
          <w:rFonts w:ascii="David" w:hAnsi="David" w:cs="David" w:hint="cs"/>
          <w:rtl/>
        </w:rPr>
        <w:t>לסיכום כל האמור</w:t>
      </w:r>
      <w:r w:rsidR="00D40A5C">
        <w:rPr>
          <w:rFonts w:ascii="David" w:hAnsi="David" w:cs="David" w:hint="cs"/>
          <w:rtl/>
        </w:rPr>
        <w:t>,</w:t>
      </w:r>
      <w:r>
        <w:rPr>
          <w:rFonts w:ascii="David" w:hAnsi="David" w:cs="David" w:hint="cs"/>
          <w:rtl/>
        </w:rPr>
        <w:t xml:space="preserve"> קביעות השמאית המכריעה בשומות המכריעות וכן במסגרת תשוב</w:t>
      </w:r>
      <w:r w:rsidR="0044000D">
        <w:rPr>
          <w:rFonts w:ascii="David" w:hAnsi="David" w:cs="David" w:hint="cs"/>
          <w:rtl/>
        </w:rPr>
        <w:t>ת</w:t>
      </w:r>
      <w:r>
        <w:rPr>
          <w:rFonts w:ascii="David" w:hAnsi="David" w:cs="David" w:hint="cs"/>
          <w:rtl/>
        </w:rPr>
        <w:t>ה להבהרות</w:t>
      </w:r>
      <w:r w:rsidR="00EE5BD1">
        <w:rPr>
          <w:rFonts w:ascii="David" w:hAnsi="David" w:cs="David" w:hint="cs"/>
          <w:rtl/>
        </w:rPr>
        <w:t xml:space="preserve"> לרבות לעניין העדר התבססותה על אומדן שווי דירות על בסיס דמי השכירות</w:t>
      </w:r>
      <w:r>
        <w:rPr>
          <w:rFonts w:ascii="David" w:hAnsi="David" w:cs="David" w:hint="cs"/>
          <w:rtl/>
        </w:rPr>
        <w:t xml:space="preserve"> </w:t>
      </w:r>
      <w:r w:rsidR="0044000D">
        <w:rPr>
          <w:rFonts w:ascii="David" w:hAnsi="David" w:cs="David" w:hint="cs"/>
          <w:rtl/>
        </w:rPr>
        <w:t xml:space="preserve">- </w:t>
      </w:r>
      <w:r>
        <w:rPr>
          <w:rFonts w:ascii="David" w:hAnsi="David" w:cs="David" w:hint="cs"/>
          <w:rtl/>
        </w:rPr>
        <w:t>מקובלות עלינו. לכך</w:t>
      </w:r>
      <w:r w:rsidR="00EE5BD1">
        <w:rPr>
          <w:rFonts w:ascii="David" w:hAnsi="David" w:cs="David" w:hint="cs"/>
          <w:rtl/>
        </w:rPr>
        <w:t xml:space="preserve"> יש להוסיף, כי דווקא </w:t>
      </w:r>
      <w:r w:rsidR="007C11FA" w:rsidRPr="000504E4">
        <w:rPr>
          <w:rFonts w:ascii="David" w:hAnsi="David" w:cs="David" w:hint="cs"/>
          <w:rtl/>
        </w:rPr>
        <w:t xml:space="preserve">התבססותה </w:t>
      </w:r>
      <w:r w:rsidR="00EE5BD1">
        <w:rPr>
          <w:rFonts w:ascii="David" w:hAnsi="David" w:cs="David" w:hint="cs"/>
          <w:rtl/>
        </w:rPr>
        <w:t xml:space="preserve">של השמאית המכריעה </w:t>
      </w:r>
      <w:r w:rsidR="007C11FA" w:rsidRPr="000504E4">
        <w:rPr>
          <w:rFonts w:ascii="David" w:hAnsi="David" w:cs="David" w:hint="cs"/>
          <w:rtl/>
        </w:rPr>
        <w:t xml:space="preserve">על עסקאות בדירות </w:t>
      </w:r>
      <w:r w:rsidR="00EE5BD1">
        <w:rPr>
          <w:rFonts w:ascii="David" w:hAnsi="David" w:cs="David" w:hint="cs"/>
          <w:rtl/>
        </w:rPr>
        <w:t>המהוות תחשיב לפי</w:t>
      </w:r>
      <w:r w:rsidR="00F803E5">
        <w:rPr>
          <w:rFonts w:ascii="David" w:hAnsi="David" w:cs="David" w:hint="cs"/>
          <w:rtl/>
        </w:rPr>
        <w:t xml:space="preserve"> גישת ההשוואה </w:t>
      </w:r>
      <w:r w:rsidR="00EE5BD1">
        <w:rPr>
          <w:rFonts w:ascii="David" w:hAnsi="David" w:cs="David" w:hint="cs"/>
          <w:rtl/>
        </w:rPr>
        <w:t>שה</w:t>
      </w:r>
      <w:r w:rsidR="00F803E5">
        <w:rPr>
          <w:rFonts w:ascii="David" w:hAnsi="David" w:cs="David" w:hint="cs"/>
          <w:rtl/>
        </w:rPr>
        <w:t>ינה</w:t>
      </w:r>
      <w:r w:rsidR="007C11FA" w:rsidRPr="000504E4">
        <w:rPr>
          <w:rFonts w:ascii="David" w:hAnsi="David" w:cs="David" w:hint="cs"/>
          <w:rtl/>
        </w:rPr>
        <w:t xml:space="preserve"> </w:t>
      </w:r>
      <w:r w:rsidR="00EE5BD1">
        <w:rPr>
          <w:rFonts w:ascii="David" w:hAnsi="David" w:cs="David" w:hint="cs"/>
          <w:rtl/>
        </w:rPr>
        <w:t xml:space="preserve">כאמור </w:t>
      </w:r>
      <w:r w:rsidR="007C11FA" w:rsidRPr="000504E4">
        <w:rPr>
          <w:rFonts w:ascii="David" w:hAnsi="David" w:cs="David" w:hint="cs"/>
          <w:rtl/>
        </w:rPr>
        <w:t>בעלת התוקף הגבוה לשם הערכת שווי דירה בבניה רוויה</w:t>
      </w:r>
      <w:r w:rsidR="00F803E5">
        <w:rPr>
          <w:rFonts w:ascii="David" w:hAnsi="David" w:cs="David" w:hint="cs"/>
          <w:rtl/>
        </w:rPr>
        <w:t>,</w:t>
      </w:r>
      <w:r w:rsidR="007C11FA" w:rsidRPr="000504E4">
        <w:rPr>
          <w:rFonts w:ascii="David" w:hAnsi="David" w:cs="David" w:hint="cs"/>
          <w:rtl/>
        </w:rPr>
        <w:t xml:space="preserve"> </w:t>
      </w:r>
      <w:r w:rsidR="00EE5BD1">
        <w:rPr>
          <w:rFonts w:ascii="David" w:hAnsi="David" w:cs="David" w:hint="cs"/>
          <w:rtl/>
        </w:rPr>
        <w:t xml:space="preserve">היא הנכונה ועל כן הננו סבורים שלא נפל </w:t>
      </w:r>
      <w:r w:rsidR="007C11FA" w:rsidRPr="000504E4">
        <w:rPr>
          <w:rFonts w:ascii="David" w:hAnsi="David" w:cs="David" w:hint="cs"/>
          <w:rtl/>
        </w:rPr>
        <w:t xml:space="preserve">פגם בהכרעתה זו </w:t>
      </w:r>
      <w:r w:rsidR="00A84857">
        <w:rPr>
          <w:rFonts w:ascii="David" w:hAnsi="David" w:cs="David" w:hint="cs"/>
          <w:rtl/>
        </w:rPr>
        <w:t>ובוודאי</w:t>
      </w:r>
      <w:r w:rsidR="00EE5BD1">
        <w:rPr>
          <w:rFonts w:ascii="David" w:hAnsi="David" w:cs="David" w:hint="cs"/>
          <w:rtl/>
        </w:rPr>
        <w:t xml:space="preserve"> שאין מקום להתערב בהכרעתה </w:t>
      </w:r>
      <w:r w:rsidR="007C11FA" w:rsidRPr="000504E4">
        <w:rPr>
          <w:rFonts w:ascii="David" w:hAnsi="David" w:cs="David" w:hint="cs"/>
          <w:rtl/>
        </w:rPr>
        <w:t>ומשכך דין טענת החברה</w:t>
      </w:r>
      <w:r>
        <w:rPr>
          <w:rFonts w:ascii="David" w:hAnsi="David" w:cs="David" w:hint="cs"/>
          <w:rtl/>
        </w:rPr>
        <w:t xml:space="preserve"> בעניין</w:t>
      </w:r>
      <w:r w:rsidR="007C11FA" w:rsidRPr="000504E4">
        <w:rPr>
          <w:rFonts w:ascii="David" w:hAnsi="David" w:cs="David" w:hint="cs"/>
          <w:rtl/>
        </w:rPr>
        <w:t xml:space="preserve"> להידחות. </w:t>
      </w:r>
    </w:p>
    <w:p w:rsidR="007D4C79" w:rsidRPr="007C11FA" w:rsidRDefault="007D4C79" w:rsidP="007D4C79">
      <w:pPr>
        <w:pStyle w:val="a9"/>
        <w:tabs>
          <w:tab w:val="left" w:pos="425"/>
        </w:tabs>
        <w:spacing w:line="360" w:lineRule="auto"/>
        <w:ind w:left="360"/>
        <w:jc w:val="both"/>
        <w:rPr>
          <w:rFonts w:ascii="David" w:hAnsi="David" w:cs="David"/>
          <w:color w:val="EE0000"/>
        </w:rPr>
      </w:pPr>
    </w:p>
    <w:p w:rsidR="004B30C1" w:rsidRPr="00C24FD3" w:rsidRDefault="00232DBC" w:rsidP="00467B6F">
      <w:pPr>
        <w:pStyle w:val="2"/>
      </w:pPr>
      <w:bookmarkStart w:id="42" w:name="_Toc203992520"/>
      <w:bookmarkStart w:id="43" w:name="_Toc204504402"/>
      <w:r w:rsidRPr="00C24FD3">
        <w:rPr>
          <w:rFonts w:hint="cs"/>
          <w:rtl/>
        </w:rPr>
        <w:t>ג</w:t>
      </w:r>
      <w:r w:rsidR="004B30C1" w:rsidRPr="00C24FD3">
        <w:rPr>
          <w:rFonts w:hint="cs"/>
          <w:rtl/>
        </w:rPr>
        <w:t xml:space="preserve">. </w:t>
      </w:r>
      <w:r w:rsidR="00C24FD3" w:rsidRPr="00C24FD3">
        <w:rPr>
          <w:rFonts w:hint="cs"/>
          <w:rtl/>
        </w:rPr>
        <w:t xml:space="preserve">שאלת התחשבות </w:t>
      </w:r>
      <w:proofErr w:type="spellStart"/>
      <w:r w:rsidR="00C24FD3" w:rsidRPr="00C24FD3">
        <w:rPr>
          <w:rFonts w:hint="cs"/>
          <w:rtl/>
        </w:rPr>
        <w:t>בתמ"א</w:t>
      </w:r>
      <w:proofErr w:type="spellEnd"/>
      <w:r w:rsidR="00C24FD3" w:rsidRPr="00C24FD3">
        <w:rPr>
          <w:rFonts w:hint="cs"/>
          <w:rtl/>
        </w:rPr>
        <w:t xml:space="preserve"> 38 במצב קודם</w:t>
      </w:r>
      <w:bookmarkEnd w:id="42"/>
      <w:bookmarkEnd w:id="43"/>
      <w:r w:rsidR="00C24FD3" w:rsidRPr="00C24FD3">
        <w:rPr>
          <w:rFonts w:hint="cs"/>
          <w:rtl/>
        </w:rPr>
        <w:t xml:space="preserve"> </w:t>
      </w:r>
      <w:r w:rsidR="00502BD0" w:rsidRPr="00C24FD3">
        <w:rPr>
          <w:rFonts w:hint="cs"/>
          <w:rtl/>
        </w:rPr>
        <w:t xml:space="preserve"> </w:t>
      </w:r>
    </w:p>
    <w:p w:rsidR="00332D35" w:rsidRPr="00C24FD3" w:rsidRDefault="00332D35" w:rsidP="00332D35">
      <w:pPr>
        <w:spacing w:line="360" w:lineRule="auto"/>
        <w:jc w:val="both"/>
        <w:rPr>
          <w:rFonts w:ascii="David" w:hAnsi="David" w:cs="David"/>
          <w:u w:val="thick"/>
        </w:rPr>
      </w:pPr>
      <w:r w:rsidRPr="00C24FD3">
        <w:rPr>
          <w:rFonts w:ascii="David" w:hAnsi="David" w:cs="David" w:hint="cs"/>
          <w:u w:val="thick"/>
          <w:rtl/>
        </w:rPr>
        <w:t xml:space="preserve">טיעון החברה  </w:t>
      </w:r>
    </w:p>
    <w:p w:rsidR="00C24FD3" w:rsidRPr="00F90CB3" w:rsidRDefault="00C24FD3" w:rsidP="00467B6F">
      <w:pPr>
        <w:pStyle w:val="a9"/>
        <w:numPr>
          <w:ilvl w:val="0"/>
          <w:numId w:val="1"/>
        </w:numPr>
        <w:tabs>
          <w:tab w:val="left" w:pos="425"/>
        </w:tabs>
        <w:spacing w:line="360" w:lineRule="auto"/>
        <w:ind w:left="357" w:hanging="357"/>
        <w:contextualSpacing w:val="0"/>
        <w:jc w:val="both"/>
        <w:rPr>
          <w:rFonts w:ascii="David" w:hAnsi="David" w:cs="David"/>
          <w:rtl/>
        </w:rPr>
      </w:pPr>
      <w:r w:rsidRPr="005D0F54">
        <w:rPr>
          <w:rFonts w:ascii="David" w:hAnsi="David" w:cs="David" w:hint="cs"/>
          <w:rtl/>
        </w:rPr>
        <w:t xml:space="preserve">החברה משיגה כנגד קביעות השומה המכרעת לפיהן אין להביא בחשבון במצב קודם זכויות מכוח תמ"א 38 ונטרול עליית ערך הנובעת </w:t>
      </w:r>
      <w:proofErr w:type="spellStart"/>
      <w:r w:rsidRPr="005D0F54">
        <w:rPr>
          <w:rFonts w:ascii="David" w:hAnsi="David" w:cs="David" w:hint="cs"/>
          <w:rtl/>
        </w:rPr>
        <w:t>מתמ"א</w:t>
      </w:r>
      <w:proofErr w:type="spellEnd"/>
      <w:r w:rsidRPr="005D0F54">
        <w:rPr>
          <w:rFonts w:ascii="David" w:hAnsi="David" w:cs="David" w:hint="cs"/>
          <w:rtl/>
        </w:rPr>
        <w:t xml:space="preserve"> 38 על ידי קביעת מקדם הפחתה בשיעור של 10%. </w:t>
      </w:r>
    </w:p>
    <w:p w:rsidR="00C24FD3" w:rsidRDefault="00C24FD3" w:rsidP="00467B6F">
      <w:pPr>
        <w:pStyle w:val="a9"/>
        <w:numPr>
          <w:ilvl w:val="0"/>
          <w:numId w:val="1"/>
        </w:numPr>
        <w:tabs>
          <w:tab w:val="left" w:pos="425"/>
        </w:tabs>
        <w:spacing w:line="360" w:lineRule="auto"/>
        <w:contextualSpacing w:val="0"/>
        <w:jc w:val="both"/>
        <w:rPr>
          <w:rFonts w:ascii="David" w:hAnsi="David" w:cs="David"/>
        </w:rPr>
      </w:pPr>
      <w:r w:rsidRPr="005D0F54">
        <w:rPr>
          <w:rFonts w:ascii="David" w:hAnsi="David" w:cs="David" w:hint="cs"/>
          <w:rtl/>
        </w:rPr>
        <w:t xml:space="preserve">טענת החברה </w:t>
      </w:r>
      <w:r>
        <w:rPr>
          <w:rFonts w:ascii="David" w:hAnsi="David" w:cs="David" w:hint="cs"/>
          <w:rtl/>
        </w:rPr>
        <w:t xml:space="preserve">היא כי </w:t>
      </w:r>
      <w:r w:rsidRPr="005D0F54">
        <w:rPr>
          <w:rFonts w:ascii="David" w:hAnsi="David" w:cs="David" w:hint="cs"/>
          <w:rtl/>
        </w:rPr>
        <w:t>אין להתעלם מהשפעת תמ"א 38 במצב הקודם</w:t>
      </w:r>
      <w:r w:rsidRPr="00F90CB3">
        <w:rPr>
          <w:rFonts w:ascii="David" w:hAnsi="David" w:cs="David" w:hint="cs"/>
          <w:rtl/>
        </w:rPr>
        <w:t xml:space="preserve"> ותכנית בי/538 שהוכנה מכוחה על שווי הדירות עובר לאישור תכנית</w:t>
      </w:r>
      <w:r>
        <w:rPr>
          <w:rFonts w:ascii="David" w:hAnsi="David" w:cs="David" w:hint="cs"/>
          <w:rtl/>
        </w:rPr>
        <w:t xml:space="preserve"> בי/</w:t>
      </w:r>
      <w:r w:rsidRPr="00F90CB3">
        <w:rPr>
          <w:rFonts w:ascii="David" w:hAnsi="David" w:cs="David" w:hint="cs"/>
          <w:rtl/>
        </w:rPr>
        <w:t xml:space="preserve"> 517, לאור ההלכה בדבר ההתחשבות ב"פוטנציאל" תכנוני כללי כאמור בעניין "</w:t>
      </w:r>
      <w:proofErr w:type="spellStart"/>
      <w:r w:rsidRPr="00F90CB3">
        <w:rPr>
          <w:rFonts w:ascii="David" w:hAnsi="David" w:cs="David" w:hint="cs"/>
          <w:rtl/>
        </w:rPr>
        <w:t>לוסטרניק</w:t>
      </w:r>
      <w:proofErr w:type="spellEnd"/>
      <w:r w:rsidRPr="00F90CB3">
        <w:rPr>
          <w:rFonts w:ascii="David" w:hAnsi="David" w:cs="David" w:hint="cs"/>
          <w:rtl/>
        </w:rPr>
        <w:t xml:space="preserve">" (רע"א 4487/01) ובעניין "דלי דליה" (בר"מ 10212/16). </w:t>
      </w:r>
      <w:r>
        <w:rPr>
          <w:rFonts w:ascii="David" w:hAnsi="David" w:cs="David" w:hint="cs"/>
          <w:rtl/>
        </w:rPr>
        <w:t xml:space="preserve">החברה מפנה </w:t>
      </w:r>
      <w:r w:rsidR="00A84857">
        <w:rPr>
          <w:rFonts w:ascii="David" w:hAnsi="David" w:cs="David" w:hint="cs"/>
          <w:rtl/>
        </w:rPr>
        <w:t>ל</w:t>
      </w:r>
      <w:r>
        <w:rPr>
          <w:rFonts w:ascii="David" w:hAnsi="David" w:cs="David" w:hint="cs"/>
          <w:rtl/>
        </w:rPr>
        <w:t>פסיקות</w:t>
      </w:r>
      <w:r w:rsidR="00A84857">
        <w:rPr>
          <w:rFonts w:ascii="David" w:hAnsi="David" w:cs="David" w:hint="cs"/>
          <w:rtl/>
        </w:rPr>
        <w:t xml:space="preserve"> נוספות</w:t>
      </w:r>
      <w:r>
        <w:rPr>
          <w:rFonts w:ascii="David" w:hAnsi="David" w:cs="David" w:hint="cs"/>
          <w:rtl/>
        </w:rPr>
        <w:t xml:space="preserve"> של בית </w:t>
      </w:r>
      <w:r w:rsidR="00A84857">
        <w:rPr>
          <w:rFonts w:ascii="David" w:hAnsi="David" w:cs="David" w:hint="cs"/>
          <w:rtl/>
        </w:rPr>
        <w:t>ה</w:t>
      </w:r>
      <w:r>
        <w:rPr>
          <w:rFonts w:ascii="David" w:hAnsi="David" w:cs="David" w:hint="cs"/>
          <w:rtl/>
        </w:rPr>
        <w:t xml:space="preserve">משפט </w:t>
      </w:r>
      <w:r w:rsidR="00A84857">
        <w:rPr>
          <w:rFonts w:ascii="David" w:hAnsi="David" w:cs="David" w:hint="cs"/>
          <w:rtl/>
        </w:rPr>
        <w:t>ה</w:t>
      </w:r>
      <w:r>
        <w:rPr>
          <w:rFonts w:ascii="David" w:hAnsi="David" w:cs="David" w:hint="cs"/>
          <w:rtl/>
        </w:rPr>
        <w:t>מחוזי ו</w:t>
      </w:r>
      <w:r w:rsidR="00A84857">
        <w:rPr>
          <w:rFonts w:ascii="David" w:hAnsi="David" w:cs="David" w:hint="cs"/>
          <w:rtl/>
        </w:rPr>
        <w:t xml:space="preserve">של </w:t>
      </w:r>
      <w:r>
        <w:rPr>
          <w:rFonts w:ascii="David" w:hAnsi="David" w:cs="David" w:hint="cs"/>
          <w:rtl/>
        </w:rPr>
        <w:t xml:space="preserve">ועדות הערר שלטענתה תומכות בה. </w:t>
      </w:r>
    </w:p>
    <w:p w:rsidR="00C24FD3" w:rsidRPr="00C24FD3" w:rsidRDefault="00C24FD3" w:rsidP="00467B6F">
      <w:pPr>
        <w:pStyle w:val="a9"/>
        <w:numPr>
          <w:ilvl w:val="0"/>
          <w:numId w:val="1"/>
        </w:numPr>
        <w:tabs>
          <w:tab w:val="left" w:pos="425"/>
        </w:tabs>
        <w:spacing w:line="360" w:lineRule="auto"/>
        <w:contextualSpacing w:val="0"/>
        <w:jc w:val="both"/>
        <w:rPr>
          <w:rFonts w:ascii="David" w:hAnsi="David" w:cs="David"/>
        </w:rPr>
      </w:pPr>
      <w:r w:rsidRPr="00C24FD3">
        <w:rPr>
          <w:rFonts w:ascii="David" w:hAnsi="David" w:cs="David" w:hint="cs"/>
          <w:rtl/>
        </w:rPr>
        <w:t xml:space="preserve">החברה גם מתייחסת לחוות דעתה של המשנה ליועצת המשפטית לממשלה, עו"ד כרמית </w:t>
      </w:r>
      <w:proofErr w:type="spellStart"/>
      <w:r w:rsidRPr="00C24FD3">
        <w:rPr>
          <w:rFonts w:ascii="David" w:hAnsi="David" w:cs="David" w:hint="cs"/>
          <w:rtl/>
        </w:rPr>
        <w:t>יוליס</w:t>
      </w:r>
      <w:proofErr w:type="spellEnd"/>
      <w:r w:rsidRPr="00C24FD3">
        <w:rPr>
          <w:rFonts w:ascii="David" w:hAnsi="David" w:cs="David" w:hint="cs"/>
          <w:rtl/>
        </w:rPr>
        <w:t>, מיום 1/12/22 בסוגיה (</w:t>
      </w:r>
      <w:r w:rsidRPr="00C24FD3">
        <w:rPr>
          <w:rFonts w:ascii="David" w:hAnsi="David" w:cs="David" w:hint="cs"/>
          <w:b/>
          <w:bCs/>
          <w:rtl/>
        </w:rPr>
        <w:t>להלן: "חוות הדעת")</w:t>
      </w:r>
      <w:r w:rsidRPr="00C24FD3">
        <w:rPr>
          <w:rFonts w:ascii="David" w:hAnsi="David" w:cs="David" w:hint="cs"/>
          <w:rtl/>
        </w:rPr>
        <w:t xml:space="preserve">, </w:t>
      </w:r>
      <w:r w:rsidR="00C162CE">
        <w:rPr>
          <w:rFonts w:ascii="David" w:hAnsi="David" w:cs="David" w:hint="cs"/>
          <w:rtl/>
        </w:rPr>
        <w:t>שקבעה כי כן יש להתחשב במרכיב שווי השוק הכללי של תמ"א 38, אותו אין לנטרל, להבדיל משווי השוק הקונקרטי</w:t>
      </w:r>
      <w:r w:rsidR="001D0313">
        <w:rPr>
          <w:rFonts w:ascii="David" w:hAnsi="David" w:cs="David" w:hint="cs"/>
          <w:rtl/>
        </w:rPr>
        <w:t xml:space="preserve"> אותו יש לנטרל</w:t>
      </w:r>
      <w:r w:rsidR="00C162CE">
        <w:rPr>
          <w:rFonts w:ascii="David" w:hAnsi="David" w:cs="David" w:hint="cs"/>
          <w:rtl/>
        </w:rPr>
        <w:t>. נטען כי</w:t>
      </w:r>
      <w:r w:rsidR="00C162CE" w:rsidRPr="00C24FD3">
        <w:rPr>
          <w:rFonts w:ascii="David" w:hAnsi="David" w:cs="David" w:hint="cs"/>
          <w:rtl/>
        </w:rPr>
        <w:t xml:space="preserve"> </w:t>
      </w:r>
      <w:r w:rsidRPr="00C24FD3">
        <w:rPr>
          <w:rFonts w:ascii="David" w:hAnsi="David" w:cs="David" w:hint="cs"/>
          <w:rtl/>
        </w:rPr>
        <w:t xml:space="preserve">שווי השוק של הדירות עובר לאישור תכנית בי/517, נלמד מהסכמי השכירות באותה עת (ללא פוטנציאל </w:t>
      </w:r>
      <w:proofErr w:type="spellStart"/>
      <w:r w:rsidRPr="00C24FD3">
        <w:rPr>
          <w:rFonts w:ascii="David" w:hAnsi="David" w:cs="David" w:hint="cs"/>
          <w:rtl/>
        </w:rPr>
        <w:t>לתמ"א</w:t>
      </w:r>
      <w:proofErr w:type="spellEnd"/>
      <w:r w:rsidRPr="00C24FD3">
        <w:rPr>
          <w:rFonts w:ascii="David" w:hAnsi="David" w:cs="David" w:hint="cs"/>
          <w:rtl/>
        </w:rPr>
        <w:t xml:space="preserve"> 38). </w:t>
      </w:r>
    </w:p>
    <w:p w:rsidR="00C24FD3" w:rsidRDefault="00C24FD3" w:rsidP="00467B6F">
      <w:pPr>
        <w:pStyle w:val="a9"/>
        <w:numPr>
          <w:ilvl w:val="0"/>
          <w:numId w:val="1"/>
        </w:numPr>
        <w:tabs>
          <w:tab w:val="left" w:pos="425"/>
        </w:tabs>
        <w:spacing w:line="360" w:lineRule="auto"/>
        <w:contextualSpacing w:val="0"/>
        <w:jc w:val="both"/>
        <w:rPr>
          <w:rFonts w:ascii="David" w:hAnsi="David" w:cs="David"/>
        </w:rPr>
      </w:pPr>
      <w:r>
        <w:rPr>
          <w:rFonts w:ascii="David" w:hAnsi="David" w:cs="David" w:hint="cs"/>
          <w:rtl/>
        </w:rPr>
        <w:t>עוד מדגישה החברה כי</w:t>
      </w:r>
      <w:r w:rsidRPr="00F90CB3">
        <w:rPr>
          <w:rFonts w:ascii="David" w:hAnsi="David" w:cs="David" w:hint="cs"/>
          <w:rtl/>
        </w:rPr>
        <w:t>, בכל הכבוד, השמאית המכריעה טעתה גם כשקבעה כי "</w:t>
      </w:r>
      <w:r w:rsidRPr="00C24FD3">
        <w:rPr>
          <w:rFonts w:ascii="David" w:hAnsi="David" w:cs="David" w:hint="cs"/>
          <w:i/>
          <w:iCs/>
          <w:rtl/>
        </w:rPr>
        <w:t xml:space="preserve">במקרה הנדון קיים קשר סיבתי בין התכניות הואיל </w:t>
      </w:r>
      <w:proofErr w:type="spellStart"/>
      <w:r w:rsidRPr="00C24FD3">
        <w:rPr>
          <w:rFonts w:ascii="David" w:hAnsi="David" w:cs="David" w:hint="cs"/>
          <w:i/>
          <w:iCs/>
          <w:rtl/>
        </w:rPr>
        <w:t>ותמ"א</w:t>
      </w:r>
      <w:proofErr w:type="spellEnd"/>
      <w:r w:rsidRPr="00C24FD3">
        <w:rPr>
          <w:rFonts w:ascii="David" w:hAnsi="David" w:cs="David" w:hint="cs"/>
          <w:i/>
          <w:iCs/>
          <w:rtl/>
        </w:rPr>
        <w:t xml:space="preserve"> 38 ותכנית לפינוי בינוי תכליתן בהתח</w:t>
      </w:r>
      <w:r>
        <w:rPr>
          <w:rFonts w:ascii="David" w:hAnsi="David" w:cs="David" w:hint="cs"/>
          <w:i/>
          <w:iCs/>
          <w:rtl/>
        </w:rPr>
        <w:t>דש</w:t>
      </w:r>
      <w:r w:rsidRPr="00C24FD3">
        <w:rPr>
          <w:rFonts w:ascii="David" w:hAnsi="David" w:cs="David" w:hint="cs"/>
          <w:i/>
          <w:iCs/>
          <w:rtl/>
        </w:rPr>
        <w:t>ות עירונית ... ולכן גם מהטעם הזה אין להביאה בחשבון במצב קודם</w:t>
      </w:r>
      <w:r w:rsidRPr="00F90CB3">
        <w:rPr>
          <w:rFonts w:ascii="David" w:hAnsi="David" w:cs="David" w:hint="cs"/>
          <w:rtl/>
        </w:rPr>
        <w:t xml:space="preserve">." </w:t>
      </w:r>
      <w:r>
        <w:rPr>
          <w:rFonts w:ascii="David" w:hAnsi="David" w:cs="David" w:hint="cs"/>
          <w:rtl/>
        </w:rPr>
        <w:t xml:space="preserve">שכן, </w:t>
      </w:r>
      <w:r w:rsidRPr="00F90CB3">
        <w:rPr>
          <w:rFonts w:ascii="David" w:hAnsi="David" w:cs="David" w:hint="cs"/>
          <w:rtl/>
        </w:rPr>
        <w:t xml:space="preserve"> העובדה </w:t>
      </w:r>
      <w:proofErr w:type="spellStart"/>
      <w:r w:rsidRPr="00F90CB3">
        <w:rPr>
          <w:rFonts w:ascii="David" w:hAnsi="David" w:cs="David" w:hint="cs"/>
          <w:rtl/>
        </w:rPr>
        <w:t>שלתמ"א</w:t>
      </w:r>
      <w:proofErr w:type="spellEnd"/>
      <w:r w:rsidRPr="00F90CB3">
        <w:rPr>
          <w:rFonts w:ascii="David" w:hAnsi="David" w:cs="David" w:hint="cs"/>
          <w:rtl/>
        </w:rPr>
        <w:t xml:space="preserve"> 38 ולתכנית </w:t>
      </w:r>
      <w:r>
        <w:rPr>
          <w:rFonts w:ascii="David" w:hAnsi="David" w:cs="David" w:hint="cs"/>
          <w:rtl/>
        </w:rPr>
        <w:t>בי/</w:t>
      </w:r>
      <w:r w:rsidRPr="00F90CB3">
        <w:rPr>
          <w:rFonts w:ascii="David" w:hAnsi="David" w:cs="David" w:hint="cs"/>
          <w:rtl/>
        </w:rPr>
        <w:t>517 ישנה, בין היתר, גם מטרה משותפת של התחדשות עירונית אינה הופכת אותן להליך תכנוני אחד, כך</w:t>
      </w:r>
      <w:r>
        <w:rPr>
          <w:rFonts w:ascii="David" w:hAnsi="David" w:cs="David" w:hint="cs"/>
          <w:rtl/>
        </w:rPr>
        <w:t xml:space="preserve"> </w:t>
      </w:r>
      <w:r w:rsidRPr="00F90CB3">
        <w:rPr>
          <w:rFonts w:ascii="David" w:hAnsi="David" w:cs="David" w:hint="cs"/>
          <w:rtl/>
        </w:rPr>
        <w:t xml:space="preserve">שבהתאם להלכת </w:t>
      </w:r>
      <w:r w:rsidR="00DE1FE7">
        <w:rPr>
          <w:rFonts w:ascii="David" w:hAnsi="David" w:cs="David" w:hint="cs"/>
          <w:rtl/>
        </w:rPr>
        <w:t>"</w:t>
      </w:r>
      <w:proofErr w:type="spellStart"/>
      <w:r w:rsidRPr="00F90CB3">
        <w:rPr>
          <w:rFonts w:ascii="David" w:hAnsi="David" w:cs="David" w:hint="cs"/>
          <w:rtl/>
        </w:rPr>
        <w:t>לוסטרניק</w:t>
      </w:r>
      <w:proofErr w:type="spellEnd"/>
      <w:r w:rsidR="00DE1FE7">
        <w:rPr>
          <w:rFonts w:ascii="David" w:hAnsi="David" w:cs="David" w:hint="cs"/>
          <w:rtl/>
        </w:rPr>
        <w:t>"</w:t>
      </w:r>
      <w:r w:rsidRPr="00F90CB3">
        <w:rPr>
          <w:rFonts w:ascii="David" w:hAnsi="David" w:cs="David" w:hint="cs"/>
          <w:rtl/>
        </w:rPr>
        <w:t xml:space="preserve"> יש לנטרל את עליית השווי בגינו במצב הקודם. </w:t>
      </w:r>
    </w:p>
    <w:p w:rsidR="00C24FD3" w:rsidRPr="00DE1FE7" w:rsidRDefault="00C24FD3" w:rsidP="00467B6F">
      <w:pPr>
        <w:pStyle w:val="a9"/>
        <w:numPr>
          <w:ilvl w:val="0"/>
          <w:numId w:val="1"/>
        </w:numPr>
        <w:tabs>
          <w:tab w:val="left" w:pos="425"/>
        </w:tabs>
        <w:spacing w:line="360" w:lineRule="auto"/>
        <w:contextualSpacing w:val="0"/>
        <w:jc w:val="both"/>
        <w:rPr>
          <w:rFonts w:ascii="David" w:hAnsi="David" w:cs="David"/>
        </w:rPr>
      </w:pPr>
      <w:r w:rsidRPr="00F90CB3">
        <w:rPr>
          <w:rFonts w:ascii="David" w:hAnsi="David" w:cs="David" w:hint="cs"/>
          <w:rtl/>
        </w:rPr>
        <w:t>ראשית, בניגוד לקביעת השמאית המכריעה, מטרתה העיקרית של תמ"א 38 הינה הגנה על מבנים מפני רעידות אדמה ואילו מטרת תכנית</w:t>
      </w:r>
      <w:r>
        <w:rPr>
          <w:rFonts w:ascii="David" w:hAnsi="David" w:cs="David" w:hint="cs"/>
          <w:rtl/>
        </w:rPr>
        <w:t xml:space="preserve"> בי/</w:t>
      </w:r>
      <w:r w:rsidRPr="00F90CB3">
        <w:rPr>
          <w:rFonts w:ascii="David" w:hAnsi="David" w:cs="David" w:hint="cs"/>
          <w:rtl/>
        </w:rPr>
        <w:t xml:space="preserve"> 517 כלל אינה חיזוק המבנים. יתרה מכך, מבחינה מהותית תמ"א 38 ותכנית</w:t>
      </w:r>
      <w:r>
        <w:rPr>
          <w:rFonts w:ascii="David" w:hAnsi="David" w:cs="David" w:hint="cs"/>
          <w:rtl/>
        </w:rPr>
        <w:t xml:space="preserve"> בי/</w:t>
      </w:r>
      <w:r w:rsidRPr="00F90CB3">
        <w:rPr>
          <w:rFonts w:ascii="David" w:hAnsi="David" w:cs="David" w:hint="cs"/>
          <w:rtl/>
        </w:rPr>
        <w:t xml:space="preserve"> 517 כלל אינן מהוות הליך תכנוני אחד. תמ"א 38 אינה מהווה שלב כלשהו בהליכי אישור תכנית</w:t>
      </w:r>
      <w:r>
        <w:rPr>
          <w:rFonts w:ascii="David" w:hAnsi="David" w:cs="David" w:hint="cs"/>
          <w:rtl/>
        </w:rPr>
        <w:t xml:space="preserve"> בי/</w:t>
      </w:r>
      <w:r w:rsidRPr="00F90CB3">
        <w:rPr>
          <w:rFonts w:ascii="David" w:hAnsi="David" w:cs="David" w:hint="cs"/>
          <w:rtl/>
        </w:rPr>
        <w:t xml:space="preserve"> 517 ותכנית</w:t>
      </w:r>
      <w:r>
        <w:rPr>
          <w:rFonts w:ascii="David" w:hAnsi="David" w:cs="David" w:hint="cs"/>
          <w:rtl/>
        </w:rPr>
        <w:t xml:space="preserve"> בי/</w:t>
      </w:r>
      <w:r w:rsidRPr="00F90CB3">
        <w:rPr>
          <w:rFonts w:ascii="David" w:hAnsi="David" w:cs="David" w:hint="cs"/>
          <w:rtl/>
        </w:rPr>
        <w:t xml:space="preserve"> 517 אינה מהווה כלל המשך ההליך התכנוני של תמ"א 38. תכנית</w:t>
      </w:r>
      <w:r>
        <w:rPr>
          <w:rFonts w:ascii="David" w:hAnsi="David" w:cs="David" w:hint="cs"/>
          <w:rtl/>
        </w:rPr>
        <w:t xml:space="preserve"> בי/</w:t>
      </w:r>
      <w:r w:rsidRPr="00F90CB3">
        <w:rPr>
          <w:rFonts w:ascii="David" w:hAnsi="David" w:cs="David" w:hint="cs"/>
          <w:rtl/>
        </w:rPr>
        <w:t xml:space="preserve">517 אינה תכנית מכוח סעיף 23 </w:t>
      </w:r>
      <w:proofErr w:type="spellStart"/>
      <w:r w:rsidRPr="00F90CB3">
        <w:rPr>
          <w:rFonts w:ascii="David" w:hAnsi="David" w:cs="David" w:hint="cs"/>
          <w:rtl/>
        </w:rPr>
        <w:t>לתמ"א</w:t>
      </w:r>
      <w:proofErr w:type="spellEnd"/>
      <w:r w:rsidRPr="00F90CB3">
        <w:rPr>
          <w:rFonts w:ascii="David" w:hAnsi="David" w:cs="David" w:hint="cs"/>
          <w:rtl/>
        </w:rPr>
        <w:t xml:space="preserve"> 38. הדברים מקבלים משנה תוקף לאור העובדה שהוועדה המקומית אישרה תכניות מכוח סעיף 23 </w:t>
      </w:r>
      <w:proofErr w:type="spellStart"/>
      <w:r w:rsidRPr="00F90CB3">
        <w:rPr>
          <w:rFonts w:ascii="David" w:hAnsi="David" w:cs="David" w:hint="cs"/>
          <w:rtl/>
        </w:rPr>
        <w:t>לתמ"א</w:t>
      </w:r>
      <w:proofErr w:type="spellEnd"/>
      <w:r w:rsidRPr="00F90CB3">
        <w:rPr>
          <w:rFonts w:ascii="David" w:hAnsi="David" w:cs="David" w:hint="cs"/>
          <w:rtl/>
        </w:rPr>
        <w:t xml:space="preserve"> בתחומי העיר בת-ים והן אף חלות על המקרקעין הנדונים. בנוסף, שטח שתי התכניות שונה ואין כל זהות בין </w:t>
      </w:r>
      <w:proofErr w:type="spellStart"/>
      <w:r w:rsidRPr="00F90CB3">
        <w:rPr>
          <w:rFonts w:ascii="David" w:hAnsi="David" w:cs="David" w:hint="cs"/>
          <w:rtl/>
        </w:rPr>
        <w:t>מתכנניהן</w:t>
      </w:r>
      <w:proofErr w:type="spellEnd"/>
      <w:r w:rsidRPr="00F90CB3">
        <w:rPr>
          <w:rFonts w:ascii="David" w:hAnsi="David" w:cs="David" w:hint="cs"/>
          <w:rtl/>
        </w:rPr>
        <w:t xml:space="preserve">. </w:t>
      </w:r>
      <w:r w:rsidRPr="00DE1FE7">
        <w:rPr>
          <w:rFonts w:ascii="David" w:hAnsi="David" w:cs="David" w:hint="cs"/>
          <w:rtl/>
        </w:rPr>
        <w:t xml:space="preserve">מכל האמור לעיל עולה כי מדובר בשתי תכניות עצמאיות ונפרדות וכי על פי ההלכה הפסוקה שגתה השמאית המכריעה כשנטרלה את השפעת תמ"א 38 משווי המקרקעין במצב הקודם. </w:t>
      </w:r>
    </w:p>
    <w:p w:rsidR="00C24FD3" w:rsidRDefault="00C24FD3" w:rsidP="00467B6F">
      <w:pPr>
        <w:pStyle w:val="a9"/>
        <w:numPr>
          <w:ilvl w:val="0"/>
          <w:numId w:val="1"/>
        </w:numPr>
        <w:tabs>
          <w:tab w:val="left" w:pos="425"/>
        </w:tabs>
        <w:spacing w:line="360" w:lineRule="auto"/>
        <w:contextualSpacing w:val="0"/>
        <w:jc w:val="both"/>
        <w:rPr>
          <w:rFonts w:ascii="David" w:hAnsi="David" w:cs="David"/>
        </w:rPr>
      </w:pPr>
      <w:r w:rsidRPr="006C67B6">
        <w:rPr>
          <w:rFonts w:ascii="David" w:hAnsi="David" w:cs="David" w:hint="cs"/>
          <w:rtl/>
        </w:rPr>
        <w:t xml:space="preserve">כמו כן נטען בשולי הדברים כי אף אם תתקבל שיטת השמאית המכריעה לפיה קיים קשר סיבתי בין תכנית פינוי בינוי לבין תמ"א 38 ששתיהן תכליתן התחדשות עירונית היה מקום לקבוע פטור מהיטל השבחה בגין הזכויות מכוח התכניות המשביחות בהיקף שניתן היה לקבל מכוח תמ"א 38. זאת בהתאם להוראת סעיף 19(ב)(10)(ב) לתוספת השלישית לחוק. כלומר, מאחר שמדובר במימוש בהיתר, לאור עמדתה בסוגיית הקשר בין התכניות, השמאית המכריעה טעתה בכך שלא קבעה פטור מהיטל השבחה בגין הזכויות </w:t>
      </w:r>
      <w:proofErr w:type="spellStart"/>
      <w:r w:rsidRPr="006C67B6">
        <w:rPr>
          <w:rFonts w:ascii="David" w:hAnsi="David" w:cs="David" w:hint="cs"/>
          <w:rtl/>
        </w:rPr>
        <w:t>מכח</w:t>
      </w:r>
      <w:proofErr w:type="spellEnd"/>
      <w:r w:rsidRPr="006C67B6">
        <w:rPr>
          <w:rFonts w:ascii="David" w:hAnsi="David" w:cs="David" w:hint="cs"/>
          <w:rtl/>
        </w:rPr>
        <w:t xml:space="preserve"> התכניות המשביחות בהיקף זכויות שניתן היה לקבל בהתאם </w:t>
      </w:r>
      <w:proofErr w:type="spellStart"/>
      <w:r w:rsidRPr="006C67B6">
        <w:rPr>
          <w:rFonts w:ascii="David" w:hAnsi="David" w:cs="David" w:hint="cs"/>
          <w:rtl/>
        </w:rPr>
        <w:t>לתמ"א</w:t>
      </w:r>
      <w:proofErr w:type="spellEnd"/>
      <w:r w:rsidRPr="006C67B6">
        <w:rPr>
          <w:rFonts w:ascii="David" w:hAnsi="David" w:cs="David" w:hint="cs"/>
          <w:rtl/>
        </w:rPr>
        <w:t xml:space="preserve"> 38. </w:t>
      </w:r>
    </w:p>
    <w:p w:rsidR="00C24FD3" w:rsidRPr="006C67B6" w:rsidRDefault="00C24FD3" w:rsidP="00C24FD3">
      <w:pPr>
        <w:pStyle w:val="a9"/>
        <w:tabs>
          <w:tab w:val="left" w:pos="425"/>
        </w:tabs>
        <w:spacing w:line="360" w:lineRule="auto"/>
        <w:ind w:left="360"/>
        <w:jc w:val="both"/>
        <w:rPr>
          <w:rFonts w:ascii="David" w:hAnsi="David" w:cs="David"/>
          <w:rtl/>
        </w:rPr>
      </w:pPr>
      <w:r w:rsidRPr="006C67B6">
        <w:rPr>
          <w:rFonts w:ascii="David" w:hAnsi="David" w:cs="David" w:hint="cs"/>
          <w:rtl/>
        </w:rPr>
        <w:t xml:space="preserve">נטרול עליית השווי בגין תמ"א 38 במצב הקודם במקרה דנן, כפי שקבעה השמאית המכריעה, ללא מתן הפטור בגין זכויות בהיקף שניתן היה לקבל בהתאם </w:t>
      </w:r>
      <w:proofErr w:type="spellStart"/>
      <w:r w:rsidRPr="006C67B6">
        <w:rPr>
          <w:rFonts w:ascii="David" w:hAnsi="David" w:cs="David" w:hint="cs"/>
          <w:rtl/>
        </w:rPr>
        <w:t>לתמ"א</w:t>
      </w:r>
      <w:proofErr w:type="spellEnd"/>
      <w:r w:rsidRPr="006C67B6">
        <w:rPr>
          <w:rFonts w:ascii="David" w:hAnsi="David" w:cs="David" w:hint="cs"/>
          <w:rtl/>
        </w:rPr>
        <w:t xml:space="preserve"> 38 סותר את הוראת המחוקק לפיה השבחה מכוחה של תמ"א 38 פטורה במקרה של מימוש בהיתר. </w:t>
      </w:r>
    </w:p>
    <w:p w:rsidR="00C24FD3" w:rsidRPr="00CB2F39" w:rsidRDefault="00C24FD3" w:rsidP="00DE1FE7">
      <w:pPr>
        <w:pStyle w:val="a9"/>
        <w:tabs>
          <w:tab w:val="left" w:pos="425"/>
        </w:tabs>
        <w:spacing w:line="360" w:lineRule="auto"/>
        <w:ind w:left="360"/>
        <w:jc w:val="both"/>
        <w:rPr>
          <w:rFonts w:ascii="David" w:hAnsi="David" w:cs="David"/>
        </w:rPr>
      </w:pPr>
    </w:p>
    <w:p w:rsidR="00332D35" w:rsidRPr="000E6B10" w:rsidRDefault="00332D35" w:rsidP="00332D35">
      <w:pPr>
        <w:spacing w:line="360" w:lineRule="auto"/>
        <w:jc w:val="both"/>
        <w:rPr>
          <w:rFonts w:ascii="David" w:hAnsi="David" w:cs="David"/>
          <w:u w:val="thick"/>
          <w:rtl/>
        </w:rPr>
      </w:pPr>
      <w:r w:rsidRPr="000E6B10">
        <w:rPr>
          <w:rFonts w:ascii="David" w:hAnsi="David" w:cs="David" w:hint="cs"/>
          <w:u w:val="thick"/>
          <w:rtl/>
        </w:rPr>
        <w:t>תשובת הועדה המקומית</w:t>
      </w:r>
    </w:p>
    <w:p w:rsidR="000E6B10" w:rsidRPr="000E6B10" w:rsidRDefault="000E6B10" w:rsidP="000E6B10">
      <w:pPr>
        <w:pStyle w:val="a9"/>
        <w:numPr>
          <w:ilvl w:val="0"/>
          <w:numId w:val="1"/>
        </w:numPr>
        <w:tabs>
          <w:tab w:val="left" w:pos="425"/>
        </w:tabs>
        <w:spacing w:line="360" w:lineRule="auto"/>
        <w:ind w:left="357" w:hanging="357"/>
        <w:contextualSpacing w:val="0"/>
        <w:jc w:val="both"/>
        <w:rPr>
          <w:rFonts w:ascii="David" w:hAnsi="David" w:cs="David"/>
        </w:rPr>
      </w:pPr>
      <w:r w:rsidRPr="000E6B10">
        <w:rPr>
          <w:rFonts w:ascii="David" w:hAnsi="David" w:cs="David" w:hint="cs"/>
          <w:rtl/>
        </w:rPr>
        <w:t xml:space="preserve">הועדה המקומית משיבה כי יש לדחות את טענת החברה ולו מהנימוק לפיו כלל לא הוכחה השפעתה של תמ"א 38 (או של תכנית בי/538) על שווי המקרקעין במצב הקודם או ההתכנות למימוש תמריצים מכוחה, ומכל מקום יש לדחות את טענות החברה בהיעדר כל בסיס משפטי. </w:t>
      </w:r>
    </w:p>
    <w:p w:rsidR="000E6B10" w:rsidRPr="000E6B10" w:rsidRDefault="000E6B10" w:rsidP="000E6B10">
      <w:pPr>
        <w:pStyle w:val="a9"/>
        <w:numPr>
          <w:ilvl w:val="0"/>
          <w:numId w:val="1"/>
        </w:numPr>
        <w:tabs>
          <w:tab w:val="left" w:pos="425"/>
        </w:tabs>
        <w:spacing w:line="360" w:lineRule="auto"/>
        <w:ind w:left="357" w:hanging="357"/>
        <w:contextualSpacing w:val="0"/>
        <w:jc w:val="both"/>
        <w:rPr>
          <w:rFonts w:ascii="David" w:hAnsi="David" w:cs="David"/>
        </w:rPr>
      </w:pPr>
      <w:r w:rsidRPr="000E6B10">
        <w:rPr>
          <w:rFonts w:ascii="David" w:hAnsi="David" w:cs="David" w:hint="cs"/>
          <w:rtl/>
        </w:rPr>
        <w:t>נטען כי כלל לא ברורה הטענה בדבר "פוטנציאל כללי". מדובר במבני שיכון קיימים בלב עיר, ולכן מדובר בפוטנציאל ספציפי לביצוע הליך התחדשות עירונית, בין אם מכוח תמ"א 38 או פינוי בינוי. ציפייה להליך ספציפי מסוג זה, היא בדיוק הציפיה אותה יש לנטרל על פי הלכת "</w:t>
      </w:r>
      <w:proofErr w:type="spellStart"/>
      <w:r w:rsidRPr="000E6B10">
        <w:rPr>
          <w:rFonts w:ascii="David" w:hAnsi="David" w:cs="David" w:hint="cs"/>
          <w:rtl/>
        </w:rPr>
        <w:t>לוסטרניק</w:t>
      </w:r>
      <w:proofErr w:type="spellEnd"/>
      <w:r w:rsidRPr="000E6B10">
        <w:rPr>
          <w:rFonts w:ascii="David" w:hAnsi="David" w:cs="David" w:hint="cs"/>
          <w:rtl/>
        </w:rPr>
        <w:t xml:space="preserve">". </w:t>
      </w:r>
    </w:p>
    <w:p w:rsidR="000E6B10" w:rsidRPr="000E6B10" w:rsidRDefault="000E6B10" w:rsidP="000E6B10">
      <w:pPr>
        <w:pStyle w:val="a9"/>
        <w:numPr>
          <w:ilvl w:val="0"/>
          <w:numId w:val="1"/>
        </w:numPr>
        <w:tabs>
          <w:tab w:val="left" w:pos="425"/>
        </w:tabs>
        <w:spacing w:line="360" w:lineRule="auto"/>
        <w:ind w:left="357" w:hanging="357"/>
        <w:contextualSpacing w:val="0"/>
        <w:jc w:val="both"/>
        <w:rPr>
          <w:rFonts w:ascii="David" w:hAnsi="David" w:cs="David"/>
        </w:rPr>
      </w:pPr>
      <w:r w:rsidRPr="000E6B10">
        <w:rPr>
          <w:rFonts w:ascii="David" w:hAnsi="David" w:cs="David" w:hint="cs"/>
          <w:rtl/>
        </w:rPr>
        <w:t xml:space="preserve">מכל מקום, נטען שאלת ההתייחסות לזכויות מותנות מכוח תמ"א 38 ממילא לא צריכה להיבחן על פי הלכת </w:t>
      </w:r>
      <w:proofErr w:type="spellStart"/>
      <w:r w:rsidRPr="000E6B10">
        <w:rPr>
          <w:rFonts w:ascii="David" w:hAnsi="David" w:cs="David" w:hint="cs"/>
          <w:rtl/>
        </w:rPr>
        <w:t>לוסטרניק</w:t>
      </w:r>
      <w:proofErr w:type="spellEnd"/>
      <w:r w:rsidRPr="000E6B10">
        <w:rPr>
          <w:rFonts w:ascii="David" w:hAnsi="David" w:cs="David" w:hint="cs"/>
          <w:rtl/>
        </w:rPr>
        <w:t xml:space="preserve"> הוותיקה שעסקה בקרקע חקלאית, אלא שיש להתחשב בהלכה פסוקה קוהרנטית ועדכנית הדנה באופן ספציפי בסוגיות החיוב בהיטל השבחה בגין הכללת זכויות מותנות כדוגמת תמ"א 38 בתכנית ובגין אישורן בפועל כגון רע"א 3002/12 </w:t>
      </w:r>
      <w:r w:rsidRPr="000E6B10">
        <w:rPr>
          <w:rFonts w:ascii="David" w:hAnsi="David" w:cs="David" w:hint="cs"/>
          <w:b/>
          <w:bCs/>
          <w:u w:val="single"/>
          <w:rtl/>
        </w:rPr>
        <w:t>הועדה המקומית לתכנון ולבניה גבעתיים נ' אליק רון</w:t>
      </w:r>
      <w:r w:rsidRPr="000E6B10">
        <w:rPr>
          <w:rFonts w:ascii="David" w:hAnsi="David" w:cs="David" w:hint="cs"/>
          <w:rtl/>
        </w:rPr>
        <w:t xml:space="preserve"> (נבו 15.714) (להלן </w:t>
      </w:r>
      <w:r w:rsidRPr="000E6B10">
        <w:rPr>
          <w:rFonts w:ascii="David" w:hAnsi="David" w:cs="David"/>
          <w:rtl/>
        </w:rPr>
        <w:t>–</w:t>
      </w:r>
      <w:r w:rsidRPr="000E6B10">
        <w:rPr>
          <w:rFonts w:ascii="David" w:hAnsi="David" w:cs="David" w:hint="cs"/>
          <w:rtl/>
        </w:rPr>
        <w:t xml:space="preserve"> "</w:t>
      </w:r>
      <w:r w:rsidRPr="000E6B10">
        <w:rPr>
          <w:rFonts w:ascii="David" w:hAnsi="David" w:cs="David" w:hint="cs"/>
          <w:b/>
          <w:bCs/>
          <w:rtl/>
        </w:rPr>
        <w:t>אליק רון</w:t>
      </w:r>
      <w:r w:rsidRPr="000E6B10">
        <w:rPr>
          <w:rFonts w:ascii="David" w:hAnsi="David" w:cs="David" w:hint="cs"/>
          <w:rtl/>
        </w:rPr>
        <w:t xml:space="preserve">"). </w:t>
      </w:r>
    </w:p>
    <w:p w:rsidR="000E6B10" w:rsidRPr="000E6B10" w:rsidRDefault="000E6B10" w:rsidP="000E6B10">
      <w:pPr>
        <w:pStyle w:val="a9"/>
        <w:numPr>
          <w:ilvl w:val="0"/>
          <w:numId w:val="1"/>
        </w:numPr>
        <w:tabs>
          <w:tab w:val="left" w:pos="425"/>
        </w:tabs>
        <w:spacing w:line="360" w:lineRule="auto"/>
        <w:ind w:left="357" w:hanging="357"/>
        <w:contextualSpacing w:val="0"/>
        <w:jc w:val="both"/>
        <w:rPr>
          <w:rFonts w:ascii="David" w:hAnsi="David" w:cs="David"/>
        </w:rPr>
      </w:pPr>
      <w:r w:rsidRPr="000E6B10">
        <w:rPr>
          <w:rFonts w:ascii="David" w:hAnsi="David" w:cs="David" w:hint="cs"/>
          <w:rtl/>
        </w:rPr>
        <w:t xml:space="preserve">כעולה מעניין אליק רון בין היתר המחוקק קבע את הפטור למימוש זכויות מכוח תמ"א 38 בעת מימוש בהיתר כיוון שרק במועד זה תמ"א 38 התגבשה באופן ספציפי ביחס למקרקעין ורק אז התגבשה מלוא ההשבחה בגין </w:t>
      </w:r>
      <w:proofErr w:type="spellStart"/>
      <w:r w:rsidRPr="000E6B10">
        <w:rPr>
          <w:rFonts w:ascii="David" w:hAnsi="David" w:cs="David" w:hint="cs"/>
          <w:rtl/>
        </w:rPr>
        <w:t>התמ"א</w:t>
      </w:r>
      <w:proofErr w:type="spellEnd"/>
      <w:r w:rsidRPr="000E6B10">
        <w:rPr>
          <w:rFonts w:ascii="David" w:hAnsi="David" w:cs="David" w:hint="cs"/>
          <w:rtl/>
        </w:rPr>
        <w:t xml:space="preserve"> </w:t>
      </w:r>
      <w:r w:rsidRPr="000E6B10">
        <w:rPr>
          <w:rFonts w:ascii="David" w:hAnsi="David" w:cs="David"/>
          <w:rtl/>
        </w:rPr>
        <w:t>–</w:t>
      </w:r>
      <w:r w:rsidRPr="000E6B10">
        <w:rPr>
          <w:rFonts w:ascii="David" w:hAnsi="David" w:cs="David" w:hint="cs"/>
          <w:rtl/>
        </w:rPr>
        <w:t xml:space="preserve"> ולצורך עידוד חיזוק מבנים בפועל, ניתן תמריץ כלכלי זה של הפטור מהיטל השבחה. לפיכך טוענת הועדה המקומית כי כל עוד לא התגבשו זכויות תמ"א 38 במימוש בהיתר, הן לא קיימות במקרקעין, ולא ניתן לדבר על זכויות שיש להתחשב בהן בשומת השבחה ואין זכויות כאמור המהוות חלק מקניינם של בעלי המקרקעין, ולכן </w:t>
      </w:r>
      <w:r w:rsidRPr="000E6B10">
        <w:rPr>
          <w:rFonts w:ascii="David" w:hAnsi="David" w:cs="David" w:hint="cs"/>
          <w:u w:val="single"/>
          <w:rtl/>
        </w:rPr>
        <w:t>זכויות פוטנציאליות מכוח תמ"א 38 אינן יכולות להיות חלק משווי המקרקעין במצב קודם</w:t>
      </w:r>
      <w:r w:rsidRPr="000E6B10">
        <w:rPr>
          <w:rFonts w:ascii="David" w:hAnsi="David" w:cs="David" w:hint="cs"/>
          <w:rtl/>
        </w:rPr>
        <w:t xml:space="preserve">. נטען שמסקנה זו עולה גם מפסיקות רבות נוספות כגון עניין "גוזלן" (בר"מ 2866/14) </w:t>
      </w:r>
      <w:proofErr w:type="spellStart"/>
      <w:r w:rsidRPr="000E6B10">
        <w:rPr>
          <w:rFonts w:ascii="David" w:hAnsi="David" w:cs="David" w:hint="cs"/>
          <w:rtl/>
        </w:rPr>
        <w:t>ו"קוזניץ</w:t>
      </w:r>
      <w:proofErr w:type="spellEnd"/>
      <w:r w:rsidRPr="000E6B10">
        <w:rPr>
          <w:rFonts w:ascii="David" w:hAnsi="David" w:cs="David" w:hint="cs"/>
          <w:rtl/>
        </w:rPr>
        <w:t>" (</w:t>
      </w:r>
      <w:proofErr w:type="spellStart"/>
      <w:r w:rsidRPr="000E6B10">
        <w:rPr>
          <w:rFonts w:ascii="David" w:hAnsi="David" w:cs="David" w:hint="cs"/>
          <w:rtl/>
        </w:rPr>
        <w:t>עמ"נ</w:t>
      </w:r>
      <w:proofErr w:type="spellEnd"/>
      <w:r w:rsidRPr="000E6B10">
        <w:rPr>
          <w:rFonts w:ascii="David" w:hAnsi="David" w:cs="David" w:hint="cs"/>
          <w:rtl/>
        </w:rPr>
        <w:t xml:space="preserve"> 65422-12-15).</w:t>
      </w:r>
    </w:p>
    <w:p w:rsidR="000E6B10" w:rsidRPr="000E6B10" w:rsidRDefault="000E6B10" w:rsidP="000E6B10">
      <w:pPr>
        <w:pStyle w:val="a9"/>
        <w:numPr>
          <w:ilvl w:val="0"/>
          <w:numId w:val="1"/>
        </w:numPr>
        <w:tabs>
          <w:tab w:val="left" w:pos="425"/>
        </w:tabs>
        <w:spacing w:line="360" w:lineRule="auto"/>
        <w:ind w:left="357" w:hanging="357"/>
        <w:contextualSpacing w:val="0"/>
        <w:jc w:val="both"/>
        <w:rPr>
          <w:rFonts w:ascii="David" w:hAnsi="David" w:cs="David"/>
        </w:rPr>
      </w:pPr>
      <w:r w:rsidRPr="000E6B10">
        <w:rPr>
          <w:rFonts w:ascii="David" w:hAnsi="David" w:cs="David" w:hint="cs"/>
          <w:rtl/>
        </w:rPr>
        <w:t xml:space="preserve">נטען שמהותה של תמ"א 38 הוא תמריצים כנגד חיזוק, ואין שום בסיס למתן תמריץ לפני חיזוק. לכן הכרה בשווי </w:t>
      </w:r>
      <w:proofErr w:type="spellStart"/>
      <w:r w:rsidRPr="000E6B10">
        <w:rPr>
          <w:rFonts w:ascii="David" w:hAnsi="David" w:cs="David" w:hint="cs"/>
          <w:rtl/>
        </w:rPr>
        <w:t>מסויים</w:t>
      </w:r>
      <w:proofErr w:type="spellEnd"/>
      <w:r w:rsidRPr="000E6B10">
        <w:rPr>
          <w:rFonts w:ascii="David" w:hAnsi="David" w:cs="David" w:hint="cs"/>
          <w:rtl/>
        </w:rPr>
        <w:t xml:space="preserve"> של הזכויות מכוחה של תמ"א 38 כחלק משווי המקרקעין במצב הקודם, משמעה הלכה למעשה מתן הטבה כלכלית מעצם אישורה של </w:t>
      </w:r>
      <w:proofErr w:type="spellStart"/>
      <w:r w:rsidRPr="000E6B10">
        <w:rPr>
          <w:rFonts w:ascii="David" w:hAnsi="David" w:cs="David" w:hint="cs"/>
          <w:rtl/>
        </w:rPr>
        <w:t>התמ"א</w:t>
      </w:r>
      <w:proofErr w:type="spellEnd"/>
      <w:r w:rsidRPr="000E6B10">
        <w:rPr>
          <w:rFonts w:ascii="David" w:hAnsi="David" w:cs="David" w:hint="cs"/>
          <w:rtl/>
        </w:rPr>
        <w:t xml:space="preserve"> לכלל הנישומים המביאה להפחתת היטל השבחה מבלי שהמטרה שביסודה חיזוק המבנים מתממשת.</w:t>
      </w:r>
    </w:p>
    <w:p w:rsidR="000E6B10" w:rsidRPr="000E6B10" w:rsidRDefault="000E6B10" w:rsidP="000E6B10">
      <w:pPr>
        <w:pStyle w:val="a9"/>
        <w:numPr>
          <w:ilvl w:val="0"/>
          <w:numId w:val="1"/>
        </w:numPr>
        <w:tabs>
          <w:tab w:val="left" w:pos="425"/>
        </w:tabs>
        <w:spacing w:line="360" w:lineRule="auto"/>
        <w:ind w:left="357" w:hanging="357"/>
        <w:contextualSpacing w:val="0"/>
        <w:jc w:val="both"/>
        <w:rPr>
          <w:rFonts w:ascii="David" w:hAnsi="David" w:cs="David"/>
        </w:rPr>
      </w:pPr>
      <w:r w:rsidRPr="000E6B10">
        <w:rPr>
          <w:rFonts w:ascii="David" w:hAnsi="David" w:cs="David" w:hint="cs"/>
          <w:rtl/>
        </w:rPr>
        <w:t>נטען שההפניה להחלטת ועדת ערר בעניין "</w:t>
      </w:r>
      <w:proofErr w:type="spellStart"/>
      <w:r w:rsidRPr="000E6B10">
        <w:rPr>
          <w:rFonts w:ascii="David" w:hAnsi="David" w:cs="David" w:hint="cs"/>
          <w:rtl/>
        </w:rPr>
        <w:t>קוזניץ</w:t>
      </w:r>
      <w:proofErr w:type="spellEnd"/>
      <w:r w:rsidRPr="000E6B10">
        <w:rPr>
          <w:rFonts w:ascii="David" w:hAnsi="David" w:cs="David" w:hint="cs"/>
          <w:rtl/>
        </w:rPr>
        <w:t xml:space="preserve">" הזהה </w:t>
      </w:r>
      <w:proofErr w:type="spellStart"/>
      <w:r w:rsidRPr="000E6B10">
        <w:rPr>
          <w:rFonts w:ascii="David" w:hAnsi="David" w:cs="David" w:hint="cs"/>
          <w:rtl/>
        </w:rPr>
        <w:t>לועדת</w:t>
      </w:r>
      <w:proofErr w:type="spellEnd"/>
      <w:r w:rsidRPr="000E6B10">
        <w:rPr>
          <w:rFonts w:ascii="David" w:hAnsi="David" w:cs="David" w:hint="cs"/>
          <w:rtl/>
        </w:rPr>
        <w:t xml:space="preserve"> הערר "צין" (ערר 85143/13) אינה רלוונטית שכן עמדת וועדת הערר בעניין זה נדחתה על ידי בית המשפט </w:t>
      </w:r>
      <w:proofErr w:type="spellStart"/>
      <w:r w:rsidRPr="000E6B10">
        <w:rPr>
          <w:rFonts w:ascii="David" w:hAnsi="David" w:cs="David" w:hint="cs"/>
          <w:rtl/>
        </w:rPr>
        <w:t>בענין</w:t>
      </w:r>
      <w:proofErr w:type="spellEnd"/>
      <w:r w:rsidRPr="000E6B10">
        <w:rPr>
          <w:rFonts w:ascii="David" w:hAnsi="David" w:cs="David" w:hint="cs"/>
          <w:rtl/>
        </w:rPr>
        <w:t xml:space="preserve"> "</w:t>
      </w:r>
      <w:proofErr w:type="spellStart"/>
      <w:r w:rsidRPr="000E6B10">
        <w:rPr>
          <w:rFonts w:ascii="David" w:hAnsi="David" w:cs="David" w:hint="cs"/>
          <w:rtl/>
        </w:rPr>
        <w:t>קוזניץ</w:t>
      </w:r>
      <w:proofErr w:type="spellEnd"/>
      <w:r w:rsidRPr="000E6B10">
        <w:rPr>
          <w:rFonts w:ascii="David" w:hAnsi="David" w:cs="David" w:hint="cs"/>
          <w:rtl/>
        </w:rPr>
        <w:t xml:space="preserve">". </w:t>
      </w:r>
    </w:p>
    <w:p w:rsidR="00987BC3" w:rsidRDefault="00987BC3" w:rsidP="00CD4258">
      <w:pPr>
        <w:pStyle w:val="a9"/>
        <w:tabs>
          <w:tab w:val="left" w:pos="425"/>
        </w:tabs>
        <w:spacing w:line="360" w:lineRule="auto"/>
        <w:ind w:left="357"/>
        <w:contextualSpacing w:val="0"/>
        <w:jc w:val="both"/>
        <w:rPr>
          <w:rFonts w:ascii="David" w:hAnsi="David" w:cs="David"/>
        </w:rPr>
      </w:pPr>
    </w:p>
    <w:p w:rsidR="00987BC3" w:rsidRDefault="00987BC3" w:rsidP="00CD4258">
      <w:pPr>
        <w:pStyle w:val="a9"/>
        <w:tabs>
          <w:tab w:val="left" w:pos="425"/>
        </w:tabs>
        <w:spacing w:line="360" w:lineRule="auto"/>
        <w:ind w:left="357"/>
        <w:contextualSpacing w:val="0"/>
        <w:jc w:val="both"/>
        <w:rPr>
          <w:rFonts w:ascii="David" w:hAnsi="David" w:cs="David"/>
        </w:rPr>
      </w:pPr>
    </w:p>
    <w:p w:rsidR="000E6B10" w:rsidRPr="000E6B10" w:rsidRDefault="000E6B10" w:rsidP="000E6B10">
      <w:pPr>
        <w:pStyle w:val="a9"/>
        <w:numPr>
          <w:ilvl w:val="0"/>
          <w:numId w:val="1"/>
        </w:numPr>
        <w:tabs>
          <w:tab w:val="left" w:pos="425"/>
        </w:tabs>
        <w:spacing w:line="360" w:lineRule="auto"/>
        <w:ind w:left="357" w:hanging="357"/>
        <w:contextualSpacing w:val="0"/>
        <w:jc w:val="both"/>
        <w:rPr>
          <w:rFonts w:ascii="David" w:hAnsi="David" w:cs="David"/>
        </w:rPr>
      </w:pPr>
      <w:r w:rsidRPr="000E6B10">
        <w:rPr>
          <w:rFonts w:ascii="David" w:hAnsi="David" w:cs="David" w:hint="cs"/>
          <w:rtl/>
        </w:rPr>
        <w:t xml:space="preserve">הועדה המקומית מבקשת להפנות גם לפסיקתו של בית המשפט העליון בעניין "אופל </w:t>
      </w:r>
      <w:proofErr w:type="spellStart"/>
      <w:r w:rsidRPr="000E6B10">
        <w:rPr>
          <w:rFonts w:ascii="David" w:hAnsi="David" w:cs="David" w:hint="cs"/>
          <w:rtl/>
        </w:rPr>
        <w:t>קרדן</w:t>
      </w:r>
      <w:proofErr w:type="spellEnd"/>
      <w:r w:rsidRPr="000E6B10">
        <w:rPr>
          <w:rFonts w:ascii="David" w:hAnsi="David" w:cs="David" w:hint="cs"/>
          <w:rtl/>
        </w:rPr>
        <w:t xml:space="preserve">" (בר"מ 505/15) שם נקבע בין היתר, כי במקרה של תכנית מתאר ארצית שמעניקה זכויות למקרקעין שאינם מסוימים ואשר מותירה את שיקול הדעת למוסד התכנון המקומי </w:t>
      </w:r>
      <w:r w:rsidRPr="000E6B10">
        <w:rPr>
          <w:rFonts w:ascii="David" w:hAnsi="David" w:cs="David"/>
          <w:rtl/>
        </w:rPr>
        <w:t>–</w:t>
      </w:r>
      <w:r w:rsidRPr="000E6B10">
        <w:rPr>
          <w:rFonts w:ascii="David" w:hAnsi="David" w:cs="David" w:hint="cs"/>
          <w:rtl/>
        </w:rPr>
        <w:t xml:space="preserve"> רק עם אישור היתר הבניה נצמחת ההשבחה, ובהתאם קבע בית המשפט העליון כי אירוע המס והמועד הקובע לחישוב ההשבחה הוא מועד הקונקרטיזציה של </w:t>
      </w:r>
      <w:proofErr w:type="spellStart"/>
      <w:r w:rsidRPr="000E6B10">
        <w:rPr>
          <w:rFonts w:ascii="David" w:hAnsi="David" w:cs="David" w:hint="cs"/>
          <w:rtl/>
        </w:rPr>
        <w:t>התמ"א</w:t>
      </w:r>
      <w:proofErr w:type="spellEnd"/>
      <w:r w:rsidRPr="000E6B10">
        <w:rPr>
          <w:rFonts w:ascii="David" w:hAnsi="David" w:cs="David" w:hint="cs"/>
          <w:rtl/>
        </w:rPr>
        <w:t xml:space="preserve"> למקרקעין מסוימים בדרך של היתר בניה וכי דחיית שומת ההשבחה למועד זה, עולה בקנה אחד עם עקרונות יסוד של דיני מס בין היתר ודאות ויכולת מדידה. </w:t>
      </w:r>
    </w:p>
    <w:p w:rsidR="000E6B10" w:rsidRPr="000E6B10" w:rsidRDefault="000E6B10" w:rsidP="000E6B10">
      <w:pPr>
        <w:pStyle w:val="a9"/>
        <w:numPr>
          <w:ilvl w:val="0"/>
          <w:numId w:val="1"/>
        </w:numPr>
        <w:tabs>
          <w:tab w:val="left" w:pos="425"/>
        </w:tabs>
        <w:spacing w:line="360" w:lineRule="auto"/>
        <w:ind w:left="357" w:hanging="357"/>
        <w:contextualSpacing w:val="0"/>
        <w:jc w:val="both"/>
        <w:rPr>
          <w:rFonts w:ascii="David" w:hAnsi="David" w:cs="David"/>
        </w:rPr>
      </w:pPr>
      <w:r w:rsidRPr="000E6B10">
        <w:rPr>
          <w:rFonts w:ascii="David" w:hAnsi="David" w:cs="David" w:hint="cs"/>
          <w:rtl/>
        </w:rPr>
        <w:t xml:space="preserve">לפיכך טוענת הועדה המקומית כי קבלת עמדת העוררת תוביל בהכרח להשבחה ספקולטיבית </w:t>
      </w:r>
      <w:r w:rsidRPr="000E6B10">
        <w:rPr>
          <w:rFonts w:ascii="David" w:hAnsi="David" w:cs="David"/>
          <w:rtl/>
        </w:rPr>
        <w:t>–</w:t>
      </w:r>
      <w:r w:rsidRPr="000E6B10">
        <w:rPr>
          <w:rFonts w:ascii="David" w:hAnsi="David" w:cs="David" w:hint="cs"/>
          <w:rtl/>
        </w:rPr>
        <w:t xml:space="preserve"> תוצאה בלתי רצויה אותה בית המשפט דחה. </w:t>
      </w:r>
    </w:p>
    <w:p w:rsidR="000E6B10" w:rsidRPr="000E6B10" w:rsidRDefault="000E6B10" w:rsidP="000E6B10">
      <w:pPr>
        <w:pStyle w:val="a9"/>
        <w:numPr>
          <w:ilvl w:val="0"/>
          <w:numId w:val="1"/>
        </w:numPr>
        <w:tabs>
          <w:tab w:val="left" w:pos="425"/>
        </w:tabs>
        <w:spacing w:line="360" w:lineRule="auto"/>
        <w:ind w:left="357" w:hanging="357"/>
        <w:contextualSpacing w:val="0"/>
        <w:jc w:val="both"/>
        <w:rPr>
          <w:rFonts w:ascii="David" w:hAnsi="David" w:cs="David"/>
        </w:rPr>
      </w:pPr>
      <w:r w:rsidRPr="000E6B10">
        <w:rPr>
          <w:rFonts w:ascii="David" w:hAnsi="David" w:cs="David" w:hint="cs"/>
          <w:rtl/>
        </w:rPr>
        <w:t xml:space="preserve">לצד פסיקה מחייבת זו המייצרת עקרונות ברורים באשר להיעדר התחשבות בזכויות מותנות בשומת השבחה, קודם להתגבשותן התקבלה פסיקה סותרת של בתי המשפט מחוזיים בין פסה"ד בעניין </w:t>
      </w:r>
      <w:proofErr w:type="spellStart"/>
      <w:r w:rsidRPr="000E6B10">
        <w:rPr>
          <w:rFonts w:ascii="David" w:hAnsi="David" w:cs="David" w:hint="cs"/>
          <w:rtl/>
        </w:rPr>
        <w:t>לויתן</w:t>
      </w:r>
      <w:proofErr w:type="spellEnd"/>
      <w:r w:rsidRPr="000E6B10">
        <w:rPr>
          <w:rFonts w:ascii="David" w:hAnsi="David" w:cs="David" w:hint="cs"/>
          <w:rtl/>
        </w:rPr>
        <w:t xml:space="preserve"> (</w:t>
      </w:r>
      <w:proofErr w:type="spellStart"/>
      <w:r w:rsidRPr="000E6B10">
        <w:rPr>
          <w:rFonts w:ascii="David" w:hAnsi="David" w:cs="David" w:hint="cs"/>
          <w:rtl/>
        </w:rPr>
        <w:t>עמ"נ</w:t>
      </w:r>
      <w:proofErr w:type="spellEnd"/>
      <w:r w:rsidRPr="000E6B10">
        <w:rPr>
          <w:rFonts w:ascii="David" w:hAnsi="David" w:cs="David" w:hint="cs"/>
          <w:rtl/>
        </w:rPr>
        <w:t xml:space="preserve"> 18618-12-22) אשר אפשר התחשבות </w:t>
      </w:r>
      <w:proofErr w:type="spellStart"/>
      <w:r w:rsidRPr="000E6B10">
        <w:rPr>
          <w:rFonts w:ascii="David" w:hAnsi="David" w:cs="David" w:hint="cs"/>
          <w:rtl/>
        </w:rPr>
        <w:t>בתמ"א</w:t>
      </w:r>
      <w:proofErr w:type="spellEnd"/>
      <w:r w:rsidRPr="000E6B10">
        <w:rPr>
          <w:rFonts w:ascii="David" w:hAnsi="David" w:cs="David" w:hint="cs"/>
          <w:rtl/>
        </w:rPr>
        <w:t xml:space="preserve"> 38 במצב קודם, לבין פסק הדין בעניין "לביא" (</w:t>
      </w:r>
      <w:proofErr w:type="spellStart"/>
      <w:r w:rsidRPr="000E6B10">
        <w:rPr>
          <w:rFonts w:ascii="David" w:hAnsi="David" w:cs="David" w:hint="cs"/>
          <w:rtl/>
        </w:rPr>
        <w:t>עמ"נ</w:t>
      </w:r>
      <w:proofErr w:type="spellEnd"/>
      <w:r w:rsidRPr="000E6B10">
        <w:rPr>
          <w:rFonts w:ascii="David" w:hAnsi="David" w:cs="David" w:hint="cs"/>
          <w:rtl/>
        </w:rPr>
        <w:t xml:space="preserve"> 33949-09-20) אשר דחה את האפשרות להתחשב </w:t>
      </w:r>
      <w:proofErr w:type="spellStart"/>
      <w:r w:rsidRPr="000E6B10">
        <w:rPr>
          <w:rFonts w:ascii="David" w:hAnsi="David" w:cs="David" w:hint="cs"/>
          <w:rtl/>
        </w:rPr>
        <w:t>בתמ"א</w:t>
      </w:r>
      <w:proofErr w:type="spellEnd"/>
      <w:r w:rsidRPr="000E6B10">
        <w:rPr>
          <w:rFonts w:ascii="David" w:hAnsi="David" w:cs="David" w:hint="cs"/>
          <w:rtl/>
        </w:rPr>
        <w:t xml:space="preserve"> 38 כאמור ואשר לשיטת הועדה המקומית מהווה יישום נכון ראוי של ההלכה הפסוקה שאוזכרה לעיל, שכן פסק דין לביא דן באופן ישיר בשאלת ההתחשבות </w:t>
      </w:r>
      <w:proofErr w:type="spellStart"/>
      <w:r w:rsidRPr="000E6B10">
        <w:rPr>
          <w:rFonts w:ascii="David" w:hAnsi="David" w:cs="David" w:hint="cs"/>
          <w:rtl/>
        </w:rPr>
        <w:t>בתמ"א</w:t>
      </w:r>
      <w:proofErr w:type="spellEnd"/>
      <w:r w:rsidRPr="000E6B10">
        <w:rPr>
          <w:rFonts w:ascii="David" w:hAnsi="David" w:cs="David" w:hint="cs"/>
          <w:rtl/>
        </w:rPr>
        <w:t xml:space="preserve"> 38 בחישוב שווי המקרקעין במצב הקודם. בית המשפט קבע שם כי בהתאם להלכה הפסוקה ולאור אופיין המותנה והבלתי וודאי של הזכויות </w:t>
      </w:r>
      <w:proofErr w:type="spellStart"/>
      <w:r w:rsidRPr="000E6B10">
        <w:rPr>
          <w:rFonts w:ascii="David" w:hAnsi="David" w:cs="David" w:hint="cs"/>
          <w:rtl/>
        </w:rPr>
        <w:t>בתמ"א</w:t>
      </w:r>
      <w:proofErr w:type="spellEnd"/>
      <w:r w:rsidRPr="000E6B10">
        <w:rPr>
          <w:rFonts w:ascii="David" w:hAnsi="David" w:cs="David" w:hint="cs"/>
          <w:rtl/>
        </w:rPr>
        <w:t xml:space="preserve"> 38 הרי שאין להתחשב בהן במצב הקודם.</w:t>
      </w:r>
    </w:p>
    <w:p w:rsidR="000E6B10" w:rsidRPr="000E6B10" w:rsidRDefault="000E6B10" w:rsidP="000E6B10">
      <w:pPr>
        <w:pStyle w:val="a9"/>
        <w:numPr>
          <w:ilvl w:val="0"/>
          <w:numId w:val="1"/>
        </w:numPr>
        <w:tabs>
          <w:tab w:val="left" w:pos="425"/>
        </w:tabs>
        <w:spacing w:line="360" w:lineRule="auto"/>
        <w:ind w:left="357" w:hanging="357"/>
        <w:contextualSpacing w:val="0"/>
        <w:jc w:val="both"/>
        <w:rPr>
          <w:rFonts w:ascii="David" w:hAnsi="David" w:cs="David"/>
        </w:rPr>
      </w:pPr>
      <w:r w:rsidRPr="000E6B10">
        <w:rPr>
          <w:rFonts w:ascii="David" w:hAnsi="David" w:cs="David" w:hint="cs"/>
          <w:rtl/>
        </w:rPr>
        <w:t>נטען כי פסק הדין בעניין "</w:t>
      </w:r>
      <w:proofErr w:type="spellStart"/>
      <w:r w:rsidRPr="000E6B10">
        <w:rPr>
          <w:rFonts w:ascii="David" w:hAnsi="David" w:cs="David" w:hint="cs"/>
          <w:rtl/>
        </w:rPr>
        <w:t>לויתן</w:t>
      </w:r>
      <w:proofErr w:type="spellEnd"/>
      <w:r w:rsidRPr="000E6B10">
        <w:rPr>
          <w:rFonts w:ascii="David" w:hAnsi="David" w:cs="David" w:hint="cs"/>
          <w:rtl/>
        </w:rPr>
        <w:t xml:space="preserve">" אשר קבע קביעה שונה אמנם אזכר את פסק דין לביא אולם לא דן באופן מפורט בהנמקות בית המשפט בעניין "לביא" ואף התעלם מהעובדה כי בקשת רשות ערעור בעניין "לביא" נדחתה על פי המלצת בית המשפט העליון ולאחר שהטענות לגופם של דברים נשמעו בפניו ולרבות הטענה כי נטרול תמ"א 38 סוטה מהלכת </w:t>
      </w:r>
      <w:proofErr w:type="spellStart"/>
      <w:r w:rsidRPr="000E6B10">
        <w:rPr>
          <w:rFonts w:ascii="David" w:hAnsi="David" w:cs="David" w:hint="cs"/>
          <w:rtl/>
        </w:rPr>
        <w:t>לוסטרניק</w:t>
      </w:r>
      <w:proofErr w:type="spellEnd"/>
      <w:r w:rsidRPr="000E6B10">
        <w:rPr>
          <w:rFonts w:ascii="David" w:hAnsi="David" w:cs="David" w:hint="cs"/>
          <w:rtl/>
        </w:rPr>
        <w:t xml:space="preserve"> ולרבות העובדה כי במקרה שנדון שם קודמה תחילה בקשה לפי תמ"א 38. כן נטען שפסק הדין בעניין </w:t>
      </w:r>
      <w:proofErr w:type="spellStart"/>
      <w:r w:rsidRPr="000E6B10">
        <w:rPr>
          <w:rFonts w:ascii="David" w:hAnsi="David" w:cs="David" w:hint="cs"/>
          <w:rtl/>
        </w:rPr>
        <w:t>לויתן</w:t>
      </w:r>
      <w:proofErr w:type="spellEnd"/>
      <w:r w:rsidRPr="000E6B10">
        <w:rPr>
          <w:rFonts w:ascii="David" w:hAnsi="David" w:cs="David" w:hint="cs"/>
          <w:rtl/>
        </w:rPr>
        <w:t xml:space="preserve"> אשר אינו חלוט ותלוי ועומד בערעור, וכן סותר את כל המארג הפסיקתי הענף של הלכות בית המשפט העליון כפי שפורטו לעיל ומביא למסקנה קיצונית ובלתי סבירה של הפחתת היטל השבחה בכל תכנית שאושרה לאחר תמ"א 38 וחלה במתחם מגורים קיים.</w:t>
      </w:r>
    </w:p>
    <w:p w:rsidR="000E6B10" w:rsidRPr="000E6B10" w:rsidRDefault="000E6B10" w:rsidP="000E6B10">
      <w:pPr>
        <w:pStyle w:val="a9"/>
        <w:numPr>
          <w:ilvl w:val="0"/>
          <w:numId w:val="1"/>
        </w:numPr>
        <w:tabs>
          <w:tab w:val="left" w:pos="425"/>
        </w:tabs>
        <w:spacing w:line="360" w:lineRule="auto"/>
        <w:ind w:left="357" w:hanging="357"/>
        <w:contextualSpacing w:val="0"/>
        <w:jc w:val="both"/>
        <w:rPr>
          <w:rFonts w:ascii="David" w:hAnsi="David" w:cs="David"/>
        </w:rPr>
      </w:pPr>
      <w:r w:rsidRPr="000E6B10">
        <w:rPr>
          <w:rFonts w:ascii="David" w:hAnsi="David" w:cs="David" w:hint="cs"/>
          <w:rtl/>
        </w:rPr>
        <w:t xml:space="preserve">הועדה המקומית מפנה גם לשורה של החלטות ועדות הערר השונות בהן נקבע במישרין כי יש לנטרל את השפעתה של תמ"א 38 על שווי המקרקעין במצב הקודם: בן דוד (ערר 8023-06-20) לוי (ערר 8053-08-21) זליג (ערר 8029-07-20) </w:t>
      </w:r>
      <w:proofErr w:type="spellStart"/>
      <w:r w:rsidRPr="000E6B10">
        <w:rPr>
          <w:rFonts w:ascii="David" w:hAnsi="David" w:cs="David" w:hint="cs"/>
          <w:rtl/>
        </w:rPr>
        <w:t>פלישר</w:t>
      </w:r>
      <w:proofErr w:type="spellEnd"/>
      <w:r w:rsidRPr="000E6B10">
        <w:rPr>
          <w:rFonts w:ascii="David" w:hAnsi="David" w:cs="David" w:hint="cs"/>
          <w:rtl/>
        </w:rPr>
        <w:t xml:space="preserve"> (ערר 87039-06-21) כהן (ערר 8069-19). </w:t>
      </w:r>
    </w:p>
    <w:p w:rsidR="000E6B10" w:rsidRPr="000E6B10" w:rsidRDefault="000E6B10" w:rsidP="000E6B10">
      <w:pPr>
        <w:pStyle w:val="a9"/>
        <w:numPr>
          <w:ilvl w:val="0"/>
          <w:numId w:val="1"/>
        </w:numPr>
        <w:tabs>
          <w:tab w:val="left" w:pos="425"/>
        </w:tabs>
        <w:spacing w:line="360" w:lineRule="auto"/>
        <w:ind w:left="357" w:hanging="357"/>
        <w:contextualSpacing w:val="0"/>
        <w:jc w:val="both"/>
        <w:rPr>
          <w:rFonts w:ascii="David" w:hAnsi="David" w:cs="David"/>
        </w:rPr>
      </w:pPr>
      <w:r w:rsidRPr="000E6B10">
        <w:rPr>
          <w:rFonts w:ascii="David" w:hAnsi="David" w:cs="David" w:hint="cs"/>
          <w:rtl/>
        </w:rPr>
        <w:t xml:space="preserve"> עוד נטען שלא ניתן לקבל את טיעוני החברה אך לאור שיקולי הוגנות. בעת שלא ניתן לחייב בעלי זכויות בהיטל בגין אישור תמ"א 38 במימוש במכר גם אם עלה שווי המקרקעין כך גם יש לנטרל שווי זה מהמצב הקודם בעת מימוש במכר. </w:t>
      </w:r>
    </w:p>
    <w:p w:rsidR="000E6B10" w:rsidRPr="000E6B10" w:rsidRDefault="000E6B10" w:rsidP="000E6B10">
      <w:pPr>
        <w:pStyle w:val="a9"/>
        <w:numPr>
          <w:ilvl w:val="0"/>
          <w:numId w:val="1"/>
        </w:numPr>
        <w:tabs>
          <w:tab w:val="left" w:pos="425"/>
        </w:tabs>
        <w:spacing w:line="360" w:lineRule="auto"/>
        <w:ind w:left="357" w:hanging="357"/>
        <w:contextualSpacing w:val="0"/>
        <w:jc w:val="both"/>
        <w:rPr>
          <w:rFonts w:ascii="David" w:hAnsi="David" w:cs="David"/>
        </w:rPr>
      </w:pPr>
      <w:r w:rsidRPr="000E6B10">
        <w:rPr>
          <w:rFonts w:ascii="David" w:hAnsi="David" w:cs="David" w:hint="cs"/>
          <w:rtl/>
        </w:rPr>
        <w:t xml:space="preserve">עוד טוענת הועדה המקומית כי אף הניסיון לסמוך על עניין "דלי דליה" אינו מועיל לטענות החברה. ראשית, הלכת דלי דליה מדייקת את שאלת ההתחשבות בפוטנציאל וזאת, לעומת הלכת </w:t>
      </w:r>
      <w:proofErr w:type="spellStart"/>
      <w:r w:rsidRPr="000E6B10">
        <w:rPr>
          <w:rFonts w:ascii="David" w:hAnsi="David" w:cs="David" w:hint="cs"/>
          <w:rtl/>
        </w:rPr>
        <w:t>לוסטרניק</w:t>
      </w:r>
      <w:proofErr w:type="spellEnd"/>
      <w:r w:rsidRPr="000E6B10">
        <w:rPr>
          <w:rFonts w:ascii="David" w:hAnsi="David" w:cs="David" w:hint="cs"/>
          <w:rtl/>
        </w:rPr>
        <w:t xml:space="preserve">. כידוע בהתאם להלכת "דלי דליה" התחשבות בפוטנציאל רק כל עוד עסקינן בתכנית מופקדת וכאשר מתווסף "דבר מה נוסף" שיראה שהגענו לנקודת "אל חזור". תנאים אלו אינם יכולים להתקיים כאשר עוסקים בזכויות מכוח תמ"א 38 שהינן כל כולן זכויות המצויות בשיקול דעת ואינן מוקנות עד לרגע אישורן בפועל. מכאן שהלכת "דלי דליה" בזכויות מסוג זה לא ניתן להגיע כלל לנקודת אל חזור ולהתחשב בפוטנציאל הנובע מהן קודם להתגבשותן בהחלטת ועדה מקומית לאשר בקשה להיתר. </w:t>
      </w:r>
    </w:p>
    <w:p w:rsidR="000E6B10" w:rsidRPr="000E6B10" w:rsidRDefault="000E6B10" w:rsidP="000E6B10">
      <w:pPr>
        <w:pStyle w:val="a9"/>
        <w:numPr>
          <w:ilvl w:val="0"/>
          <w:numId w:val="1"/>
        </w:numPr>
        <w:tabs>
          <w:tab w:val="left" w:pos="425"/>
        </w:tabs>
        <w:spacing w:line="360" w:lineRule="auto"/>
        <w:ind w:left="357" w:hanging="357"/>
        <w:contextualSpacing w:val="0"/>
        <w:jc w:val="both"/>
        <w:rPr>
          <w:rFonts w:ascii="David" w:hAnsi="David" w:cs="David"/>
        </w:rPr>
      </w:pPr>
      <w:r w:rsidRPr="000E6B10">
        <w:rPr>
          <w:rFonts w:ascii="David" w:hAnsi="David" w:cs="David" w:hint="cs"/>
          <w:rtl/>
        </w:rPr>
        <w:t xml:space="preserve">עוד יצוין שעל פי הוראות תמ"א 38 היא אינה חלה כאשר נעשה פרויקט פינוי בינוי. אף מכך יש ללמוד כי התחשבות </w:t>
      </w:r>
      <w:proofErr w:type="spellStart"/>
      <w:r w:rsidRPr="000E6B10">
        <w:rPr>
          <w:rFonts w:ascii="David" w:hAnsi="David" w:cs="David" w:hint="cs"/>
          <w:rtl/>
        </w:rPr>
        <w:t>בתמ"א</w:t>
      </w:r>
      <w:proofErr w:type="spellEnd"/>
      <w:r w:rsidRPr="000E6B10">
        <w:rPr>
          <w:rFonts w:ascii="David" w:hAnsi="David" w:cs="David" w:hint="cs"/>
          <w:rtl/>
        </w:rPr>
        <w:t xml:space="preserve"> 38 וודאי אינה רלוונטית כמצב קודם לתכנית פינוי בינוי. </w:t>
      </w:r>
    </w:p>
    <w:p w:rsidR="000E6B10" w:rsidRPr="000E6B10" w:rsidRDefault="000E6B10" w:rsidP="000E6B10">
      <w:pPr>
        <w:pStyle w:val="a9"/>
        <w:numPr>
          <w:ilvl w:val="0"/>
          <w:numId w:val="1"/>
        </w:numPr>
        <w:tabs>
          <w:tab w:val="left" w:pos="425"/>
        </w:tabs>
        <w:spacing w:line="360" w:lineRule="auto"/>
        <w:ind w:left="357" w:hanging="357"/>
        <w:contextualSpacing w:val="0"/>
        <w:jc w:val="both"/>
        <w:rPr>
          <w:rFonts w:ascii="David" w:hAnsi="David" w:cs="David"/>
        </w:rPr>
      </w:pPr>
      <w:r w:rsidRPr="000E6B10">
        <w:rPr>
          <w:rFonts w:ascii="David" w:hAnsi="David" w:cs="David" w:hint="cs"/>
          <w:rtl/>
        </w:rPr>
        <w:t xml:space="preserve">לאור כל האמור מבקשת הועדה המקומית לדחות את טענת החברה בעניין התחשבות בהשפעתה של תמ"א 38 במצב קודם. </w:t>
      </w:r>
    </w:p>
    <w:p w:rsidR="000E6B10" w:rsidRPr="002D0C7D" w:rsidRDefault="000E6B10" w:rsidP="000E6B10"/>
    <w:p w:rsidR="00332D35" w:rsidRPr="00CB2F39" w:rsidRDefault="00343D32" w:rsidP="00343D32">
      <w:pPr>
        <w:tabs>
          <w:tab w:val="left" w:pos="1244"/>
        </w:tabs>
        <w:spacing w:line="360" w:lineRule="auto"/>
        <w:jc w:val="both"/>
        <w:rPr>
          <w:rFonts w:ascii="David" w:hAnsi="David" w:cs="David"/>
          <w:b/>
          <w:bCs/>
          <w:u w:val="thick"/>
          <w:rtl/>
        </w:rPr>
      </w:pPr>
      <w:r w:rsidRPr="00CB2F39">
        <w:rPr>
          <w:rFonts w:ascii="David" w:hAnsi="David" w:cs="David" w:hint="cs"/>
          <w:b/>
          <w:bCs/>
          <w:u w:val="thick"/>
          <w:rtl/>
        </w:rPr>
        <w:t>ד</w:t>
      </w:r>
      <w:r w:rsidR="00332D35" w:rsidRPr="00CB2F39">
        <w:rPr>
          <w:rFonts w:ascii="David" w:hAnsi="David" w:cs="David" w:hint="cs"/>
          <w:b/>
          <w:bCs/>
          <w:u w:val="thick"/>
          <w:rtl/>
        </w:rPr>
        <w:t xml:space="preserve">יון והכרעה </w:t>
      </w:r>
    </w:p>
    <w:p w:rsidR="00E15673" w:rsidRPr="00E15673" w:rsidRDefault="00724D16" w:rsidP="000E6B10">
      <w:pPr>
        <w:pStyle w:val="a9"/>
        <w:numPr>
          <w:ilvl w:val="0"/>
          <w:numId w:val="1"/>
        </w:numPr>
        <w:tabs>
          <w:tab w:val="left" w:pos="425"/>
        </w:tabs>
        <w:spacing w:line="360" w:lineRule="auto"/>
        <w:ind w:left="357" w:hanging="357"/>
        <w:contextualSpacing w:val="0"/>
        <w:jc w:val="both"/>
        <w:rPr>
          <w:rFonts w:ascii="David" w:hAnsi="David" w:cs="David"/>
        </w:rPr>
      </w:pPr>
      <w:r w:rsidRPr="00E15673">
        <w:rPr>
          <w:rFonts w:ascii="David" w:hAnsi="David" w:cs="David"/>
          <w:rtl/>
        </w:rPr>
        <w:t xml:space="preserve">הצדדים הפליגו בטיעוניהם בעניין התחשבות/העדר התחשבות </w:t>
      </w:r>
      <w:proofErr w:type="spellStart"/>
      <w:r w:rsidRPr="00E15673">
        <w:rPr>
          <w:rFonts w:ascii="David" w:hAnsi="David" w:cs="David"/>
          <w:rtl/>
        </w:rPr>
        <w:t>בתמ"א</w:t>
      </w:r>
      <w:proofErr w:type="spellEnd"/>
      <w:r w:rsidRPr="00E15673">
        <w:rPr>
          <w:rFonts w:ascii="David" w:hAnsi="David" w:cs="David"/>
          <w:rtl/>
        </w:rPr>
        <w:t xml:space="preserve"> 38 וניתן להבין זאת שעה שקיימות מספר הכרעות סותרות של בתי המשפט המחוזיים ועתה העניין ממתין להכרעתו של בית המשפט העליו</w:t>
      </w:r>
      <w:r w:rsidR="00382528">
        <w:rPr>
          <w:rFonts w:ascii="David" w:hAnsi="David" w:cs="David" w:hint="cs"/>
          <w:rtl/>
        </w:rPr>
        <w:t>ן</w:t>
      </w:r>
      <w:r w:rsidR="00BC494D">
        <w:rPr>
          <w:rFonts w:ascii="David" w:hAnsi="David" w:cs="David" w:hint="cs"/>
          <w:rtl/>
        </w:rPr>
        <w:t xml:space="preserve"> שקיים דיון ביום 3.7.2025</w:t>
      </w:r>
      <w:r w:rsidR="00382528">
        <w:rPr>
          <w:rFonts w:ascii="David" w:hAnsi="David" w:cs="David" w:hint="cs"/>
          <w:rtl/>
        </w:rPr>
        <w:t xml:space="preserve">. </w:t>
      </w:r>
    </w:p>
    <w:p w:rsidR="00E15673" w:rsidRDefault="00724D16" w:rsidP="000E6B10">
      <w:pPr>
        <w:pStyle w:val="a9"/>
        <w:numPr>
          <w:ilvl w:val="0"/>
          <w:numId w:val="1"/>
        </w:numPr>
        <w:tabs>
          <w:tab w:val="left" w:pos="425"/>
        </w:tabs>
        <w:spacing w:line="360" w:lineRule="auto"/>
        <w:ind w:left="357" w:hanging="357"/>
        <w:contextualSpacing w:val="0"/>
        <w:jc w:val="both"/>
        <w:rPr>
          <w:rFonts w:ascii="David" w:hAnsi="David" w:cs="David"/>
        </w:rPr>
      </w:pPr>
      <w:r w:rsidRPr="00E15673">
        <w:rPr>
          <w:rFonts w:ascii="David" w:hAnsi="David" w:cs="David"/>
          <w:rtl/>
        </w:rPr>
        <w:t xml:space="preserve">בטיעון החברה תומכים פסקי הדין בעניין </w:t>
      </w:r>
      <w:hyperlink r:id="rId58" w:history="1">
        <w:proofErr w:type="spellStart"/>
        <w:r w:rsidRPr="00E15673">
          <w:rPr>
            <w:rFonts w:ascii="David" w:hAnsi="David" w:cs="David"/>
            <w:rtl/>
          </w:rPr>
          <w:t>עמ"נ</w:t>
        </w:r>
        <w:proofErr w:type="spellEnd"/>
        <w:r w:rsidRPr="00E15673">
          <w:rPr>
            <w:rFonts w:ascii="David" w:hAnsi="David" w:cs="David"/>
            <w:rtl/>
          </w:rPr>
          <w:t xml:space="preserve"> (תל אביב-יפו) 18618-12-22</w:t>
        </w:r>
      </w:hyperlink>
      <w:r w:rsidRPr="00E15673">
        <w:rPr>
          <w:rFonts w:ascii="David" w:hAnsi="David" w:cs="David"/>
          <w:rtl/>
        </w:rPr>
        <w:t xml:space="preserve"> </w:t>
      </w:r>
      <w:proofErr w:type="spellStart"/>
      <w:r w:rsidRPr="00E15673">
        <w:rPr>
          <w:rFonts w:ascii="David" w:hAnsi="David" w:cs="David"/>
          <w:b/>
          <w:bCs/>
          <w:u w:val="single"/>
          <w:rtl/>
        </w:rPr>
        <w:t>לויתן</w:t>
      </w:r>
      <w:proofErr w:type="spellEnd"/>
      <w:r w:rsidRPr="00E15673">
        <w:rPr>
          <w:rFonts w:ascii="David" w:hAnsi="David" w:cs="David"/>
          <w:b/>
          <w:bCs/>
          <w:u w:val="single"/>
          <w:rtl/>
        </w:rPr>
        <w:t xml:space="preserve"> אדיב שמואל נ' ועדה מקומית לתכנון ובניה תל אביב</w:t>
      </w:r>
      <w:r w:rsidRPr="00E15673">
        <w:rPr>
          <w:rFonts w:ascii="David" w:hAnsi="David" w:cs="David"/>
          <w:b/>
          <w:bCs/>
          <w:rtl/>
        </w:rPr>
        <w:t xml:space="preserve"> </w:t>
      </w:r>
      <w:r w:rsidRPr="00E15673">
        <w:rPr>
          <w:rFonts w:ascii="David" w:hAnsi="David" w:cs="David"/>
          <w:rtl/>
        </w:rPr>
        <w:t xml:space="preserve">(נבו 8.2.24) וכן </w:t>
      </w:r>
      <w:proofErr w:type="spellStart"/>
      <w:r w:rsidRPr="00E15673">
        <w:rPr>
          <w:rFonts w:ascii="David" w:hAnsi="David" w:cs="David"/>
          <w:rtl/>
        </w:rPr>
        <w:t>עמ"ן</w:t>
      </w:r>
      <w:proofErr w:type="spellEnd"/>
      <w:r w:rsidRPr="00E15673">
        <w:rPr>
          <w:rFonts w:ascii="David" w:hAnsi="David" w:cs="David"/>
          <w:rtl/>
        </w:rPr>
        <w:t xml:space="preserve"> (ירושלים) 25955-12-22 </w:t>
      </w:r>
      <w:r w:rsidRPr="00E15673">
        <w:rPr>
          <w:rFonts w:ascii="David" w:hAnsi="David" w:cs="David"/>
          <w:b/>
          <w:bCs/>
          <w:u w:val="single"/>
          <w:rtl/>
        </w:rPr>
        <w:t>ברק ואח' נ. הוועדה המקומית ירושלים</w:t>
      </w:r>
      <w:r w:rsidRPr="00E15673">
        <w:rPr>
          <w:rFonts w:ascii="David" w:hAnsi="David" w:cs="David"/>
          <w:b/>
          <w:bCs/>
          <w:rtl/>
        </w:rPr>
        <w:t xml:space="preserve"> </w:t>
      </w:r>
      <w:r w:rsidRPr="00E15673">
        <w:rPr>
          <w:rFonts w:ascii="David" w:hAnsi="David" w:cs="David"/>
          <w:rtl/>
        </w:rPr>
        <w:t>(נבו</w:t>
      </w:r>
      <w:r w:rsidR="00E15673" w:rsidRPr="00E15673">
        <w:rPr>
          <w:rFonts w:ascii="David" w:hAnsi="David" w:cs="David"/>
          <w:rtl/>
        </w:rPr>
        <w:t>)</w:t>
      </w:r>
      <w:r w:rsidR="00382528">
        <w:rPr>
          <w:rFonts w:ascii="David" w:hAnsi="David" w:cs="David" w:hint="cs"/>
          <w:rtl/>
        </w:rPr>
        <w:t>.</w:t>
      </w:r>
    </w:p>
    <w:p w:rsidR="00E15673" w:rsidRDefault="00724D16" w:rsidP="000E6B10">
      <w:pPr>
        <w:pStyle w:val="a9"/>
        <w:numPr>
          <w:ilvl w:val="0"/>
          <w:numId w:val="1"/>
        </w:numPr>
        <w:tabs>
          <w:tab w:val="left" w:pos="425"/>
        </w:tabs>
        <w:spacing w:line="360" w:lineRule="auto"/>
        <w:ind w:left="357" w:hanging="357"/>
        <w:contextualSpacing w:val="0"/>
        <w:jc w:val="both"/>
        <w:rPr>
          <w:rFonts w:ascii="David" w:hAnsi="David" w:cs="David"/>
        </w:rPr>
      </w:pPr>
      <w:r w:rsidRPr="00E15673">
        <w:rPr>
          <w:rFonts w:ascii="David" w:hAnsi="David" w:cs="David"/>
          <w:rtl/>
        </w:rPr>
        <w:t xml:space="preserve">יצוין כי על פסק הדין בעניין </w:t>
      </w:r>
      <w:r w:rsidR="0006047C">
        <w:rPr>
          <w:rFonts w:ascii="David" w:hAnsi="David" w:cs="David" w:hint="cs"/>
          <w:b/>
          <w:bCs/>
          <w:rtl/>
        </w:rPr>
        <w:t>"</w:t>
      </w:r>
      <w:proofErr w:type="spellStart"/>
      <w:r w:rsidRPr="00E15673">
        <w:rPr>
          <w:rFonts w:ascii="David" w:hAnsi="David" w:cs="David"/>
          <w:b/>
          <w:bCs/>
          <w:rtl/>
        </w:rPr>
        <w:t>לויתן</w:t>
      </w:r>
      <w:proofErr w:type="spellEnd"/>
      <w:r w:rsidR="0006047C">
        <w:rPr>
          <w:rFonts w:ascii="David" w:hAnsi="David" w:cs="David" w:hint="cs"/>
          <w:rtl/>
        </w:rPr>
        <w:t>"</w:t>
      </w:r>
      <w:r w:rsidR="009E78DE" w:rsidRPr="00E15673">
        <w:rPr>
          <w:rFonts w:ascii="David" w:hAnsi="David" w:cs="David"/>
          <w:rtl/>
        </w:rPr>
        <w:t xml:space="preserve"> ו</w:t>
      </w:r>
      <w:r w:rsidR="0006047C">
        <w:rPr>
          <w:rFonts w:ascii="David" w:hAnsi="David" w:cs="David" w:hint="cs"/>
          <w:rtl/>
        </w:rPr>
        <w:t>"</w:t>
      </w:r>
      <w:r w:rsidR="009E78DE" w:rsidRPr="00E15673">
        <w:rPr>
          <w:rFonts w:ascii="David" w:hAnsi="David" w:cs="David"/>
          <w:b/>
          <w:bCs/>
          <w:rtl/>
        </w:rPr>
        <w:t>ברק</w:t>
      </w:r>
      <w:r w:rsidR="0006047C">
        <w:rPr>
          <w:rFonts w:ascii="David" w:hAnsi="David" w:cs="David" w:hint="cs"/>
          <w:b/>
          <w:bCs/>
          <w:rtl/>
        </w:rPr>
        <w:t>"</w:t>
      </w:r>
      <w:r w:rsidRPr="00E15673">
        <w:rPr>
          <w:rFonts w:ascii="David" w:hAnsi="David" w:cs="David"/>
          <w:rtl/>
        </w:rPr>
        <w:t xml:space="preserve"> לעיל תלוי</w:t>
      </w:r>
      <w:r w:rsidR="009E78DE" w:rsidRPr="00E15673">
        <w:rPr>
          <w:rFonts w:ascii="David" w:hAnsi="David" w:cs="David"/>
          <w:rtl/>
        </w:rPr>
        <w:t>ים</w:t>
      </w:r>
      <w:r w:rsidRPr="00E15673">
        <w:rPr>
          <w:rFonts w:ascii="David" w:hAnsi="David" w:cs="David"/>
          <w:rtl/>
        </w:rPr>
        <w:t xml:space="preserve"> ועומד</w:t>
      </w:r>
      <w:r w:rsidR="00382528">
        <w:rPr>
          <w:rFonts w:ascii="David" w:hAnsi="David" w:cs="David" w:hint="cs"/>
          <w:rtl/>
        </w:rPr>
        <w:t>ים</w:t>
      </w:r>
      <w:r w:rsidRPr="00E15673">
        <w:rPr>
          <w:rFonts w:ascii="David" w:hAnsi="David" w:cs="David"/>
          <w:rtl/>
        </w:rPr>
        <w:t xml:space="preserve"> ערעור</w:t>
      </w:r>
      <w:r w:rsidR="00382528">
        <w:rPr>
          <w:rFonts w:ascii="David" w:hAnsi="David" w:cs="David" w:hint="cs"/>
          <w:rtl/>
        </w:rPr>
        <w:t>ים</w:t>
      </w:r>
      <w:r w:rsidRPr="00E15673">
        <w:rPr>
          <w:rFonts w:ascii="David" w:hAnsi="David" w:cs="David"/>
          <w:rtl/>
        </w:rPr>
        <w:t xml:space="preserve"> בבית המשפט העליון בעניין </w:t>
      </w:r>
      <w:hyperlink r:id="rId59" w:history="1">
        <w:r w:rsidRPr="00E15673">
          <w:rPr>
            <w:rFonts w:ascii="David" w:hAnsi="David" w:cs="David"/>
            <w:rtl/>
          </w:rPr>
          <w:t>בר"מ 1975/24</w:t>
        </w:r>
      </w:hyperlink>
      <w:r w:rsidRPr="00E15673">
        <w:rPr>
          <w:rFonts w:ascii="David" w:hAnsi="David" w:cs="David"/>
          <w:rtl/>
        </w:rPr>
        <w:t xml:space="preserve"> </w:t>
      </w:r>
      <w:r w:rsidRPr="00E15673">
        <w:rPr>
          <w:rFonts w:ascii="David" w:hAnsi="David" w:cs="David"/>
          <w:b/>
          <w:bCs/>
          <w:u w:val="single"/>
          <w:rtl/>
        </w:rPr>
        <w:t xml:space="preserve">הוועדה המקומית תל אביב-יפו נ' </w:t>
      </w:r>
      <w:proofErr w:type="spellStart"/>
      <w:r w:rsidRPr="00E15673">
        <w:rPr>
          <w:rFonts w:ascii="David" w:hAnsi="David" w:cs="David"/>
          <w:b/>
          <w:bCs/>
          <w:u w:val="single"/>
          <w:rtl/>
        </w:rPr>
        <w:t>לויתן</w:t>
      </w:r>
      <w:proofErr w:type="spellEnd"/>
      <w:r w:rsidRPr="00E15673">
        <w:rPr>
          <w:rFonts w:ascii="David" w:hAnsi="David" w:cs="David"/>
          <w:b/>
          <w:bCs/>
          <w:u w:val="single"/>
          <w:rtl/>
        </w:rPr>
        <w:t xml:space="preserve"> אדיב שמואל</w:t>
      </w:r>
      <w:r w:rsidRPr="00E15673">
        <w:rPr>
          <w:rFonts w:ascii="David" w:hAnsi="David" w:cs="David"/>
          <w:b/>
          <w:bCs/>
          <w:rtl/>
        </w:rPr>
        <w:t xml:space="preserve">, </w:t>
      </w:r>
      <w:r w:rsidR="009E78DE" w:rsidRPr="00E15673">
        <w:rPr>
          <w:rFonts w:ascii="David" w:hAnsi="David" w:cs="David"/>
          <w:rtl/>
        </w:rPr>
        <w:t xml:space="preserve">וכן בר"מ 25226-04-25  </w:t>
      </w:r>
      <w:r w:rsidR="009E78DE" w:rsidRPr="00E15673">
        <w:rPr>
          <w:rFonts w:ascii="David" w:hAnsi="David" w:cs="David"/>
          <w:b/>
          <w:bCs/>
          <w:u w:val="single"/>
          <w:rtl/>
        </w:rPr>
        <w:t xml:space="preserve">הועדה המקומית לתכנון ולבניה ירושלים נ' יערה </w:t>
      </w:r>
      <w:proofErr w:type="spellStart"/>
      <w:r w:rsidR="009E78DE" w:rsidRPr="00E15673">
        <w:rPr>
          <w:rFonts w:ascii="David" w:hAnsi="David" w:cs="David"/>
          <w:b/>
          <w:bCs/>
          <w:u w:val="single"/>
          <w:rtl/>
        </w:rPr>
        <w:t>קלמנוביץ</w:t>
      </w:r>
      <w:proofErr w:type="spellEnd"/>
      <w:r w:rsidR="009E78DE" w:rsidRPr="00E15673">
        <w:rPr>
          <w:rFonts w:ascii="David" w:hAnsi="David" w:cs="David"/>
          <w:b/>
          <w:bCs/>
          <w:u w:val="single"/>
          <w:rtl/>
        </w:rPr>
        <w:t xml:space="preserve"> ו-64 אח'.</w:t>
      </w:r>
      <w:r w:rsidR="009E78DE" w:rsidRPr="00E15673">
        <w:rPr>
          <w:rFonts w:ascii="David" w:hAnsi="David" w:cs="David"/>
          <w:rtl/>
        </w:rPr>
        <w:t xml:space="preserve"> כאשר במסגרתם אף הוגשה עמדת היועצת המשפטית לממשלה</w:t>
      </w:r>
      <w:r w:rsidR="0006047C">
        <w:rPr>
          <w:rFonts w:ascii="David" w:hAnsi="David" w:cs="David" w:hint="cs"/>
          <w:rtl/>
        </w:rPr>
        <w:t xml:space="preserve"> (ייקראו להלן לשם הנוחות - "</w:t>
      </w:r>
      <w:proofErr w:type="spellStart"/>
      <w:r w:rsidR="0006047C" w:rsidRPr="0006047C">
        <w:rPr>
          <w:rFonts w:ascii="David" w:hAnsi="David" w:cs="David" w:hint="cs"/>
          <w:b/>
          <w:bCs/>
          <w:rtl/>
        </w:rPr>
        <w:t>לויתן</w:t>
      </w:r>
      <w:proofErr w:type="spellEnd"/>
      <w:r w:rsidR="0006047C">
        <w:rPr>
          <w:rFonts w:ascii="David" w:hAnsi="David" w:cs="David" w:hint="cs"/>
          <w:rtl/>
        </w:rPr>
        <w:t>")</w:t>
      </w:r>
      <w:r w:rsidR="009E78DE" w:rsidRPr="00E15673">
        <w:rPr>
          <w:rFonts w:ascii="David" w:hAnsi="David" w:cs="David"/>
          <w:rtl/>
        </w:rPr>
        <w:t xml:space="preserve">. </w:t>
      </w:r>
    </w:p>
    <w:p w:rsidR="00E15673" w:rsidRPr="00E15673" w:rsidRDefault="00724D16" w:rsidP="007E5672">
      <w:pPr>
        <w:pStyle w:val="a9"/>
        <w:numPr>
          <w:ilvl w:val="0"/>
          <w:numId w:val="1"/>
        </w:numPr>
        <w:tabs>
          <w:tab w:val="left" w:pos="425"/>
        </w:tabs>
        <w:spacing w:line="360" w:lineRule="auto"/>
        <w:contextualSpacing w:val="0"/>
        <w:jc w:val="both"/>
        <w:rPr>
          <w:rFonts w:ascii="David" w:hAnsi="David" w:cs="David"/>
        </w:rPr>
      </w:pPr>
      <w:r w:rsidRPr="00E15673">
        <w:rPr>
          <w:rFonts w:ascii="David" w:hAnsi="David" w:cs="David"/>
          <w:rtl/>
        </w:rPr>
        <w:t xml:space="preserve">לעומת זאת, בטיעונה של הוועדה המקומית תומכים פסק הדין בעניין </w:t>
      </w:r>
      <w:hyperlink r:id="rId60" w:history="1">
        <w:proofErr w:type="spellStart"/>
        <w:r w:rsidRPr="00E15673">
          <w:rPr>
            <w:rFonts w:ascii="David" w:hAnsi="David" w:cs="David"/>
            <w:color w:val="0000FF"/>
            <w:u w:val="single"/>
            <w:rtl/>
          </w:rPr>
          <w:t>עמ"נ</w:t>
        </w:r>
        <w:proofErr w:type="spellEnd"/>
        <w:r w:rsidRPr="00E15673">
          <w:rPr>
            <w:rFonts w:ascii="David" w:hAnsi="David" w:cs="David"/>
            <w:color w:val="0000FF"/>
            <w:u w:val="single"/>
            <w:rtl/>
          </w:rPr>
          <w:t xml:space="preserve"> (חי') 33949-09-20</w:t>
        </w:r>
      </w:hyperlink>
      <w:r w:rsidRPr="00E15673">
        <w:rPr>
          <w:rFonts w:ascii="David" w:hAnsi="David" w:cs="David"/>
          <w:rtl/>
        </w:rPr>
        <w:t>‏ ‏</w:t>
      </w:r>
      <w:r w:rsidRPr="00E15673">
        <w:rPr>
          <w:rFonts w:ascii="David" w:hAnsi="David" w:cs="David"/>
          <w:b/>
          <w:bCs/>
          <w:rtl/>
        </w:rPr>
        <w:t>אהוד אברהם לביא נ' הוועדה המקומית לתכנון ובנייה חיפה</w:t>
      </w:r>
      <w:r w:rsidRPr="00E15673">
        <w:rPr>
          <w:rFonts w:ascii="David" w:hAnsi="David" w:cs="David"/>
          <w:rtl/>
        </w:rPr>
        <w:t xml:space="preserve">  (נבו 21.7.21) בקשת רשות לערער עליו בתיק </w:t>
      </w:r>
      <w:hyperlink r:id="rId61" w:history="1">
        <w:r w:rsidRPr="00E15673">
          <w:rPr>
            <w:rFonts w:ascii="David" w:hAnsi="David" w:cs="David"/>
            <w:color w:val="0000FF"/>
            <w:u w:val="single"/>
            <w:rtl/>
          </w:rPr>
          <w:t>בר"מ 6512/21</w:t>
        </w:r>
      </w:hyperlink>
      <w:r w:rsidRPr="00E15673">
        <w:rPr>
          <w:rFonts w:ascii="David" w:hAnsi="David" w:cs="David"/>
          <w:rtl/>
        </w:rPr>
        <w:t xml:space="preserve"> </w:t>
      </w:r>
      <w:r w:rsidRPr="00E15673">
        <w:rPr>
          <w:rFonts w:ascii="David" w:hAnsi="David" w:cs="David"/>
          <w:b/>
          <w:bCs/>
          <w:rtl/>
        </w:rPr>
        <w:t>אהוד אברהם לביא נ' הוועדה המקומית לתכנון ולבניה חיפה</w:t>
      </w:r>
      <w:r w:rsidRPr="00E15673">
        <w:rPr>
          <w:rFonts w:ascii="David" w:hAnsi="David" w:cs="David"/>
          <w:rtl/>
        </w:rPr>
        <w:t xml:space="preserve"> (נב</w:t>
      </w:r>
      <w:r w:rsidR="00146016" w:rsidRPr="00E15673">
        <w:rPr>
          <w:rFonts w:ascii="David" w:hAnsi="David" w:cs="David"/>
          <w:rtl/>
        </w:rPr>
        <w:t>ו 14.11.22)</w:t>
      </w:r>
      <w:r w:rsidRPr="00E15673">
        <w:rPr>
          <w:rFonts w:ascii="David" w:hAnsi="David" w:cs="David"/>
          <w:rtl/>
        </w:rPr>
        <w:t xml:space="preserve"> נמחקה בהמלצת בית המשפט העליון) והחלטת ועדת הערר בעניין </w:t>
      </w:r>
      <w:hyperlink r:id="rId62" w:history="1">
        <w:r w:rsidRPr="00E15673">
          <w:rPr>
            <w:rFonts w:ascii="David" w:hAnsi="David" w:cs="David"/>
            <w:rtl/>
          </w:rPr>
          <w:t>ערר (תל אביב-יפו) 8290-11-18</w:t>
        </w:r>
      </w:hyperlink>
      <w:r w:rsidRPr="00E15673">
        <w:rPr>
          <w:rFonts w:ascii="David" w:hAnsi="David" w:cs="David"/>
          <w:rtl/>
        </w:rPr>
        <w:t xml:space="preserve"> </w:t>
      </w:r>
      <w:proofErr w:type="spellStart"/>
      <w:r w:rsidRPr="00E15673">
        <w:rPr>
          <w:rFonts w:ascii="David" w:hAnsi="David" w:cs="David"/>
          <w:b/>
          <w:bCs/>
          <w:u w:val="single"/>
          <w:rtl/>
        </w:rPr>
        <w:t>לויתן</w:t>
      </w:r>
      <w:proofErr w:type="spellEnd"/>
      <w:r w:rsidRPr="00E15673">
        <w:rPr>
          <w:rFonts w:ascii="David" w:hAnsi="David" w:cs="David"/>
          <w:b/>
          <w:bCs/>
          <w:u w:val="single"/>
          <w:rtl/>
        </w:rPr>
        <w:t xml:space="preserve"> אדיב שמואל נ' הוועדה המקומית לתכנון ובניה תל אביב – יפו</w:t>
      </w:r>
      <w:r w:rsidRPr="00E15673">
        <w:rPr>
          <w:rFonts w:ascii="David" w:hAnsi="David" w:cs="David"/>
          <w:b/>
          <w:bCs/>
          <w:rtl/>
        </w:rPr>
        <w:t xml:space="preserve"> </w:t>
      </w:r>
      <w:r w:rsidRPr="00E15673">
        <w:rPr>
          <w:rFonts w:ascii="David" w:hAnsi="David" w:cs="David"/>
          <w:rtl/>
        </w:rPr>
        <w:t>[פורסם במאגר נבו] (15.8.2022).</w:t>
      </w:r>
    </w:p>
    <w:p w:rsidR="00294DDF" w:rsidRPr="007E5672" w:rsidRDefault="00263D6C" w:rsidP="000E6B10">
      <w:pPr>
        <w:pStyle w:val="a9"/>
        <w:numPr>
          <w:ilvl w:val="0"/>
          <w:numId w:val="1"/>
        </w:numPr>
        <w:tabs>
          <w:tab w:val="left" w:pos="425"/>
        </w:tabs>
        <w:spacing w:line="360" w:lineRule="auto"/>
        <w:ind w:left="357"/>
        <w:contextualSpacing w:val="0"/>
        <w:jc w:val="both"/>
        <w:rPr>
          <w:rFonts w:ascii="David" w:hAnsi="David" w:cs="David"/>
          <w:b/>
          <w:bCs/>
          <w:u w:val="single"/>
        </w:rPr>
      </w:pPr>
      <w:r w:rsidRPr="00E763BC">
        <w:rPr>
          <w:rFonts w:ascii="David" w:hAnsi="David" w:cs="David" w:hint="cs"/>
          <w:rtl/>
        </w:rPr>
        <w:t>כאמור</w:t>
      </w:r>
      <w:r w:rsidR="00BC6983" w:rsidRPr="00E763BC">
        <w:rPr>
          <w:rFonts w:ascii="David" w:hAnsi="David" w:cs="David" w:hint="cs"/>
          <w:rtl/>
        </w:rPr>
        <w:t>,</w:t>
      </w:r>
      <w:r w:rsidRPr="00E763BC">
        <w:rPr>
          <w:rFonts w:ascii="David" w:hAnsi="David" w:cs="David" w:hint="cs"/>
          <w:rtl/>
        </w:rPr>
        <w:t xml:space="preserve"> בהתאם ל</w:t>
      </w:r>
      <w:r w:rsidRPr="00E763BC">
        <w:rPr>
          <w:rFonts w:ascii="David" w:hAnsi="David" w:cs="David"/>
          <w:rtl/>
        </w:rPr>
        <w:t xml:space="preserve">עמדת היועמ"ש לממשלה </w:t>
      </w:r>
      <w:r w:rsidRPr="00E763BC">
        <w:rPr>
          <w:rFonts w:ascii="David" w:hAnsi="David" w:cs="David" w:hint="cs"/>
          <w:rtl/>
        </w:rPr>
        <w:t>שהוגשה בהליך בית המשפט העליון התלוי ועומד</w:t>
      </w:r>
      <w:r w:rsidR="007E5672">
        <w:rPr>
          <w:rFonts w:ascii="David" w:hAnsi="David" w:cs="David" w:hint="cs"/>
          <w:rtl/>
        </w:rPr>
        <w:t xml:space="preserve"> ביום 16.1.2025</w:t>
      </w:r>
      <w:r w:rsidR="00222847" w:rsidRPr="00E763BC">
        <w:rPr>
          <w:rFonts w:ascii="David" w:hAnsi="David" w:cs="David" w:hint="cs"/>
          <w:rtl/>
        </w:rPr>
        <w:t>,</w:t>
      </w:r>
      <w:r w:rsidRPr="00E763BC">
        <w:rPr>
          <w:rFonts w:ascii="David" w:hAnsi="David" w:cs="David" w:hint="cs"/>
          <w:rtl/>
        </w:rPr>
        <w:t xml:space="preserve"> נקבע</w:t>
      </w:r>
      <w:r w:rsidR="00E763BC" w:rsidRPr="00E763BC">
        <w:rPr>
          <w:rFonts w:ascii="David" w:hAnsi="David" w:cs="David" w:hint="cs"/>
          <w:rtl/>
        </w:rPr>
        <w:t xml:space="preserve"> בין היתר </w:t>
      </w:r>
      <w:r w:rsidR="00294DDF" w:rsidRPr="00E763BC">
        <w:rPr>
          <w:rFonts w:ascii="David" w:hAnsi="David" w:cs="David" w:hint="cs"/>
          <w:b/>
          <w:bCs/>
          <w:rtl/>
        </w:rPr>
        <w:t xml:space="preserve">כי </w:t>
      </w:r>
      <w:r w:rsidR="007E5672">
        <w:rPr>
          <w:rFonts w:ascii="David" w:hAnsi="David" w:cs="David" w:hint="cs"/>
          <w:b/>
          <w:bCs/>
          <w:rtl/>
        </w:rPr>
        <w:t>"</w:t>
      </w:r>
      <w:r w:rsidR="00222847" w:rsidRPr="00E763BC">
        <w:rPr>
          <w:rFonts w:ascii="David" w:hAnsi="David" w:cs="David" w:hint="cs"/>
          <w:b/>
          <w:bCs/>
          <w:rtl/>
        </w:rPr>
        <w:t xml:space="preserve">לא ניתן להתחשב בשינוי השווי הנובע מהאפשרות לתוספת זכויות בשל עצם תחולתה של תמ"א 38 במגרש טרם סיום ההליך התכנוני הכרוך </w:t>
      </w:r>
      <w:r w:rsidR="00294DDF" w:rsidRPr="00E763BC">
        <w:rPr>
          <w:rFonts w:ascii="David" w:hAnsi="David" w:cs="David" w:hint="cs"/>
          <w:b/>
          <w:bCs/>
          <w:rtl/>
        </w:rPr>
        <w:t xml:space="preserve">בה. </w:t>
      </w:r>
      <w:r w:rsidR="00294DDF" w:rsidRPr="007E5672">
        <w:rPr>
          <w:rFonts w:ascii="David" w:hAnsi="David" w:cs="David" w:hint="cs"/>
          <w:b/>
          <w:bCs/>
          <w:u w:val="single"/>
          <w:rtl/>
        </w:rPr>
        <w:t>כלומר</w:t>
      </w:r>
      <w:r w:rsidR="007E5672" w:rsidRPr="007E5672">
        <w:rPr>
          <w:rFonts w:ascii="David" w:hAnsi="David" w:cs="David" w:hint="cs"/>
          <w:b/>
          <w:bCs/>
          <w:u w:val="single"/>
          <w:rtl/>
        </w:rPr>
        <w:t>,</w:t>
      </w:r>
      <w:r w:rsidR="00294DDF" w:rsidRPr="007E5672">
        <w:rPr>
          <w:rFonts w:ascii="David" w:hAnsi="David" w:cs="David" w:hint="cs"/>
          <w:b/>
          <w:bCs/>
          <w:u w:val="single"/>
          <w:rtl/>
        </w:rPr>
        <w:t xml:space="preserve"> יש לנטרל את השפעת תמ"א 38 במצב קודם</w:t>
      </w:r>
      <w:r w:rsidR="007E5672">
        <w:rPr>
          <w:rFonts w:ascii="David" w:hAnsi="David" w:cs="David" w:hint="cs"/>
          <w:b/>
          <w:bCs/>
          <w:u w:val="single"/>
          <w:rtl/>
        </w:rPr>
        <w:t>"</w:t>
      </w:r>
      <w:r w:rsidR="00294DDF" w:rsidRPr="007E5672">
        <w:rPr>
          <w:rFonts w:ascii="David" w:hAnsi="David" w:cs="David" w:hint="cs"/>
          <w:b/>
          <w:bCs/>
          <w:u w:val="single"/>
          <w:rtl/>
        </w:rPr>
        <w:t xml:space="preserve">. </w:t>
      </w:r>
    </w:p>
    <w:p w:rsidR="00E763BC" w:rsidRDefault="00E763BC" w:rsidP="000E6B10">
      <w:pPr>
        <w:pStyle w:val="a9"/>
        <w:numPr>
          <w:ilvl w:val="0"/>
          <w:numId w:val="1"/>
        </w:numPr>
        <w:tabs>
          <w:tab w:val="left" w:pos="425"/>
        </w:tabs>
        <w:spacing w:line="360" w:lineRule="auto"/>
        <w:ind w:left="357"/>
        <w:contextualSpacing w:val="0"/>
        <w:jc w:val="both"/>
        <w:rPr>
          <w:rFonts w:ascii="David" w:hAnsi="David" w:cs="David"/>
        </w:rPr>
      </w:pPr>
      <w:r>
        <w:rPr>
          <w:rFonts w:ascii="David" w:hAnsi="David" w:cs="David" w:hint="cs"/>
          <w:rtl/>
        </w:rPr>
        <w:t>לצד האמור נקבע</w:t>
      </w:r>
      <w:r w:rsidR="00BC494D">
        <w:rPr>
          <w:rFonts w:ascii="David" w:hAnsi="David" w:cs="David" w:hint="cs"/>
          <w:rtl/>
        </w:rPr>
        <w:t xml:space="preserve"> באותה עמדה</w:t>
      </w:r>
      <w:r w:rsidR="007E5672">
        <w:rPr>
          <w:rFonts w:ascii="David" w:hAnsi="David" w:cs="David" w:hint="cs"/>
          <w:rtl/>
        </w:rPr>
        <w:t xml:space="preserve"> בין השאר </w:t>
      </w:r>
      <w:r>
        <w:rPr>
          <w:rFonts w:ascii="David" w:hAnsi="David" w:cs="David" w:hint="cs"/>
          <w:rtl/>
        </w:rPr>
        <w:t xml:space="preserve">כי </w:t>
      </w:r>
      <w:r w:rsidR="007E5672">
        <w:rPr>
          <w:rFonts w:ascii="David" w:hAnsi="David" w:cs="David" w:hint="cs"/>
          <w:rtl/>
        </w:rPr>
        <w:t>"</w:t>
      </w:r>
      <w:r w:rsidR="00BF76C7">
        <w:rPr>
          <w:rFonts w:ascii="David" w:hAnsi="David" w:cs="David" w:hint="cs"/>
          <w:b/>
          <w:bCs/>
          <w:rtl/>
        </w:rPr>
        <w:t xml:space="preserve">לעומת זאת, מרכיב </w:t>
      </w:r>
      <w:r w:rsidRPr="007E5672">
        <w:rPr>
          <w:rFonts w:ascii="David" w:hAnsi="David" w:cs="David" w:hint="cs"/>
          <w:b/>
          <w:bCs/>
          <w:rtl/>
        </w:rPr>
        <w:t xml:space="preserve">שווי שמקורו בעליית ערך כללית בשוק החופשי אך אם הושפע באופן כזה או אחר מעצם אישורה של תמ"א 38 במרחב ובאופן בו התייחס אליה השוק, לא ינוטרל או ולא יקוזז שכן הוא חלק בלתי נפרד מהשווי שוק שאיננו נובע או כרוך בעצם תחולתה של תמ"א 38 במגרש ובאפשרות לקבל מכוחה היתר והוא קיים גם במגרשים </w:t>
      </w:r>
      <w:proofErr w:type="spellStart"/>
      <w:r w:rsidRPr="007E5672">
        <w:rPr>
          <w:rFonts w:ascii="David" w:hAnsi="David" w:cs="David" w:hint="cs"/>
          <w:b/>
          <w:bCs/>
          <w:rtl/>
        </w:rPr>
        <w:t>שתמ"א</w:t>
      </w:r>
      <w:proofErr w:type="spellEnd"/>
      <w:r w:rsidRPr="007E5672">
        <w:rPr>
          <w:rFonts w:ascii="David" w:hAnsi="David" w:cs="David" w:hint="cs"/>
          <w:b/>
          <w:bCs/>
          <w:rtl/>
        </w:rPr>
        <w:t xml:space="preserve"> 38 לא חלה עליהם</w:t>
      </w:r>
      <w:r w:rsidR="007E5672">
        <w:rPr>
          <w:rFonts w:ascii="David" w:hAnsi="David" w:cs="David" w:hint="cs"/>
          <w:rtl/>
        </w:rPr>
        <w:t>"</w:t>
      </w:r>
      <w:r>
        <w:rPr>
          <w:rFonts w:ascii="David" w:hAnsi="David" w:cs="David" w:hint="cs"/>
          <w:rtl/>
        </w:rPr>
        <w:t xml:space="preserve">.  </w:t>
      </w:r>
    </w:p>
    <w:p w:rsidR="00987BC3" w:rsidRDefault="00987BC3" w:rsidP="000E6B10">
      <w:pPr>
        <w:pStyle w:val="a9"/>
        <w:tabs>
          <w:tab w:val="left" w:pos="425"/>
        </w:tabs>
        <w:spacing w:line="360" w:lineRule="auto"/>
        <w:ind w:left="357"/>
        <w:contextualSpacing w:val="0"/>
        <w:jc w:val="both"/>
        <w:rPr>
          <w:rFonts w:ascii="David" w:hAnsi="David" w:cs="David"/>
          <w:rtl/>
        </w:rPr>
      </w:pPr>
    </w:p>
    <w:p w:rsidR="00987BC3" w:rsidRDefault="00987BC3" w:rsidP="000E6B10">
      <w:pPr>
        <w:pStyle w:val="a9"/>
        <w:tabs>
          <w:tab w:val="left" w:pos="425"/>
        </w:tabs>
        <w:spacing w:line="360" w:lineRule="auto"/>
        <w:ind w:left="357"/>
        <w:contextualSpacing w:val="0"/>
        <w:jc w:val="both"/>
        <w:rPr>
          <w:rFonts w:ascii="David" w:hAnsi="David" w:cs="David"/>
          <w:rtl/>
        </w:rPr>
      </w:pPr>
    </w:p>
    <w:p w:rsidR="00987BC3" w:rsidRDefault="00987BC3" w:rsidP="000E6B10">
      <w:pPr>
        <w:pStyle w:val="a9"/>
        <w:tabs>
          <w:tab w:val="left" w:pos="425"/>
        </w:tabs>
        <w:spacing w:line="360" w:lineRule="auto"/>
        <w:ind w:left="357"/>
        <w:contextualSpacing w:val="0"/>
        <w:jc w:val="both"/>
        <w:rPr>
          <w:rFonts w:ascii="David" w:hAnsi="David" w:cs="David"/>
          <w:rtl/>
        </w:rPr>
      </w:pPr>
    </w:p>
    <w:p w:rsidR="00987BC3" w:rsidRDefault="00987BC3" w:rsidP="000E6B10">
      <w:pPr>
        <w:pStyle w:val="a9"/>
        <w:tabs>
          <w:tab w:val="left" w:pos="425"/>
        </w:tabs>
        <w:spacing w:line="360" w:lineRule="auto"/>
        <w:ind w:left="357"/>
        <w:contextualSpacing w:val="0"/>
        <w:jc w:val="both"/>
        <w:rPr>
          <w:rFonts w:ascii="David" w:hAnsi="David" w:cs="David"/>
          <w:rtl/>
        </w:rPr>
      </w:pPr>
    </w:p>
    <w:p w:rsidR="00987BC3" w:rsidRDefault="00987BC3" w:rsidP="000E6B10">
      <w:pPr>
        <w:pStyle w:val="a9"/>
        <w:tabs>
          <w:tab w:val="left" w:pos="425"/>
        </w:tabs>
        <w:spacing w:line="360" w:lineRule="auto"/>
        <w:ind w:left="357"/>
        <w:contextualSpacing w:val="0"/>
        <w:jc w:val="both"/>
        <w:rPr>
          <w:rFonts w:ascii="David" w:hAnsi="David" w:cs="David"/>
          <w:rtl/>
        </w:rPr>
      </w:pPr>
    </w:p>
    <w:p w:rsidR="00987BC3" w:rsidRDefault="00987BC3" w:rsidP="000E6B10">
      <w:pPr>
        <w:pStyle w:val="a9"/>
        <w:tabs>
          <w:tab w:val="left" w:pos="425"/>
        </w:tabs>
        <w:spacing w:line="360" w:lineRule="auto"/>
        <w:ind w:left="357"/>
        <w:contextualSpacing w:val="0"/>
        <w:jc w:val="both"/>
        <w:rPr>
          <w:rFonts w:ascii="David" w:hAnsi="David" w:cs="David"/>
          <w:rtl/>
        </w:rPr>
      </w:pPr>
    </w:p>
    <w:p w:rsidR="00987BC3" w:rsidRDefault="00987BC3" w:rsidP="000E6B10">
      <w:pPr>
        <w:pStyle w:val="a9"/>
        <w:tabs>
          <w:tab w:val="left" w:pos="425"/>
        </w:tabs>
        <w:spacing w:line="360" w:lineRule="auto"/>
        <w:ind w:left="357"/>
        <w:contextualSpacing w:val="0"/>
        <w:jc w:val="both"/>
        <w:rPr>
          <w:rFonts w:ascii="David" w:hAnsi="David" w:cs="David"/>
          <w:rtl/>
        </w:rPr>
      </w:pPr>
    </w:p>
    <w:p w:rsidR="00E763BC" w:rsidRDefault="00222847" w:rsidP="000E6B10">
      <w:pPr>
        <w:pStyle w:val="a9"/>
        <w:tabs>
          <w:tab w:val="left" w:pos="425"/>
        </w:tabs>
        <w:spacing w:line="360" w:lineRule="auto"/>
        <w:ind w:left="357"/>
        <w:contextualSpacing w:val="0"/>
        <w:jc w:val="both"/>
        <w:rPr>
          <w:rFonts w:ascii="David" w:hAnsi="David" w:cs="David"/>
          <w:rtl/>
        </w:rPr>
      </w:pPr>
      <w:r w:rsidRPr="00E763BC">
        <w:rPr>
          <w:rFonts w:ascii="David" w:hAnsi="David" w:cs="David" w:hint="cs"/>
          <w:rtl/>
        </w:rPr>
        <w:t>ור' להלן</w:t>
      </w:r>
      <w:r w:rsidR="00E763BC">
        <w:rPr>
          <w:rFonts w:ascii="David" w:hAnsi="David" w:cs="David" w:hint="cs"/>
          <w:rtl/>
        </w:rPr>
        <w:t xml:space="preserve"> מתוך עמדת היועמ"ש</w:t>
      </w:r>
      <w:r w:rsidR="007E5672">
        <w:rPr>
          <w:rFonts w:ascii="David" w:hAnsi="David" w:cs="David" w:hint="cs"/>
          <w:rtl/>
        </w:rPr>
        <w:t xml:space="preserve"> מיום 16.1.25</w:t>
      </w:r>
      <w:r w:rsidR="00E763BC">
        <w:rPr>
          <w:rFonts w:ascii="David" w:hAnsi="David" w:cs="David" w:hint="cs"/>
          <w:rtl/>
        </w:rPr>
        <w:t>:</w:t>
      </w:r>
    </w:p>
    <w:p w:rsidR="00222847" w:rsidRDefault="00222847" w:rsidP="00E763BC">
      <w:pPr>
        <w:pStyle w:val="a9"/>
        <w:tabs>
          <w:tab w:val="left" w:pos="425"/>
        </w:tabs>
        <w:spacing w:line="360" w:lineRule="auto"/>
        <w:ind w:left="360"/>
        <w:jc w:val="both"/>
        <w:rPr>
          <w:rFonts w:ascii="David" w:hAnsi="David" w:cs="David"/>
        </w:rPr>
      </w:pPr>
      <w:r w:rsidRPr="00222847">
        <w:rPr>
          <w:rFonts w:ascii="David" w:hAnsi="David" w:cs="David"/>
          <w:noProof/>
          <w:rtl/>
        </w:rPr>
        <w:drawing>
          <wp:inline distT="0" distB="0" distL="0" distR="0" wp14:anchorId="2A15D67C" wp14:editId="22D21715">
            <wp:extent cx="5850890" cy="4349363"/>
            <wp:effectExtent l="0" t="0" r="0" b="0"/>
            <wp:docPr id="133357670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76708" name=""/>
                    <pic:cNvPicPr/>
                  </pic:nvPicPr>
                  <pic:blipFill>
                    <a:blip r:embed="rId63"/>
                    <a:stretch>
                      <a:fillRect/>
                    </a:stretch>
                  </pic:blipFill>
                  <pic:spPr>
                    <a:xfrm>
                      <a:off x="0" y="0"/>
                      <a:ext cx="5851938" cy="4350142"/>
                    </a:xfrm>
                    <a:prstGeom prst="rect">
                      <a:avLst/>
                    </a:prstGeom>
                  </pic:spPr>
                </pic:pic>
              </a:graphicData>
            </a:graphic>
          </wp:inline>
        </w:drawing>
      </w:r>
    </w:p>
    <w:p w:rsidR="00987BC3" w:rsidRDefault="00987BC3" w:rsidP="00CD4258">
      <w:pPr>
        <w:pStyle w:val="a9"/>
        <w:tabs>
          <w:tab w:val="left" w:pos="425"/>
        </w:tabs>
        <w:spacing w:line="360" w:lineRule="auto"/>
        <w:ind w:left="360"/>
        <w:jc w:val="both"/>
        <w:rPr>
          <w:rFonts w:ascii="David" w:hAnsi="David" w:cs="David"/>
        </w:rPr>
      </w:pPr>
    </w:p>
    <w:p w:rsidR="007E5672" w:rsidRDefault="007E5672" w:rsidP="00263D6C">
      <w:pPr>
        <w:pStyle w:val="a9"/>
        <w:numPr>
          <w:ilvl w:val="0"/>
          <w:numId w:val="1"/>
        </w:numPr>
        <w:tabs>
          <w:tab w:val="left" w:pos="425"/>
        </w:tabs>
        <w:spacing w:line="360" w:lineRule="auto"/>
        <w:jc w:val="both"/>
        <w:rPr>
          <w:rFonts w:ascii="David" w:hAnsi="David" w:cs="David"/>
        </w:rPr>
      </w:pPr>
      <w:r>
        <w:rPr>
          <w:rFonts w:ascii="David" w:hAnsi="David" w:cs="David" w:hint="cs"/>
          <w:rtl/>
        </w:rPr>
        <w:t>וכך גם בסיכום דיון בנושא "</w:t>
      </w:r>
      <w:r w:rsidRPr="007E5672">
        <w:rPr>
          <w:rFonts w:ascii="David" w:hAnsi="David" w:cs="David" w:hint="cs"/>
          <w:i/>
          <w:iCs/>
          <w:rtl/>
        </w:rPr>
        <w:t>חבות בהיטל השבחה במימוש זכויות בדרך של מכר וההתייחסות לשווי הנובע מתחולתה של תמ"א 38 בחישוב שווי מצב קודם בשומת היטל השבחה</w:t>
      </w:r>
      <w:r>
        <w:rPr>
          <w:rFonts w:ascii="David" w:hAnsi="David" w:cs="David" w:hint="cs"/>
          <w:rtl/>
        </w:rPr>
        <w:t>" החתום על ידי ה</w:t>
      </w:r>
      <w:r w:rsidR="002D6968">
        <w:rPr>
          <w:rFonts w:ascii="David" w:hAnsi="David" w:cs="David" w:hint="cs"/>
          <w:rtl/>
        </w:rPr>
        <w:t>משנה ל</w:t>
      </w:r>
      <w:r>
        <w:rPr>
          <w:rFonts w:ascii="David" w:hAnsi="David" w:cs="David" w:hint="cs"/>
          <w:rtl/>
        </w:rPr>
        <w:t>יועמ"ש</w:t>
      </w:r>
      <w:r w:rsidR="002D6968">
        <w:rPr>
          <w:rFonts w:ascii="David" w:hAnsi="David" w:cs="David" w:hint="cs"/>
          <w:rtl/>
        </w:rPr>
        <w:t xml:space="preserve"> (משפט אזרחי) עו"ד</w:t>
      </w:r>
      <w:r>
        <w:rPr>
          <w:rFonts w:ascii="David" w:hAnsi="David" w:cs="David" w:hint="cs"/>
          <w:rtl/>
        </w:rPr>
        <w:t xml:space="preserve"> כרמית </w:t>
      </w:r>
      <w:proofErr w:type="spellStart"/>
      <w:r>
        <w:rPr>
          <w:rFonts w:ascii="David" w:hAnsi="David" w:cs="David" w:hint="cs"/>
          <w:rtl/>
        </w:rPr>
        <w:t>יוליס</w:t>
      </w:r>
      <w:proofErr w:type="spellEnd"/>
      <w:r>
        <w:rPr>
          <w:rFonts w:ascii="David" w:hAnsi="David" w:cs="David" w:hint="cs"/>
          <w:rtl/>
        </w:rPr>
        <w:t xml:space="preserve"> מיום 1.12.2022 צוין בין היתר:</w:t>
      </w:r>
    </w:p>
    <w:p w:rsidR="007E5672" w:rsidRDefault="007E5672" w:rsidP="007E5672">
      <w:pPr>
        <w:pStyle w:val="a9"/>
        <w:tabs>
          <w:tab w:val="left" w:pos="425"/>
        </w:tabs>
        <w:spacing w:line="360" w:lineRule="auto"/>
        <w:ind w:left="360"/>
        <w:jc w:val="both"/>
        <w:rPr>
          <w:rFonts w:ascii="David" w:hAnsi="David" w:cs="David"/>
        </w:rPr>
      </w:pPr>
      <w:r w:rsidRPr="00222847">
        <w:rPr>
          <w:rFonts w:ascii="David" w:hAnsi="David" w:cs="David"/>
          <w:noProof/>
          <w:color w:val="EE0000"/>
          <w:rtl/>
        </w:rPr>
        <w:drawing>
          <wp:inline distT="0" distB="0" distL="0" distR="0" wp14:anchorId="70CC57C5" wp14:editId="6A5003EB">
            <wp:extent cx="5490787" cy="1629410"/>
            <wp:effectExtent l="0" t="0" r="0" b="8890"/>
            <wp:docPr id="61590503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05038" name=""/>
                    <pic:cNvPicPr/>
                  </pic:nvPicPr>
                  <pic:blipFill>
                    <a:blip r:embed="rId64"/>
                    <a:stretch>
                      <a:fillRect/>
                    </a:stretch>
                  </pic:blipFill>
                  <pic:spPr>
                    <a:xfrm>
                      <a:off x="0" y="0"/>
                      <a:ext cx="5502065" cy="1632757"/>
                    </a:xfrm>
                    <a:prstGeom prst="rect">
                      <a:avLst/>
                    </a:prstGeom>
                  </pic:spPr>
                </pic:pic>
              </a:graphicData>
            </a:graphic>
          </wp:inline>
        </w:drawing>
      </w:r>
    </w:p>
    <w:p w:rsidR="007E5672" w:rsidRDefault="007E5672" w:rsidP="000E6B10">
      <w:pPr>
        <w:pStyle w:val="a9"/>
        <w:numPr>
          <w:ilvl w:val="0"/>
          <w:numId w:val="1"/>
        </w:numPr>
        <w:tabs>
          <w:tab w:val="left" w:pos="425"/>
        </w:tabs>
        <w:spacing w:line="360" w:lineRule="auto"/>
        <w:ind w:left="357" w:hanging="357"/>
        <w:contextualSpacing w:val="0"/>
        <w:jc w:val="both"/>
        <w:rPr>
          <w:rFonts w:ascii="David" w:hAnsi="David" w:cs="David"/>
        </w:rPr>
      </w:pPr>
      <w:r>
        <w:rPr>
          <w:rFonts w:ascii="David" w:hAnsi="David" w:cs="David" w:hint="cs"/>
          <w:rtl/>
        </w:rPr>
        <w:t>אי לכך בהתאם לעמדת היועמ"ש יש לנטרל במצב קודם תמ"א 38</w:t>
      </w:r>
      <w:r w:rsidR="002F62D4">
        <w:rPr>
          <w:rFonts w:ascii="David" w:hAnsi="David" w:cs="David" w:hint="cs"/>
          <w:rtl/>
        </w:rPr>
        <w:t>,</w:t>
      </w:r>
      <w:r>
        <w:rPr>
          <w:rFonts w:ascii="David" w:hAnsi="David" w:cs="David" w:hint="cs"/>
          <w:rtl/>
        </w:rPr>
        <w:t xml:space="preserve"> אלא אם כן מדובר בפוטנציאל כללי (להבדיל מפוטנציאל קונקרטי ספציפי). </w:t>
      </w:r>
    </w:p>
    <w:p w:rsidR="00D40A5C" w:rsidRPr="00E15673" w:rsidRDefault="00D40A5C" w:rsidP="000E6B10">
      <w:pPr>
        <w:pStyle w:val="a9"/>
        <w:numPr>
          <w:ilvl w:val="0"/>
          <w:numId w:val="1"/>
        </w:numPr>
        <w:tabs>
          <w:tab w:val="left" w:pos="425"/>
        </w:tabs>
        <w:spacing w:line="360" w:lineRule="auto"/>
        <w:ind w:left="357" w:hanging="357"/>
        <w:contextualSpacing w:val="0"/>
        <w:jc w:val="both"/>
        <w:rPr>
          <w:rFonts w:ascii="David" w:hAnsi="David" w:cs="David"/>
        </w:rPr>
      </w:pPr>
      <w:r w:rsidRPr="00E15673">
        <w:rPr>
          <w:rFonts w:ascii="David" w:hAnsi="David" w:cs="David"/>
          <w:rtl/>
        </w:rPr>
        <w:t>נציין כי במסגרת החלטת הביניים מיום 8.6.2025 בה נשלחו בין היתר שאלות הבהרה לשמאית המכריעה נכתב בין היתר בהתייחס לטיעון החברה בעניין שגגה בחישוב שווי מצב קודם שלא נלקחו זכויות לפי תמ"א 38 כך:</w:t>
      </w:r>
    </w:p>
    <w:p w:rsidR="00D40A5C" w:rsidRPr="000E6B10" w:rsidRDefault="00D40A5C" w:rsidP="00D40A5C">
      <w:pPr>
        <w:pStyle w:val="a9"/>
        <w:spacing w:line="360" w:lineRule="auto"/>
        <w:ind w:left="1134" w:right="709"/>
        <w:contextualSpacing w:val="0"/>
        <w:jc w:val="both"/>
        <w:rPr>
          <w:rFonts w:ascii="David" w:hAnsi="David" w:cs="David"/>
          <w:b/>
          <w:bCs/>
          <w:i/>
          <w:iCs/>
        </w:rPr>
      </w:pPr>
      <w:r w:rsidRPr="000E6B10">
        <w:rPr>
          <w:rFonts w:ascii="David" w:hAnsi="David" w:cs="David"/>
          <w:i/>
          <w:iCs/>
          <w:rtl/>
        </w:rPr>
        <w:t xml:space="preserve">"טענה נוספת שהעלתה החברה היא כי נפלה שגגה בכך שבשומות המכריעות בחישוב שווי מצב קודם לא נלקחו זכויות לפי תמ"א 38, בעוד שלטענתה אין להתעלם מהשפעת </w:t>
      </w:r>
      <w:proofErr w:type="spellStart"/>
      <w:r w:rsidRPr="000E6B10">
        <w:rPr>
          <w:rFonts w:ascii="David" w:hAnsi="David" w:cs="David"/>
          <w:i/>
          <w:iCs/>
          <w:rtl/>
        </w:rPr>
        <w:t>התמ"א</w:t>
      </w:r>
      <w:proofErr w:type="spellEnd"/>
      <w:r w:rsidRPr="000E6B10">
        <w:rPr>
          <w:rFonts w:ascii="David" w:hAnsi="David" w:cs="David"/>
          <w:i/>
          <w:iCs/>
          <w:rtl/>
        </w:rPr>
        <w:t xml:space="preserve"> במצב קודם. מעיון בשומות המכריעות עולה כי השמאית המכריעה בדקה עסקאות בסביבה ומהן בצעה הפחתה של 10% המשקפים "ממוצע ארצי על מנת לנטרל את השפעת </w:t>
      </w:r>
      <w:proofErr w:type="spellStart"/>
      <w:r w:rsidRPr="000E6B10">
        <w:rPr>
          <w:rFonts w:ascii="David" w:hAnsi="David" w:cs="David"/>
          <w:i/>
          <w:iCs/>
          <w:rtl/>
        </w:rPr>
        <w:t>התמ"א</w:t>
      </w:r>
      <w:proofErr w:type="spellEnd"/>
      <w:r w:rsidRPr="000E6B10">
        <w:rPr>
          <w:rFonts w:ascii="David" w:hAnsi="David" w:cs="David"/>
          <w:i/>
          <w:iCs/>
          <w:rtl/>
        </w:rPr>
        <w:t xml:space="preserve"> מעסקאות ההשוואה במצב הקודם". הואיל ונתנו פסיקות סותרות שחלקן תלויות ועומדות בבית המשפט העליון במסגרתן הוגשה עמדת היועמ"ש לממשלה לפיה בין היתר אין להתחשב </w:t>
      </w:r>
      <w:proofErr w:type="spellStart"/>
      <w:r w:rsidRPr="000E6B10">
        <w:rPr>
          <w:rFonts w:ascii="David" w:hAnsi="David" w:cs="David"/>
          <w:i/>
          <w:iCs/>
          <w:rtl/>
        </w:rPr>
        <w:t>בתמ"א</w:t>
      </w:r>
      <w:proofErr w:type="spellEnd"/>
      <w:r w:rsidRPr="000E6B10">
        <w:rPr>
          <w:rFonts w:ascii="David" w:hAnsi="David" w:cs="David"/>
          <w:i/>
          <w:iCs/>
          <w:rtl/>
        </w:rPr>
        <w:t xml:space="preserve"> 38 במצב קודם אלא אם כן מדובר בפוטנציאל כללי  (להבדיל מפוטנציאלי ספציפי) ומבלי שוועדת הערר מביעה דעתה בשלב זה, מתבקשת השמאית המכריעה </w:t>
      </w:r>
      <w:r w:rsidRPr="000E6B10">
        <w:rPr>
          <w:rFonts w:ascii="David" w:hAnsi="David" w:cs="David"/>
          <w:b/>
          <w:bCs/>
          <w:i/>
          <w:iCs/>
          <w:rtl/>
        </w:rPr>
        <w:t xml:space="preserve">להבהיר מה משקפת אותה הפחתה בשיעור של 10% אשר נועדה כדבריה לנטרל השפעת </w:t>
      </w:r>
      <w:proofErr w:type="spellStart"/>
      <w:r w:rsidRPr="000E6B10">
        <w:rPr>
          <w:rFonts w:ascii="David" w:hAnsi="David" w:cs="David"/>
          <w:b/>
          <w:bCs/>
          <w:i/>
          <w:iCs/>
          <w:rtl/>
        </w:rPr>
        <w:t>התמ"א</w:t>
      </w:r>
      <w:proofErr w:type="spellEnd"/>
      <w:r w:rsidRPr="000E6B10">
        <w:rPr>
          <w:rFonts w:ascii="David" w:hAnsi="David" w:cs="David"/>
          <w:b/>
          <w:bCs/>
          <w:i/>
          <w:iCs/>
          <w:rtl/>
        </w:rPr>
        <w:t xml:space="preserve"> מעסקאות ההשוואה במצב קודם. האם מדובר בהשפעה שעולה בגדר פוטנציאל </w:t>
      </w:r>
      <w:r w:rsidRPr="000E6B10">
        <w:rPr>
          <w:rFonts w:ascii="David" w:hAnsi="David" w:cs="David"/>
          <w:b/>
          <w:bCs/>
          <w:i/>
          <w:iCs/>
          <w:u w:val="single"/>
          <w:rtl/>
        </w:rPr>
        <w:t>כללי</w:t>
      </w:r>
      <w:r w:rsidRPr="000E6B10">
        <w:rPr>
          <w:rFonts w:ascii="David" w:hAnsi="David" w:cs="David"/>
          <w:b/>
          <w:bCs/>
          <w:i/>
          <w:iCs/>
          <w:rtl/>
        </w:rPr>
        <w:t xml:space="preserve"> בלבד או השפעה שעולה בגדר פוטנציאל </w:t>
      </w:r>
      <w:r w:rsidRPr="000E6B10">
        <w:rPr>
          <w:rFonts w:ascii="David" w:hAnsi="David" w:cs="David"/>
          <w:b/>
          <w:bCs/>
          <w:i/>
          <w:iCs/>
          <w:u w:val="single"/>
          <w:rtl/>
        </w:rPr>
        <w:t>קונקרטי</w:t>
      </w:r>
      <w:r w:rsidRPr="000E6B10">
        <w:rPr>
          <w:rFonts w:ascii="David" w:hAnsi="David" w:cs="David"/>
          <w:b/>
          <w:bCs/>
          <w:i/>
          <w:iCs/>
          <w:rtl/>
        </w:rPr>
        <w:t xml:space="preserve"> בלבד או שמא מדובר בהשפעה שעולה בגדר פוטנציאל </w:t>
      </w:r>
      <w:r w:rsidRPr="000E6B10">
        <w:rPr>
          <w:rFonts w:ascii="David" w:hAnsi="David" w:cs="David"/>
          <w:b/>
          <w:bCs/>
          <w:i/>
          <w:iCs/>
          <w:u w:val="single"/>
          <w:rtl/>
        </w:rPr>
        <w:t>כללי וקונקרטי</w:t>
      </w:r>
      <w:r w:rsidRPr="000E6B10">
        <w:rPr>
          <w:rFonts w:ascii="David" w:hAnsi="David" w:cs="David"/>
          <w:b/>
          <w:bCs/>
          <w:i/>
          <w:iCs/>
          <w:rtl/>
        </w:rPr>
        <w:t xml:space="preserve"> כאחד וככל שכך, מה שיעורם של שני גורמי פוטנציאל אלה מתוך כלל ההפחה בשיעור של 10% שבוצעה בשומות המכריעות".</w:t>
      </w:r>
    </w:p>
    <w:p w:rsidR="00D40A5C" w:rsidRPr="00CB2F39" w:rsidRDefault="00D40A5C" w:rsidP="00D40A5C">
      <w:pPr>
        <w:pStyle w:val="a9"/>
        <w:tabs>
          <w:tab w:val="left" w:pos="425"/>
        </w:tabs>
        <w:spacing w:line="360" w:lineRule="auto"/>
        <w:ind w:left="360"/>
        <w:jc w:val="both"/>
        <w:rPr>
          <w:rFonts w:ascii="David" w:hAnsi="David" w:cs="David"/>
        </w:rPr>
      </w:pPr>
    </w:p>
    <w:p w:rsidR="00D40A5C" w:rsidRDefault="00BF3A2C" w:rsidP="00D40A5C">
      <w:pPr>
        <w:pStyle w:val="a9"/>
        <w:numPr>
          <w:ilvl w:val="0"/>
          <w:numId w:val="1"/>
        </w:numPr>
        <w:tabs>
          <w:tab w:val="left" w:pos="425"/>
        </w:tabs>
        <w:spacing w:line="360" w:lineRule="auto"/>
        <w:jc w:val="both"/>
        <w:rPr>
          <w:rFonts w:ascii="David" w:hAnsi="David" w:cs="David"/>
        </w:rPr>
      </w:pPr>
      <w:r>
        <w:rPr>
          <w:rFonts w:ascii="David" w:hAnsi="David" w:cs="David" w:hint="cs"/>
          <w:rtl/>
        </w:rPr>
        <w:t>ב</w:t>
      </w:r>
      <w:r w:rsidR="00D40A5C" w:rsidRPr="007E5672">
        <w:rPr>
          <w:rFonts w:ascii="David" w:hAnsi="David" w:cs="David" w:hint="cs"/>
          <w:rtl/>
        </w:rPr>
        <w:t>תשובת השמאית המכריעה שהתקבלה ביום 26.6.2025 נכתב כדלקמן:</w:t>
      </w:r>
    </w:p>
    <w:p w:rsidR="00D40A5C" w:rsidRPr="007E5672" w:rsidRDefault="00D40A5C" w:rsidP="00D40A5C">
      <w:pPr>
        <w:tabs>
          <w:tab w:val="left" w:pos="425"/>
        </w:tabs>
        <w:spacing w:line="360" w:lineRule="auto"/>
        <w:jc w:val="center"/>
        <w:rPr>
          <w:rFonts w:ascii="David" w:hAnsi="David" w:cs="David"/>
        </w:rPr>
      </w:pPr>
      <w:r w:rsidRPr="00E15673">
        <w:rPr>
          <w:rFonts w:ascii="David" w:hAnsi="David" w:cs="David"/>
          <w:b/>
          <w:bCs/>
          <w:noProof/>
          <w:color w:val="EE0000"/>
          <w:u w:val="single"/>
          <w:rtl/>
        </w:rPr>
        <w:drawing>
          <wp:inline distT="0" distB="0" distL="0" distR="0" wp14:anchorId="1AB3492E" wp14:editId="6B0B3862">
            <wp:extent cx="4654550" cy="1695450"/>
            <wp:effectExtent l="0" t="0" r="0" b="0"/>
            <wp:docPr id="59153506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495628" name=""/>
                    <pic:cNvPicPr/>
                  </pic:nvPicPr>
                  <pic:blipFill>
                    <a:blip r:embed="rId65"/>
                    <a:stretch>
                      <a:fillRect/>
                    </a:stretch>
                  </pic:blipFill>
                  <pic:spPr>
                    <a:xfrm>
                      <a:off x="0" y="0"/>
                      <a:ext cx="4654790" cy="1695537"/>
                    </a:xfrm>
                    <a:prstGeom prst="rect">
                      <a:avLst/>
                    </a:prstGeom>
                  </pic:spPr>
                </pic:pic>
              </a:graphicData>
            </a:graphic>
          </wp:inline>
        </w:drawing>
      </w:r>
    </w:p>
    <w:p w:rsidR="002C23D7" w:rsidRDefault="002C23D7" w:rsidP="000E6B10">
      <w:pPr>
        <w:pStyle w:val="a9"/>
        <w:numPr>
          <w:ilvl w:val="0"/>
          <w:numId w:val="1"/>
        </w:numPr>
        <w:tabs>
          <w:tab w:val="left" w:pos="425"/>
        </w:tabs>
        <w:spacing w:line="360" w:lineRule="auto"/>
        <w:ind w:hanging="357"/>
        <w:contextualSpacing w:val="0"/>
        <w:jc w:val="both"/>
        <w:rPr>
          <w:rFonts w:ascii="David" w:hAnsi="David" w:cs="David"/>
        </w:rPr>
      </w:pPr>
      <w:r>
        <w:rPr>
          <w:rFonts w:ascii="David" w:hAnsi="David" w:cs="David" w:hint="cs"/>
          <w:rtl/>
        </w:rPr>
        <w:t>הצדדים הגישו התייחסותם לתשובת ההבהרה.</w:t>
      </w:r>
    </w:p>
    <w:p w:rsidR="002F21F1" w:rsidRDefault="002C23D7" w:rsidP="000E6B10">
      <w:pPr>
        <w:pStyle w:val="a9"/>
        <w:numPr>
          <w:ilvl w:val="0"/>
          <w:numId w:val="1"/>
        </w:numPr>
        <w:tabs>
          <w:tab w:val="left" w:pos="425"/>
        </w:tabs>
        <w:spacing w:line="360" w:lineRule="auto"/>
        <w:ind w:left="357" w:hanging="357"/>
        <w:contextualSpacing w:val="0"/>
        <w:jc w:val="both"/>
        <w:rPr>
          <w:rFonts w:ascii="David" w:hAnsi="David" w:cs="David"/>
        </w:rPr>
      </w:pPr>
      <w:r w:rsidRPr="00D40A5C">
        <w:rPr>
          <w:rFonts w:ascii="David" w:hAnsi="David" w:cs="David" w:hint="cs"/>
          <w:u w:val="single"/>
          <w:rtl/>
        </w:rPr>
        <w:t>החברה</w:t>
      </w:r>
      <w:r w:rsidRPr="002C23D7">
        <w:rPr>
          <w:rFonts w:ascii="David" w:hAnsi="David" w:cs="David" w:hint="cs"/>
          <w:rtl/>
        </w:rPr>
        <w:t xml:space="preserve"> מצידה טענה </w:t>
      </w:r>
      <w:r>
        <w:rPr>
          <w:rFonts w:ascii="David" w:hAnsi="David" w:cs="David" w:hint="cs"/>
          <w:rtl/>
        </w:rPr>
        <w:t xml:space="preserve">לאור הפסיקות שפורטו לעיל, </w:t>
      </w:r>
      <w:r w:rsidRPr="002C23D7">
        <w:rPr>
          <w:rFonts w:ascii="David" w:hAnsi="David" w:cs="David" w:hint="cs"/>
          <w:rtl/>
        </w:rPr>
        <w:t xml:space="preserve">כי השמאית המכריעה </w:t>
      </w:r>
      <w:r w:rsidR="00745205">
        <w:rPr>
          <w:rFonts w:ascii="David" w:hAnsi="David" w:cs="David" w:hint="cs"/>
          <w:rtl/>
        </w:rPr>
        <w:t xml:space="preserve">שהבינה היטב את החלטת הביניים של ועדת הערר, </w:t>
      </w:r>
      <w:r w:rsidR="007E5672" w:rsidRPr="002C23D7">
        <w:rPr>
          <w:rFonts w:ascii="David" w:hAnsi="David" w:cs="David" w:hint="cs"/>
          <w:rtl/>
        </w:rPr>
        <w:t xml:space="preserve">הבהירה </w:t>
      </w:r>
      <w:r w:rsidR="00745205">
        <w:rPr>
          <w:rFonts w:ascii="David" w:hAnsi="David" w:cs="David" w:hint="cs"/>
          <w:rtl/>
        </w:rPr>
        <w:t xml:space="preserve">בתשובתה </w:t>
      </w:r>
      <w:r w:rsidR="007E5672" w:rsidRPr="002C23D7">
        <w:rPr>
          <w:rFonts w:ascii="David" w:hAnsi="David" w:cs="David" w:hint="cs"/>
          <w:rtl/>
        </w:rPr>
        <w:t xml:space="preserve">כי ההפחתה על ידה בשיעור 10% משקפת את השפעתה </w:t>
      </w:r>
      <w:r w:rsidR="007E5672" w:rsidRPr="002C23D7">
        <w:rPr>
          <w:rFonts w:ascii="David" w:hAnsi="David" w:cs="David" w:hint="cs"/>
          <w:b/>
          <w:bCs/>
          <w:rtl/>
        </w:rPr>
        <w:t>הכללית</w:t>
      </w:r>
      <w:r w:rsidR="007E5672" w:rsidRPr="002C23D7">
        <w:rPr>
          <w:rFonts w:ascii="David" w:hAnsi="David" w:cs="David" w:hint="cs"/>
          <w:rtl/>
        </w:rPr>
        <w:t xml:space="preserve"> של תמ"א 38</w:t>
      </w:r>
      <w:r w:rsidRPr="002C23D7">
        <w:rPr>
          <w:rFonts w:ascii="David" w:hAnsi="David" w:cs="David" w:hint="cs"/>
          <w:rtl/>
        </w:rPr>
        <w:t xml:space="preserve"> ועל כן ובהתאם לעמדת </w:t>
      </w:r>
      <w:r>
        <w:rPr>
          <w:rFonts w:ascii="David" w:hAnsi="David" w:cs="David" w:hint="cs"/>
          <w:rtl/>
        </w:rPr>
        <w:t>ה</w:t>
      </w:r>
      <w:r w:rsidR="007E5672" w:rsidRPr="002C23D7">
        <w:rPr>
          <w:rFonts w:ascii="David" w:hAnsi="David" w:cs="David" w:hint="cs"/>
          <w:rtl/>
        </w:rPr>
        <w:t xml:space="preserve">יועמ"ש </w:t>
      </w:r>
      <w:r>
        <w:rPr>
          <w:rFonts w:ascii="David" w:hAnsi="David" w:cs="David" w:hint="cs"/>
          <w:rtl/>
        </w:rPr>
        <w:t xml:space="preserve">כפי שבוטאה בהחלטת הביניים של ועדת הערר, </w:t>
      </w:r>
      <w:r w:rsidR="00263D6C" w:rsidRPr="002C23D7">
        <w:rPr>
          <w:rFonts w:ascii="David" w:hAnsi="David" w:cs="David" w:hint="cs"/>
          <w:rtl/>
        </w:rPr>
        <w:t xml:space="preserve">לא היה מקום לנטרל את ההשפעה </w:t>
      </w:r>
      <w:r w:rsidR="00263D6C" w:rsidRPr="002C23D7">
        <w:rPr>
          <w:rFonts w:ascii="David" w:hAnsi="David" w:cs="David" w:hint="cs"/>
          <w:b/>
          <w:bCs/>
          <w:rtl/>
        </w:rPr>
        <w:t xml:space="preserve">הכללית </w:t>
      </w:r>
      <w:r w:rsidR="00263D6C" w:rsidRPr="002C23D7">
        <w:rPr>
          <w:rFonts w:ascii="David" w:hAnsi="David" w:cs="David" w:hint="cs"/>
          <w:rtl/>
        </w:rPr>
        <w:t>של תמ"א 38 ו</w:t>
      </w:r>
      <w:r>
        <w:rPr>
          <w:rFonts w:ascii="David" w:hAnsi="David" w:cs="David" w:hint="cs"/>
          <w:rtl/>
        </w:rPr>
        <w:t xml:space="preserve">לכן יש </w:t>
      </w:r>
      <w:r w:rsidR="00745205">
        <w:rPr>
          <w:rFonts w:ascii="David" w:hAnsi="David" w:cs="David" w:hint="cs"/>
          <w:rtl/>
        </w:rPr>
        <w:t xml:space="preserve">לטעמה של החברה </w:t>
      </w:r>
      <w:r>
        <w:rPr>
          <w:rFonts w:ascii="David" w:hAnsi="David" w:cs="David" w:hint="cs"/>
          <w:rtl/>
        </w:rPr>
        <w:t xml:space="preserve">לתקן </w:t>
      </w:r>
      <w:r w:rsidR="00CA0E5D" w:rsidRPr="002C23D7">
        <w:rPr>
          <w:rFonts w:ascii="David" w:hAnsi="David" w:cs="David" w:hint="cs"/>
          <w:rtl/>
        </w:rPr>
        <w:t>את תחשיביה בדרך של ביטול הפחת</w:t>
      </w:r>
      <w:r w:rsidR="002F21F1" w:rsidRPr="002C23D7">
        <w:rPr>
          <w:rFonts w:ascii="David" w:hAnsi="David" w:cs="David" w:hint="cs"/>
          <w:rtl/>
        </w:rPr>
        <w:t>ת</w:t>
      </w:r>
      <w:r w:rsidR="00CA0E5D" w:rsidRPr="002C23D7">
        <w:rPr>
          <w:rFonts w:ascii="David" w:hAnsi="David" w:cs="David" w:hint="cs"/>
          <w:rtl/>
        </w:rPr>
        <w:t xml:space="preserve"> הפוטנציאל הכללי</w:t>
      </w:r>
      <w:r>
        <w:rPr>
          <w:rFonts w:ascii="David" w:hAnsi="David" w:cs="David" w:hint="cs"/>
          <w:rtl/>
        </w:rPr>
        <w:t xml:space="preserve"> </w:t>
      </w:r>
      <w:r w:rsidR="00745205">
        <w:rPr>
          <w:rFonts w:ascii="David" w:hAnsi="David" w:cs="David" w:hint="cs"/>
          <w:rtl/>
        </w:rPr>
        <w:t xml:space="preserve">במצב קודם </w:t>
      </w:r>
      <w:r>
        <w:rPr>
          <w:rFonts w:ascii="David" w:hAnsi="David" w:cs="David" w:hint="cs"/>
          <w:rtl/>
        </w:rPr>
        <w:t xml:space="preserve">בשיעור של 10%. </w:t>
      </w:r>
    </w:p>
    <w:p w:rsidR="00195208" w:rsidRDefault="00195208" w:rsidP="000E6B10">
      <w:pPr>
        <w:pStyle w:val="a9"/>
        <w:tabs>
          <w:tab w:val="left" w:pos="425"/>
        </w:tabs>
        <w:spacing w:line="360" w:lineRule="auto"/>
        <w:ind w:left="357"/>
        <w:contextualSpacing w:val="0"/>
        <w:jc w:val="both"/>
        <w:rPr>
          <w:rFonts w:ascii="David" w:hAnsi="David" w:cs="David"/>
        </w:rPr>
      </w:pPr>
      <w:r w:rsidRPr="00D40A5C">
        <w:rPr>
          <w:rFonts w:ascii="David" w:hAnsi="David" w:cs="David" w:hint="cs"/>
          <w:u w:val="single"/>
          <w:rtl/>
        </w:rPr>
        <w:t>הועדה המקומית</w:t>
      </w:r>
      <w:r>
        <w:rPr>
          <w:rFonts w:ascii="David" w:hAnsi="David" w:cs="David" w:hint="cs"/>
          <w:rtl/>
        </w:rPr>
        <w:t xml:space="preserve"> מצידה טענה כי הגם שהשמאית המכריעה כנתה את שיעור ה-10% שאותן נטרלה כפוטנציאל "כללי"</w:t>
      </w:r>
      <w:r w:rsidR="00D40A5C">
        <w:rPr>
          <w:rFonts w:ascii="David" w:hAnsi="David" w:cs="David" w:hint="cs"/>
          <w:rtl/>
        </w:rPr>
        <w:t xml:space="preserve">, </w:t>
      </w:r>
      <w:r w:rsidR="00AB3222">
        <w:rPr>
          <w:rFonts w:ascii="David" w:hAnsi="David" w:cs="David" w:hint="cs"/>
          <w:rtl/>
        </w:rPr>
        <w:t xml:space="preserve">אולם </w:t>
      </w:r>
      <w:r>
        <w:rPr>
          <w:rFonts w:ascii="David" w:hAnsi="David" w:cs="David" w:hint="cs"/>
          <w:rtl/>
        </w:rPr>
        <w:t>אין הכוונה לפוטנציאל הכללי אליו התכוונו בעמדת היועמ"</w:t>
      </w:r>
      <w:r w:rsidR="00745205">
        <w:rPr>
          <w:rFonts w:ascii="David" w:hAnsi="David" w:cs="David" w:hint="cs"/>
          <w:rtl/>
        </w:rPr>
        <w:t>ש, שכן</w:t>
      </w:r>
      <w:r w:rsidR="00AB3222">
        <w:rPr>
          <w:rFonts w:ascii="David" w:hAnsi="David" w:cs="David" w:hint="cs"/>
          <w:rtl/>
        </w:rPr>
        <w:t>,</w:t>
      </w:r>
      <w:r w:rsidR="00745205">
        <w:rPr>
          <w:rFonts w:ascii="David" w:hAnsi="David" w:cs="David" w:hint="cs"/>
          <w:rtl/>
        </w:rPr>
        <w:t xml:space="preserve"> אינו עולה בקנה אחד עם המקור עליו בססה השמאית המכריעה את ההפחתה בשיעור 10% אותה בצעה</w:t>
      </w:r>
      <w:r w:rsidR="00AB3222">
        <w:rPr>
          <w:rFonts w:ascii="David" w:hAnsi="David" w:cs="David" w:hint="cs"/>
          <w:rtl/>
        </w:rPr>
        <w:t xml:space="preserve">. </w:t>
      </w:r>
    </w:p>
    <w:p w:rsidR="00195208" w:rsidRPr="00195208" w:rsidRDefault="00195208" w:rsidP="000E6B10">
      <w:pPr>
        <w:pStyle w:val="a9"/>
        <w:numPr>
          <w:ilvl w:val="0"/>
          <w:numId w:val="1"/>
        </w:numPr>
        <w:tabs>
          <w:tab w:val="left" w:pos="425"/>
        </w:tabs>
        <w:spacing w:line="360" w:lineRule="auto"/>
        <w:ind w:left="357"/>
        <w:contextualSpacing w:val="0"/>
        <w:jc w:val="both"/>
        <w:rPr>
          <w:rFonts w:ascii="David" w:hAnsi="David" w:cs="David"/>
        </w:rPr>
      </w:pPr>
      <w:r w:rsidRPr="00195208">
        <w:rPr>
          <w:rFonts w:ascii="David" w:hAnsi="David" w:cs="David" w:hint="cs"/>
          <w:rtl/>
        </w:rPr>
        <w:t xml:space="preserve">לכאורה, עת ענתה השמאית המכריעה בתשובה להבהרות כי מדובר בפוטנציאל </w:t>
      </w:r>
      <w:r w:rsidR="00745205">
        <w:rPr>
          <w:rFonts w:ascii="David" w:hAnsi="David" w:cs="David" w:hint="cs"/>
          <w:rtl/>
        </w:rPr>
        <w:t>"</w:t>
      </w:r>
      <w:r w:rsidRPr="00D40A5C">
        <w:rPr>
          <w:rFonts w:ascii="David" w:hAnsi="David" w:cs="David" w:hint="cs"/>
          <w:b/>
          <w:bCs/>
          <w:rtl/>
        </w:rPr>
        <w:t>כללי</w:t>
      </w:r>
      <w:r w:rsidR="00745205">
        <w:rPr>
          <w:rFonts w:ascii="David" w:hAnsi="David" w:cs="David" w:hint="cs"/>
          <w:rtl/>
        </w:rPr>
        <w:t>"</w:t>
      </w:r>
      <w:r w:rsidRPr="00195208">
        <w:rPr>
          <w:rFonts w:ascii="David" w:hAnsi="David" w:cs="David" w:hint="cs"/>
          <w:rtl/>
        </w:rPr>
        <w:t>, ובשים לב לקביעה בעמדת היועמ"ש</w:t>
      </w:r>
      <w:r w:rsidR="00745205">
        <w:rPr>
          <w:rFonts w:ascii="David" w:hAnsi="David" w:cs="David" w:hint="cs"/>
          <w:rtl/>
        </w:rPr>
        <w:t>,</w:t>
      </w:r>
      <w:r w:rsidRPr="00195208">
        <w:rPr>
          <w:rFonts w:ascii="David" w:hAnsi="David" w:cs="David" w:hint="cs"/>
          <w:rtl/>
        </w:rPr>
        <w:t xml:space="preserve"> לפיה אין לנטרל פוטנציאל כללי של תמ"א 38 במצב קודם (להבדיל מפוטנציאל קונקרטי) יכלנו לסיים הכרעתנו</w:t>
      </w:r>
      <w:r w:rsidR="00745205">
        <w:rPr>
          <w:rFonts w:ascii="David" w:hAnsi="David" w:cs="David" w:hint="cs"/>
          <w:rtl/>
        </w:rPr>
        <w:t xml:space="preserve"> בנקודה</w:t>
      </w:r>
      <w:r w:rsidRPr="00195208">
        <w:rPr>
          <w:rFonts w:ascii="David" w:hAnsi="David" w:cs="David" w:hint="cs"/>
          <w:rtl/>
        </w:rPr>
        <w:t xml:space="preserve"> זאת</w:t>
      </w:r>
      <w:r w:rsidR="00745205">
        <w:rPr>
          <w:rFonts w:ascii="David" w:hAnsi="David" w:cs="David" w:hint="cs"/>
          <w:rtl/>
        </w:rPr>
        <w:t>,</w:t>
      </w:r>
      <w:r w:rsidRPr="00195208">
        <w:rPr>
          <w:rFonts w:ascii="David" w:hAnsi="David" w:cs="David" w:hint="cs"/>
          <w:rtl/>
        </w:rPr>
        <w:t xml:space="preserve"> </w:t>
      </w:r>
      <w:r>
        <w:rPr>
          <w:rFonts w:ascii="David" w:hAnsi="David" w:cs="David" w:hint="cs"/>
          <w:rtl/>
        </w:rPr>
        <w:t xml:space="preserve">תוך מתן הוראות לשמאית המכריעה לבטל </w:t>
      </w:r>
      <w:r w:rsidR="00BF3A2C">
        <w:rPr>
          <w:rFonts w:ascii="David" w:hAnsi="David" w:cs="David" w:hint="cs"/>
          <w:rtl/>
        </w:rPr>
        <w:t xml:space="preserve">את </w:t>
      </w:r>
      <w:r>
        <w:rPr>
          <w:rFonts w:ascii="David" w:hAnsi="David" w:cs="David" w:hint="cs"/>
          <w:rtl/>
        </w:rPr>
        <w:t xml:space="preserve">נטרול </w:t>
      </w:r>
      <w:r w:rsidR="00745205">
        <w:rPr>
          <w:rFonts w:ascii="David" w:hAnsi="David" w:cs="David" w:hint="cs"/>
          <w:rtl/>
        </w:rPr>
        <w:t xml:space="preserve">הפוטנציאל </w:t>
      </w:r>
      <w:r>
        <w:rPr>
          <w:rFonts w:ascii="David" w:hAnsi="David" w:cs="David" w:hint="cs"/>
          <w:rtl/>
        </w:rPr>
        <w:t xml:space="preserve">הכללי </w:t>
      </w:r>
      <w:r w:rsidR="00745205">
        <w:rPr>
          <w:rFonts w:ascii="David" w:hAnsi="David" w:cs="David" w:hint="cs"/>
          <w:rtl/>
        </w:rPr>
        <w:t xml:space="preserve">בשיעור 10% </w:t>
      </w:r>
      <w:r>
        <w:rPr>
          <w:rFonts w:ascii="David" w:hAnsi="David" w:cs="David" w:hint="cs"/>
          <w:rtl/>
        </w:rPr>
        <w:t>שבצעה במצב הקודם.</w:t>
      </w:r>
    </w:p>
    <w:p w:rsidR="0006047C" w:rsidRDefault="00195208" w:rsidP="000E6B10">
      <w:pPr>
        <w:pStyle w:val="a9"/>
        <w:numPr>
          <w:ilvl w:val="0"/>
          <w:numId w:val="1"/>
        </w:numPr>
        <w:tabs>
          <w:tab w:val="left" w:pos="425"/>
        </w:tabs>
        <w:spacing w:line="360" w:lineRule="auto"/>
        <w:ind w:left="357"/>
        <w:contextualSpacing w:val="0"/>
        <w:jc w:val="both"/>
        <w:rPr>
          <w:rFonts w:ascii="David" w:hAnsi="David" w:cs="David"/>
        </w:rPr>
      </w:pPr>
      <w:r w:rsidRPr="00745205">
        <w:rPr>
          <w:rFonts w:ascii="David" w:hAnsi="David" w:cs="David" w:hint="cs"/>
          <w:b/>
          <w:bCs/>
          <w:rtl/>
        </w:rPr>
        <w:t>דא עקא</w:t>
      </w:r>
      <w:r w:rsidRPr="00195208">
        <w:rPr>
          <w:rFonts w:ascii="David" w:hAnsi="David" w:cs="David" w:hint="cs"/>
          <w:rtl/>
        </w:rPr>
        <w:t xml:space="preserve">, ולאור טיעוני </w:t>
      </w:r>
      <w:r w:rsidR="0006047C">
        <w:rPr>
          <w:rFonts w:ascii="David" w:hAnsi="David" w:cs="David" w:hint="cs"/>
          <w:rtl/>
        </w:rPr>
        <w:t>הצדדים והמחלוקת</w:t>
      </w:r>
      <w:r w:rsidRPr="00195208">
        <w:rPr>
          <w:rFonts w:ascii="David" w:hAnsi="David" w:cs="David" w:hint="cs"/>
          <w:rtl/>
        </w:rPr>
        <w:t xml:space="preserve"> בנקודה זו, התחבטה ועדת הערר האם אכן מדובר בנטרול פוטנציאל </w:t>
      </w:r>
      <w:r w:rsidR="00745205">
        <w:rPr>
          <w:rFonts w:ascii="David" w:hAnsi="David" w:cs="David" w:hint="cs"/>
          <w:rtl/>
        </w:rPr>
        <w:t>"</w:t>
      </w:r>
      <w:r w:rsidRPr="00195208">
        <w:rPr>
          <w:rFonts w:ascii="David" w:hAnsi="David" w:cs="David" w:hint="cs"/>
          <w:rtl/>
        </w:rPr>
        <w:t>כללי</w:t>
      </w:r>
      <w:r w:rsidR="00745205">
        <w:rPr>
          <w:rFonts w:ascii="David" w:hAnsi="David" w:cs="David" w:hint="cs"/>
          <w:rtl/>
        </w:rPr>
        <w:t>"</w:t>
      </w:r>
      <w:r w:rsidRPr="00195208">
        <w:rPr>
          <w:rFonts w:ascii="David" w:hAnsi="David" w:cs="David" w:hint="cs"/>
          <w:rtl/>
        </w:rPr>
        <w:t xml:space="preserve"> או</w:t>
      </w:r>
      <w:r w:rsidR="00745205">
        <w:rPr>
          <w:rFonts w:ascii="David" w:hAnsi="David" w:cs="David" w:hint="cs"/>
          <w:rtl/>
        </w:rPr>
        <w:t>,</w:t>
      </w:r>
      <w:r w:rsidRPr="00195208">
        <w:rPr>
          <w:rFonts w:ascii="David" w:hAnsi="David" w:cs="David" w:hint="cs"/>
          <w:rtl/>
        </w:rPr>
        <w:t xml:space="preserve"> שמא מדובר </w:t>
      </w:r>
      <w:r w:rsidR="006413FB">
        <w:rPr>
          <w:rFonts w:ascii="David" w:hAnsi="David" w:cs="David" w:hint="cs"/>
          <w:rtl/>
        </w:rPr>
        <w:t xml:space="preserve">בפועל </w:t>
      </w:r>
      <w:r w:rsidRPr="00195208">
        <w:rPr>
          <w:rFonts w:ascii="David" w:hAnsi="David" w:cs="David" w:hint="cs"/>
          <w:rtl/>
        </w:rPr>
        <w:t>בפוטנציאל קונקרטי</w:t>
      </w:r>
      <w:r w:rsidR="006413FB">
        <w:rPr>
          <w:rFonts w:ascii="David" w:hAnsi="David" w:cs="David" w:hint="cs"/>
          <w:rtl/>
        </w:rPr>
        <w:t>, אשר השמאית המכריעה מכנה אותו כפוטנציאל</w:t>
      </w:r>
      <w:r w:rsidRPr="00195208">
        <w:rPr>
          <w:rFonts w:ascii="David" w:hAnsi="David" w:cs="David" w:hint="cs"/>
          <w:rtl/>
        </w:rPr>
        <w:t xml:space="preserve"> "כללי". </w:t>
      </w:r>
    </w:p>
    <w:p w:rsidR="0006047C" w:rsidRPr="000E6B10" w:rsidRDefault="00195208" w:rsidP="000E6B10">
      <w:pPr>
        <w:pStyle w:val="a9"/>
        <w:numPr>
          <w:ilvl w:val="0"/>
          <w:numId w:val="1"/>
        </w:numPr>
        <w:tabs>
          <w:tab w:val="left" w:pos="425"/>
        </w:tabs>
        <w:spacing w:line="360" w:lineRule="auto"/>
        <w:ind w:left="357"/>
        <w:contextualSpacing w:val="0"/>
        <w:jc w:val="both"/>
        <w:rPr>
          <w:rFonts w:ascii="David" w:hAnsi="David" w:cs="David"/>
          <w:b/>
          <w:bCs/>
          <w:rtl/>
        </w:rPr>
      </w:pPr>
      <w:r w:rsidRPr="009E278B">
        <w:rPr>
          <w:rFonts w:ascii="David" w:hAnsi="David" w:cs="David" w:hint="cs"/>
          <w:rtl/>
        </w:rPr>
        <w:t>לצורך הגעה למסקנה בנקודה זו, התחקתה ועדת הערר בדבר המקור עלי</w:t>
      </w:r>
      <w:r w:rsidR="00745205">
        <w:rPr>
          <w:rFonts w:ascii="David" w:hAnsi="David" w:cs="David" w:hint="cs"/>
          <w:rtl/>
        </w:rPr>
        <w:t>ו</w:t>
      </w:r>
      <w:r w:rsidRPr="009E278B">
        <w:rPr>
          <w:rFonts w:ascii="David" w:hAnsi="David" w:cs="David" w:hint="cs"/>
          <w:rtl/>
        </w:rPr>
        <w:t xml:space="preserve"> ה</w:t>
      </w:r>
      <w:r w:rsidR="00745205">
        <w:rPr>
          <w:rFonts w:ascii="David" w:hAnsi="David" w:cs="David" w:hint="cs"/>
          <w:rtl/>
        </w:rPr>
        <w:t>תבססה</w:t>
      </w:r>
      <w:r w:rsidRPr="009E278B">
        <w:rPr>
          <w:rFonts w:ascii="David" w:hAnsi="David" w:cs="David" w:hint="cs"/>
          <w:rtl/>
        </w:rPr>
        <w:t xml:space="preserve"> השמאית המכריעה בקביעת שיעור זה בעניין מחקר של עופר רז דרור</w:t>
      </w:r>
      <w:r w:rsidR="009E278B">
        <w:rPr>
          <w:rFonts w:ascii="David" w:hAnsi="David" w:cs="David" w:hint="cs"/>
          <w:rtl/>
        </w:rPr>
        <w:t xml:space="preserve"> (במסגרת עבודת דוקטורט שבו נבחנה בין השאר השפעה של תמ"א 38 על מחירי הדירו</w:t>
      </w:r>
      <w:r w:rsidR="0006047C">
        <w:rPr>
          <w:rFonts w:ascii="David" w:hAnsi="David" w:cs="David" w:hint="cs"/>
          <w:rtl/>
        </w:rPr>
        <w:t>ת</w:t>
      </w:r>
      <w:r w:rsidR="009E278B">
        <w:rPr>
          <w:rFonts w:ascii="David" w:hAnsi="David" w:cs="David" w:hint="cs"/>
          <w:rtl/>
        </w:rPr>
        <w:t xml:space="preserve"> בישראל) ממנ</w:t>
      </w:r>
      <w:r w:rsidR="00745205">
        <w:rPr>
          <w:rFonts w:ascii="David" w:hAnsi="David" w:cs="David" w:hint="cs"/>
          <w:rtl/>
        </w:rPr>
        <w:t>ו</w:t>
      </w:r>
      <w:r w:rsidR="009E278B">
        <w:rPr>
          <w:rFonts w:ascii="David" w:hAnsi="David" w:cs="David" w:hint="cs"/>
          <w:rtl/>
        </w:rPr>
        <w:t xml:space="preserve"> </w:t>
      </w:r>
      <w:r w:rsidRPr="009E278B">
        <w:rPr>
          <w:rFonts w:ascii="David" w:hAnsi="David" w:cs="David" w:hint="cs"/>
          <w:rtl/>
        </w:rPr>
        <w:t>עולה לכאורה</w:t>
      </w:r>
      <w:r w:rsidR="00745205">
        <w:rPr>
          <w:rFonts w:ascii="David" w:hAnsi="David" w:cs="David" w:hint="cs"/>
          <w:rtl/>
        </w:rPr>
        <w:t>,</w:t>
      </w:r>
      <w:r w:rsidRPr="009E278B">
        <w:rPr>
          <w:rFonts w:ascii="David" w:hAnsi="David" w:cs="David" w:hint="cs"/>
          <w:rtl/>
        </w:rPr>
        <w:t xml:space="preserve"> כי שיעור של 10% שאותו נטרלה השמאית המכריעה</w:t>
      </w:r>
      <w:r w:rsidR="0006047C">
        <w:rPr>
          <w:rFonts w:ascii="David" w:hAnsi="David" w:cs="David" w:hint="cs"/>
          <w:rtl/>
        </w:rPr>
        <w:t>,</w:t>
      </w:r>
      <w:r w:rsidRPr="009E278B">
        <w:rPr>
          <w:rFonts w:ascii="David" w:hAnsi="David" w:cs="David" w:hint="cs"/>
          <w:rtl/>
        </w:rPr>
        <w:t xml:space="preserve"> הינו תוספת השווי שחלה </w:t>
      </w:r>
      <w:r w:rsidR="00F355BD" w:rsidRPr="009E278B">
        <w:rPr>
          <w:rFonts w:ascii="David" w:hAnsi="David" w:cs="David" w:hint="cs"/>
          <w:rtl/>
        </w:rPr>
        <w:t>בדירות עליהן חלה תמ"א 38 ו</w:t>
      </w:r>
      <w:r w:rsidR="00F355BD" w:rsidRPr="00723009">
        <w:rPr>
          <w:rFonts w:ascii="David" w:hAnsi="David" w:cs="David" w:hint="cs"/>
          <w:u w:val="single"/>
          <w:rtl/>
        </w:rPr>
        <w:t>מעבר</w:t>
      </w:r>
      <w:r w:rsidR="00F355BD" w:rsidRPr="009E278B">
        <w:rPr>
          <w:rFonts w:ascii="David" w:hAnsi="David" w:cs="David" w:hint="cs"/>
          <w:rtl/>
        </w:rPr>
        <w:t xml:space="preserve"> לתוספת השווי הכללית של כלל הדירות במדינה.</w:t>
      </w:r>
      <w:r w:rsidR="0006047C">
        <w:rPr>
          <w:rFonts w:ascii="David" w:hAnsi="David" w:cs="David" w:hint="cs"/>
          <w:rtl/>
        </w:rPr>
        <w:t xml:space="preserve"> </w:t>
      </w:r>
      <w:r w:rsidR="00F355BD">
        <w:rPr>
          <w:rFonts w:ascii="David" w:hAnsi="David" w:cs="David" w:hint="cs"/>
          <w:rtl/>
        </w:rPr>
        <w:t xml:space="preserve">כך נכתב במחקר כפי שהוצג בשומות המכריעות, ר' עמ'  </w:t>
      </w:r>
      <w:r w:rsidR="0006047C">
        <w:rPr>
          <w:rFonts w:ascii="David" w:hAnsi="David" w:cs="David" w:hint="cs"/>
          <w:rtl/>
        </w:rPr>
        <w:t xml:space="preserve">61 </w:t>
      </w:r>
      <w:r w:rsidR="00F355BD">
        <w:rPr>
          <w:rFonts w:ascii="David" w:hAnsi="David" w:cs="David" w:hint="cs"/>
          <w:rtl/>
        </w:rPr>
        <w:t xml:space="preserve">לשומת מכרעת מגרש </w:t>
      </w:r>
      <w:r w:rsidR="0006047C">
        <w:rPr>
          <w:rFonts w:ascii="David" w:hAnsi="David" w:cs="David" w:hint="cs"/>
          <w:rtl/>
        </w:rPr>
        <w:t>101</w:t>
      </w:r>
      <w:r w:rsidR="00F355BD">
        <w:rPr>
          <w:rFonts w:ascii="David" w:hAnsi="David" w:cs="David" w:hint="cs"/>
          <w:rtl/>
        </w:rPr>
        <w:t xml:space="preserve"> כדלקמן: </w:t>
      </w:r>
      <w:r w:rsidR="00F355BD" w:rsidRPr="0006047C">
        <w:rPr>
          <w:rFonts w:ascii="David" w:hAnsi="David" w:cs="David" w:hint="cs"/>
          <w:rtl/>
        </w:rPr>
        <w:t>"</w:t>
      </w:r>
      <w:r w:rsidR="00F355BD" w:rsidRPr="0006047C">
        <w:rPr>
          <w:rFonts w:ascii="David" w:hAnsi="David" w:cs="David" w:hint="cs"/>
          <w:b/>
          <w:bCs/>
          <w:i/>
          <w:iCs/>
          <w:rtl/>
        </w:rPr>
        <w:t xml:space="preserve">מחירי הדירות </w:t>
      </w:r>
      <w:proofErr w:type="spellStart"/>
      <w:r w:rsidR="00F355BD" w:rsidRPr="0006047C">
        <w:rPr>
          <w:rFonts w:ascii="David" w:hAnsi="David" w:cs="David" w:hint="cs"/>
          <w:b/>
          <w:bCs/>
          <w:i/>
          <w:iCs/>
          <w:rtl/>
        </w:rPr>
        <w:t>שהתמ"א</w:t>
      </w:r>
      <w:proofErr w:type="spellEnd"/>
      <w:r w:rsidR="00F355BD" w:rsidRPr="0006047C">
        <w:rPr>
          <w:rFonts w:ascii="David" w:hAnsi="David" w:cs="David" w:hint="cs"/>
          <w:b/>
          <w:bCs/>
          <w:i/>
          <w:iCs/>
          <w:rtl/>
        </w:rPr>
        <w:t xml:space="preserve"> חלה עליהן עלו בממוצע ארצי בשיעור של 10% בהשוואה לעליית המחירים בדירות </w:t>
      </w:r>
      <w:proofErr w:type="spellStart"/>
      <w:r w:rsidR="00F355BD" w:rsidRPr="0006047C">
        <w:rPr>
          <w:rFonts w:ascii="David" w:hAnsi="David" w:cs="David" w:hint="cs"/>
          <w:b/>
          <w:bCs/>
          <w:i/>
          <w:iCs/>
          <w:rtl/>
        </w:rPr>
        <w:t>שהתמ"א</w:t>
      </w:r>
      <w:proofErr w:type="spellEnd"/>
      <w:r w:rsidR="00F355BD" w:rsidRPr="0006047C">
        <w:rPr>
          <w:rFonts w:ascii="David" w:hAnsi="David" w:cs="David" w:hint="cs"/>
          <w:b/>
          <w:bCs/>
          <w:i/>
          <w:iCs/>
          <w:rtl/>
        </w:rPr>
        <w:t xml:space="preserve"> לא חלה עליהן</w:t>
      </w:r>
      <w:r w:rsidR="00F355BD" w:rsidRPr="0006047C">
        <w:rPr>
          <w:rFonts w:ascii="David" w:hAnsi="David" w:cs="David" w:hint="cs"/>
          <w:b/>
          <w:bCs/>
          <w:rtl/>
        </w:rPr>
        <w:t>..."</w:t>
      </w:r>
      <w:r w:rsidR="0006047C" w:rsidRPr="0006047C">
        <w:rPr>
          <w:rFonts w:ascii="David" w:hAnsi="David" w:cs="David" w:hint="cs"/>
          <w:b/>
          <w:bCs/>
          <w:rtl/>
        </w:rPr>
        <w:t>.</w:t>
      </w:r>
    </w:p>
    <w:p w:rsidR="00745205" w:rsidRDefault="002E36F3" w:rsidP="000E6B10">
      <w:pPr>
        <w:pStyle w:val="a9"/>
        <w:numPr>
          <w:ilvl w:val="0"/>
          <w:numId w:val="1"/>
        </w:numPr>
        <w:tabs>
          <w:tab w:val="left" w:pos="425"/>
        </w:tabs>
        <w:spacing w:line="360" w:lineRule="auto"/>
        <w:ind w:left="357"/>
        <w:contextualSpacing w:val="0"/>
        <w:jc w:val="both"/>
        <w:rPr>
          <w:rFonts w:ascii="David" w:hAnsi="David" w:cs="David"/>
        </w:rPr>
      </w:pPr>
      <w:r>
        <w:rPr>
          <w:rFonts w:ascii="David" w:hAnsi="David" w:cs="David" w:hint="cs"/>
          <w:rtl/>
        </w:rPr>
        <w:t>כעולה מהמחקר,</w:t>
      </w:r>
      <w:r w:rsidR="0006047C">
        <w:rPr>
          <w:rFonts w:ascii="David" w:hAnsi="David" w:cs="David" w:hint="cs"/>
          <w:rtl/>
        </w:rPr>
        <w:t xml:space="preserve"> בדירות </w:t>
      </w:r>
      <w:r>
        <w:rPr>
          <w:rFonts w:ascii="David" w:hAnsi="David" w:cs="David" w:hint="cs"/>
          <w:rtl/>
        </w:rPr>
        <w:t>בישראל ניתן לומר כי</w:t>
      </w:r>
      <w:r w:rsidR="0006047C">
        <w:rPr>
          <w:rFonts w:ascii="David" w:hAnsi="David" w:cs="David" w:hint="cs"/>
          <w:rtl/>
        </w:rPr>
        <w:t xml:space="preserve"> נוצר</w:t>
      </w:r>
      <w:r w:rsidR="00D40A5C">
        <w:rPr>
          <w:rFonts w:ascii="David" w:hAnsi="David" w:cs="David" w:hint="cs"/>
          <w:rtl/>
        </w:rPr>
        <w:t xml:space="preserve"> </w:t>
      </w:r>
      <w:r w:rsidR="0006047C">
        <w:rPr>
          <w:rFonts w:ascii="David" w:hAnsi="David" w:cs="David" w:hint="cs"/>
          <w:rtl/>
        </w:rPr>
        <w:t>פוטנציאל/עליית שווי משני סוגים</w:t>
      </w:r>
      <w:r w:rsidR="00745205">
        <w:rPr>
          <w:rFonts w:ascii="David" w:hAnsi="David" w:cs="David" w:hint="cs"/>
          <w:rtl/>
        </w:rPr>
        <w:t>:</w:t>
      </w:r>
      <w:r>
        <w:rPr>
          <w:rFonts w:ascii="David" w:hAnsi="David" w:cs="David" w:hint="cs"/>
          <w:rtl/>
        </w:rPr>
        <w:t xml:space="preserve"> </w:t>
      </w:r>
    </w:p>
    <w:p w:rsidR="002E36F3" w:rsidRDefault="00745205" w:rsidP="000E6B10">
      <w:pPr>
        <w:pStyle w:val="a9"/>
        <w:tabs>
          <w:tab w:val="left" w:pos="425"/>
        </w:tabs>
        <w:spacing w:line="360" w:lineRule="auto"/>
        <w:ind w:left="357"/>
        <w:contextualSpacing w:val="0"/>
        <w:jc w:val="both"/>
        <w:rPr>
          <w:rFonts w:ascii="David" w:hAnsi="David" w:cs="David"/>
          <w:rtl/>
        </w:rPr>
      </w:pPr>
      <w:r w:rsidRPr="002E36F3">
        <w:rPr>
          <w:rFonts w:ascii="David" w:hAnsi="David" w:cs="David" w:hint="cs"/>
          <w:rtl/>
        </w:rPr>
        <w:t>הראשונה,</w:t>
      </w:r>
      <w:r w:rsidR="0006047C">
        <w:rPr>
          <w:rFonts w:ascii="David" w:hAnsi="David" w:cs="David" w:hint="cs"/>
          <w:rtl/>
        </w:rPr>
        <w:t xml:space="preserve"> </w:t>
      </w:r>
      <w:r w:rsidR="002E36F3">
        <w:rPr>
          <w:rFonts w:ascii="David" w:hAnsi="David" w:cs="David" w:hint="cs"/>
          <w:rtl/>
        </w:rPr>
        <w:t>עליית שווי/</w:t>
      </w:r>
      <w:r w:rsidR="0006047C">
        <w:rPr>
          <w:rFonts w:ascii="David" w:hAnsi="David" w:cs="David" w:hint="cs"/>
          <w:rtl/>
        </w:rPr>
        <w:t xml:space="preserve">פוטנציאל כללי </w:t>
      </w:r>
      <w:r w:rsidR="002E36F3">
        <w:rPr>
          <w:rFonts w:ascii="David" w:hAnsi="David" w:cs="David" w:hint="cs"/>
          <w:rtl/>
        </w:rPr>
        <w:t>אשר חלה</w:t>
      </w:r>
      <w:r w:rsidR="002E36F3">
        <w:rPr>
          <w:rFonts w:ascii="David" w:hAnsi="David" w:cs="David" w:hint="cs"/>
          <w:u w:val="single"/>
          <w:rtl/>
        </w:rPr>
        <w:t xml:space="preserve"> על כלל הדירות קרי הן </w:t>
      </w:r>
      <w:r w:rsidR="002D0C3F">
        <w:rPr>
          <w:rFonts w:ascii="David" w:hAnsi="David" w:cs="David" w:hint="cs"/>
          <w:u w:val="single"/>
          <w:rtl/>
        </w:rPr>
        <w:t xml:space="preserve">על </w:t>
      </w:r>
      <w:r w:rsidR="002E36F3">
        <w:rPr>
          <w:rFonts w:ascii="David" w:hAnsi="David" w:cs="David" w:hint="cs"/>
          <w:u w:val="single"/>
          <w:rtl/>
        </w:rPr>
        <w:t xml:space="preserve">דירות עליהן חלה </w:t>
      </w:r>
      <w:proofErr w:type="spellStart"/>
      <w:r w:rsidR="002E36F3">
        <w:rPr>
          <w:rFonts w:ascii="David" w:hAnsi="David" w:cs="David" w:hint="cs"/>
          <w:u w:val="single"/>
          <w:rtl/>
        </w:rPr>
        <w:t>התמ"א</w:t>
      </w:r>
      <w:proofErr w:type="spellEnd"/>
      <w:r w:rsidR="002E36F3">
        <w:rPr>
          <w:rFonts w:ascii="David" w:hAnsi="David" w:cs="David" w:hint="cs"/>
          <w:u w:val="single"/>
          <w:rtl/>
        </w:rPr>
        <w:t>, ו</w:t>
      </w:r>
      <w:r>
        <w:rPr>
          <w:rFonts w:ascii="David" w:hAnsi="David" w:cs="David" w:hint="cs"/>
          <w:u w:val="single"/>
          <w:rtl/>
        </w:rPr>
        <w:t xml:space="preserve">הן על דירות עליהן </w:t>
      </w:r>
      <w:r w:rsidR="0006047C" w:rsidRPr="0006047C">
        <w:rPr>
          <w:rFonts w:ascii="David" w:hAnsi="David" w:cs="David" w:hint="cs"/>
          <w:u w:val="single"/>
          <w:rtl/>
        </w:rPr>
        <w:t xml:space="preserve">לא חלה </w:t>
      </w:r>
      <w:proofErr w:type="spellStart"/>
      <w:r w:rsidR="0006047C" w:rsidRPr="0006047C">
        <w:rPr>
          <w:rFonts w:ascii="David" w:hAnsi="David" w:cs="David" w:hint="cs"/>
          <w:u w:val="single"/>
          <w:rtl/>
        </w:rPr>
        <w:t>התמ"א</w:t>
      </w:r>
      <w:proofErr w:type="spellEnd"/>
      <w:r w:rsidR="002E36F3">
        <w:rPr>
          <w:rFonts w:ascii="David" w:hAnsi="David" w:cs="David" w:hint="cs"/>
          <w:rtl/>
        </w:rPr>
        <w:t>.</w:t>
      </w:r>
    </w:p>
    <w:p w:rsidR="0006047C" w:rsidRPr="00661129" w:rsidRDefault="002E36F3" w:rsidP="000E6B10">
      <w:pPr>
        <w:pStyle w:val="a9"/>
        <w:tabs>
          <w:tab w:val="left" w:pos="425"/>
        </w:tabs>
        <w:spacing w:line="360" w:lineRule="auto"/>
        <w:ind w:left="357"/>
        <w:contextualSpacing w:val="0"/>
        <w:jc w:val="both"/>
        <w:rPr>
          <w:rtl/>
        </w:rPr>
      </w:pPr>
      <w:proofErr w:type="spellStart"/>
      <w:r>
        <w:rPr>
          <w:rFonts w:ascii="David" w:hAnsi="David" w:cs="David" w:hint="cs"/>
          <w:rtl/>
        </w:rPr>
        <w:t>השניה</w:t>
      </w:r>
      <w:proofErr w:type="spellEnd"/>
      <w:r>
        <w:rPr>
          <w:rFonts w:ascii="David" w:hAnsi="David" w:cs="David" w:hint="cs"/>
          <w:rtl/>
        </w:rPr>
        <w:t>, עליית שווי/פוטנציאל קונקרטי</w:t>
      </w:r>
      <w:r w:rsidR="0006047C">
        <w:rPr>
          <w:rFonts w:ascii="David" w:hAnsi="David" w:cs="David" w:hint="cs"/>
          <w:rtl/>
        </w:rPr>
        <w:t xml:space="preserve"> הבאה בנוסף ל</w:t>
      </w:r>
      <w:r w:rsidR="00745205">
        <w:rPr>
          <w:rFonts w:ascii="David" w:hAnsi="David" w:cs="David" w:hint="cs"/>
          <w:rtl/>
        </w:rPr>
        <w:t>ראשונה</w:t>
      </w:r>
      <w:r w:rsidR="00D40A5C">
        <w:rPr>
          <w:rFonts w:ascii="David" w:hAnsi="David" w:cs="David" w:hint="cs"/>
          <w:rtl/>
        </w:rPr>
        <w:t>,</w:t>
      </w:r>
      <w:r w:rsidR="0006047C">
        <w:rPr>
          <w:rFonts w:ascii="David" w:hAnsi="David" w:cs="David" w:hint="cs"/>
          <w:rtl/>
        </w:rPr>
        <w:t xml:space="preserve"> </w:t>
      </w:r>
      <w:r w:rsidR="002D0C3F">
        <w:rPr>
          <w:rFonts w:ascii="David" w:hAnsi="David" w:cs="David" w:hint="cs"/>
          <w:rtl/>
        </w:rPr>
        <w:t xml:space="preserve">אשר </w:t>
      </w:r>
      <w:r w:rsidR="0006047C">
        <w:rPr>
          <w:rFonts w:ascii="David" w:hAnsi="David" w:cs="David" w:hint="cs"/>
          <w:rtl/>
        </w:rPr>
        <w:t xml:space="preserve">חלה </w:t>
      </w:r>
      <w:r>
        <w:rPr>
          <w:rFonts w:ascii="David" w:hAnsi="David" w:cs="David" w:hint="cs"/>
          <w:rtl/>
        </w:rPr>
        <w:t xml:space="preserve">רק </w:t>
      </w:r>
      <w:r w:rsidRPr="002E36F3">
        <w:rPr>
          <w:rFonts w:ascii="David" w:hAnsi="David" w:cs="David" w:hint="cs"/>
          <w:u w:val="single"/>
          <w:rtl/>
        </w:rPr>
        <w:t xml:space="preserve">בדירות עליהן חלה </w:t>
      </w:r>
      <w:proofErr w:type="spellStart"/>
      <w:r w:rsidRPr="002E36F3">
        <w:rPr>
          <w:rFonts w:ascii="David" w:hAnsi="David" w:cs="David" w:hint="cs"/>
          <w:u w:val="single"/>
          <w:rtl/>
        </w:rPr>
        <w:t>התמ"א</w:t>
      </w:r>
      <w:proofErr w:type="spellEnd"/>
      <w:r>
        <w:rPr>
          <w:rFonts w:ascii="David" w:hAnsi="David" w:cs="David" w:hint="cs"/>
          <w:rtl/>
        </w:rPr>
        <w:t xml:space="preserve">. </w:t>
      </w:r>
    </w:p>
    <w:p w:rsidR="009E278B" w:rsidRPr="002E36F3" w:rsidRDefault="009E278B" w:rsidP="002A5269">
      <w:pPr>
        <w:pStyle w:val="a9"/>
        <w:numPr>
          <w:ilvl w:val="0"/>
          <w:numId w:val="1"/>
        </w:numPr>
        <w:tabs>
          <w:tab w:val="left" w:pos="425"/>
        </w:tabs>
        <w:spacing w:line="360" w:lineRule="auto"/>
        <w:ind w:left="357"/>
        <w:contextualSpacing w:val="0"/>
        <w:jc w:val="both"/>
        <w:rPr>
          <w:rFonts w:ascii="David" w:hAnsi="David" w:cs="David"/>
          <w:rtl/>
        </w:rPr>
      </w:pPr>
      <w:r>
        <w:rPr>
          <w:rFonts w:ascii="David" w:hAnsi="David" w:cs="David" w:hint="cs"/>
          <w:rtl/>
        </w:rPr>
        <w:t xml:space="preserve">נוכח </w:t>
      </w:r>
      <w:r w:rsidR="002E36F3">
        <w:rPr>
          <w:rFonts w:ascii="David" w:hAnsi="David" w:cs="David" w:hint="cs"/>
          <w:rtl/>
        </w:rPr>
        <w:t xml:space="preserve">כל </w:t>
      </w:r>
      <w:r>
        <w:rPr>
          <w:rFonts w:ascii="David" w:hAnsi="David" w:cs="David" w:hint="cs"/>
          <w:rtl/>
        </w:rPr>
        <w:t>האמור</w:t>
      </w:r>
      <w:r w:rsidR="002E36F3">
        <w:rPr>
          <w:rFonts w:ascii="David" w:hAnsi="David" w:cs="David" w:hint="cs"/>
          <w:rtl/>
        </w:rPr>
        <w:t xml:space="preserve">, עלתה בפנינו תהייה </w:t>
      </w:r>
      <w:r>
        <w:rPr>
          <w:rFonts w:ascii="David" w:hAnsi="David" w:cs="David" w:hint="cs"/>
          <w:rtl/>
        </w:rPr>
        <w:t xml:space="preserve"> האם </w:t>
      </w:r>
      <w:r w:rsidR="0006047C">
        <w:rPr>
          <w:rFonts w:ascii="David" w:hAnsi="David" w:cs="David" w:hint="cs"/>
          <w:rtl/>
        </w:rPr>
        <w:t>ה</w:t>
      </w:r>
      <w:r>
        <w:rPr>
          <w:rFonts w:ascii="David" w:hAnsi="David" w:cs="David" w:hint="cs"/>
          <w:rtl/>
        </w:rPr>
        <w:t xml:space="preserve">הגדרה של פוטנציאל </w:t>
      </w:r>
      <w:r w:rsidR="0006047C">
        <w:rPr>
          <w:rFonts w:ascii="David" w:hAnsi="David" w:cs="David" w:hint="cs"/>
          <w:rtl/>
        </w:rPr>
        <w:t>"</w:t>
      </w:r>
      <w:r>
        <w:rPr>
          <w:rFonts w:ascii="David" w:hAnsi="David" w:cs="David" w:hint="cs"/>
          <w:rtl/>
        </w:rPr>
        <w:t>כללי</w:t>
      </w:r>
      <w:r w:rsidR="0006047C">
        <w:rPr>
          <w:rFonts w:ascii="David" w:hAnsi="David" w:cs="David" w:hint="cs"/>
          <w:rtl/>
        </w:rPr>
        <w:t>"</w:t>
      </w:r>
      <w:r>
        <w:rPr>
          <w:rFonts w:ascii="David" w:hAnsi="David" w:cs="David" w:hint="cs"/>
          <w:rtl/>
        </w:rPr>
        <w:t xml:space="preserve"> כפי שציינה השמאית המכריעה בתשובה להבהרות, </w:t>
      </w:r>
      <w:r w:rsidR="00723009">
        <w:rPr>
          <w:rFonts w:ascii="David" w:hAnsi="David" w:cs="David" w:hint="cs"/>
          <w:rtl/>
        </w:rPr>
        <w:t xml:space="preserve">מתיישבת עם הנטרול שעשתה </w:t>
      </w:r>
      <w:r w:rsidR="0006047C">
        <w:rPr>
          <w:rFonts w:ascii="David" w:hAnsi="David" w:cs="David" w:hint="cs"/>
          <w:rtl/>
        </w:rPr>
        <w:t>בפועל במסגרת שווי מצב קודם בשומות המכריעות, שכ</w:t>
      </w:r>
      <w:r w:rsidR="002E36F3">
        <w:rPr>
          <w:rFonts w:ascii="David" w:hAnsi="David" w:cs="David" w:hint="cs"/>
          <w:rtl/>
        </w:rPr>
        <w:t>ן,</w:t>
      </w:r>
      <w:r w:rsidR="0006047C">
        <w:rPr>
          <w:rFonts w:ascii="David" w:hAnsi="David" w:cs="David" w:hint="cs"/>
          <w:rtl/>
        </w:rPr>
        <w:t xml:space="preserve"> </w:t>
      </w:r>
      <w:r w:rsidR="00723009">
        <w:rPr>
          <w:rFonts w:ascii="David" w:hAnsi="David" w:cs="David" w:hint="cs"/>
          <w:rtl/>
        </w:rPr>
        <w:t xml:space="preserve">כעולה מההסבר שבשומות המכריעות </w:t>
      </w:r>
      <w:r w:rsidR="002E36F3">
        <w:rPr>
          <w:rFonts w:ascii="David" w:hAnsi="David" w:cs="David" w:hint="cs"/>
          <w:rtl/>
        </w:rPr>
        <w:t xml:space="preserve">אשר צוטט לעיל, </w:t>
      </w:r>
      <w:r w:rsidR="00964F0A">
        <w:rPr>
          <w:rFonts w:ascii="David" w:hAnsi="David" w:cs="David" w:hint="cs"/>
          <w:rtl/>
        </w:rPr>
        <w:t xml:space="preserve">וכן על פי ממצאי עיוננו אנו במחקר האמור, </w:t>
      </w:r>
      <w:r w:rsidR="00723009" w:rsidRPr="002E36F3">
        <w:rPr>
          <w:rFonts w:ascii="David" w:hAnsi="David" w:cs="David" w:hint="cs"/>
          <w:rtl/>
        </w:rPr>
        <w:t xml:space="preserve">עלול להשתמע </w:t>
      </w:r>
      <w:r w:rsidR="002E36F3">
        <w:rPr>
          <w:rFonts w:ascii="David" w:hAnsi="David" w:cs="David" w:hint="cs"/>
          <w:rtl/>
        </w:rPr>
        <w:t xml:space="preserve">כי הפוטנציאל/עליית השווי אשר נוטרל </w:t>
      </w:r>
      <w:r w:rsidRPr="002E36F3">
        <w:rPr>
          <w:rFonts w:ascii="David" w:hAnsi="David" w:cs="David" w:hint="cs"/>
          <w:rtl/>
        </w:rPr>
        <w:t xml:space="preserve">מתייחס לתוספת שווי שחלה אך ורק בדירות עליהן חלה תמ"א 38 (היינו </w:t>
      </w:r>
      <w:r w:rsidR="0006047C" w:rsidRPr="002E36F3">
        <w:rPr>
          <w:rFonts w:ascii="David" w:hAnsi="David" w:cs="David" w:hint="cs"/>
          <w:rtl/>
        </w:rPr>
        <w:t xml:space="preserve"> - </w:t>
      </w:r>
      <w:r w:rsidRPr="002E36F3">
        <w:rPr>
          <w:rFonts w:ascii="David" w:hAnsi="David" w:cs="David" w:hint="cs"/>
          <w:rtl/>
        </w:rPr>
        <w:t xml:space="preserve">פוטנציאל קונקרטי) וזאת כתוספת </w:t>
      </w:r>
      <w:r w:rsidRPr="002E36F3">
        <w:rPr>
          <w:rFonts w:ascii="David" w:hAnsi="David" w:cs="David" w:hint="cs"/>
          <w:u w:val="single"/>
          <w:rtl/>
        </w:rPr>
        <w:t>מעבר</w:t>
      </w:r>
      <w:r w:rsidRPr="002E36F3">
        <w:rPr>
          <w:rFonts w:ascii="David" w:hAnsi="David" w:cs="David" w:hint="cs"/>
          <w:rtl/>
        </w:rPr>
        <w:t xml:space="preserve"> ל</w:t>
      </w:r>
      <w:r w:rsidR="0006047C" w:rsidRPr="002E36F3">
        <w:rPr>
          <w:rFonts w:ascii="David" w:hAnsi="David" w:cs="David" w:hint="cs"/>
          <w:rtl/>
        </w:rPr>
        <w:t>פוטנציאל/</w:t>
      </w:r>
      <w:r w:rsidRPr="002E36F3">
        <w:rPr>
          <w:rFonts w:ascii="David" w:hAnsi="David" w:cs="David" w:hint="cs"/>
          <w:rtl/>
        </w:rPr>
        <w:t xml:space="preserve">עליית שווי </w:t>
      </w:r>
      <w:r w:rsidR="0006047C" w:rsidRPr="002E36F3">
        <w:rPr>
          <w:rFonts w:ascii="David" w:hAnsi="David" w:cs="David" w:hint="cs"/>
          <w:rtl/>
        </w:rPr>
        <w:t>כללי (היינו פוטנציאל כללי)</w:t>
      </w:r>
      <w:r w:rsidRPr="002E36F3">
        <w:rPr>
          <w:rFonts w:ascii="David" w:hAnsi="David" w:cs="David" w:hint="cs"/>
          <w:rtl/>
        </w:rPr>
        <w:t>.</w:t>
      </w:r>
    </w:p>
    <w:p w:rsidR="009E278B" w:rsidRDefault="009E278B" w:rsidP="002A5269">
      <w:pPr>
        <w:pStyle w:val="a9"/>
        <w:numPr>
          <w:ilvl w:val="0"/>
          <w:numId w:val="1"/>
        </w:numPr>
        <w:tabs>
          <w:tab w:val="left" w:pos="425"/>
        </w:tabs>
        <w:spacing w:line="360" w:lineRule="auto"/>
        <w:ind w:left="357"/>
        <w:contextualSpacing w:val="0"/>
        <w:jc w:val="both"/>
        <w:rPr>
          <w:rFonts w:ascii="David" w:hAnsi="David" w:cs="David"/>
          <w:rtl/>
        </w:rPr>
      </w:pPr>
      <w:r>
        <w:rPr>
          <w:rFonts w:ascii="David" w:hAnsi="David" w:cs="David" w:hint="cs"/>
          <w:rtl/>
        </w:rPr>
        <w:t xml:space="preserve">במילים אחרות, עולה השאלה האם </w:t>
      </w:r>
      <w:r w:rsidR="002E36F3">
        <w:rPr>
          <w:rFonts w:ascii="David" w:hAnsi="David" w:cs="David" w:hint="cs"/>
          <w:rtl/>
        </w:rPr>
        <w:t>הפוטנציאל</w:t>
      </w:r>
      <w:r>
        <w:rPr>
          <w:rFonts w:ascii="David" w:hAnsi="David" w:cs="David" w:hint="cs"/>
          <w:rtl/>
        </w:rPr>
        <w:t xml:space="preserve"> </w:t>
      </w:r>
      <w:r w:rsidR="00723009">
        <w:rPr>
          <w:rFonts w:ascii="David" w:hAnsi="David" w:cs="David" w:hint="cs"/>
          <w:rtl/>
        </w:rPr>
        <w:t xml:space="preserve">שנוטרל בשיעור של 10% </w:t>
      </w:r>
      <w:r w:rsidR="0006047C">
        <w:rPr>
          <w:rFonts w:ascii="David" w:hAnsi="David" w:cs="David" w:hint="cs"/>
          <w:rtl/>
        </w:rPr>
        <w:t xml:space="preserve">במצב קודם על ידי השמאית המכריעה </w:t>
      </w:r>
      <w:r w:rsidR="00964F0A">
        <w:rPr>
          <w:rFonts w:ascii="David" w:hAnsi="David" w:cs="David" w:hint="cs"/>
          <w:rtl/>
        </w:rPr>
        <w:t xml:space="preserve">הוא </w:t>
      </w:r>
      <w:r>
        <w:rPr>
          <w:rFonts w:ascii="David" w:hAnsi="David" w:cs="David" w:hint="cs"/>
          <w:rtl/>
        </w:rPr>
        <w:t xml:space="preserve">בגדר </w:t>
      </w:r>
      <w:r w:rsidR="00723009">
        <w:rPr>
          <w:rFonts w:ascii="David" w:hAnsi="David" w:cs="David" w:hint="cs"/>
          <w:rtl/>
        </w:rPr>
        <w:t xml:space="preserve">פוטנציאל </w:t>
      </w:r>
      <w:r w:rsidR="002E36F3">
        <w:rPr>
          <w:rFonts w:ascii="David" w:hAnsi="David" w:cs="David" w:hint="cs"/>
          <w:rtl/>
        </w:rPr>
        <w:t>"</w:t>
      </w:r>
      <w:r>
        <w:rPr>
          <w:rFonts w:ascii="David" w:hAnsi="David" w:cs="David" w:hint="cs"/>
          <w:rtl/>
        </w:rPr>
        <w:t>כללי</w:t>
      </w:r>
      <w:r w:rsidR="002E36F3">
        <w:rPr>
          <w:rFonts w:ascii="David" w:hAnsi="David" w:cs="David" w:hint="cs"/>
          <w:rtl/>
        </w:rPr>
        <w:t>"</w:t>
      </w:r>
      <w:r w:rsidR="00723009">
        <w:rPr>
          <w:rFonts w:ascii="David" w:hAnsi="David" w:cs="David" w:hint="cs"/>
          <w:rtl/>
        </w:rPr>
        <w:t xml:space="preserve"> (אותו </w:t>
      </w:r>
      <w:r w:rsidR="002E36F3">
        <w:rPr>
          <w:rFonts w:ascii="David" w:hAnsi="David" w:cs="David" w:hint="cs"/>
          <w:rtl/>
        </w:rPr>
        <w:t>אין</w:t>
      </w:r>
      <w:r w:rsidR="00723009">
        <w:rPr>
          <w:rFonts w:ascii="David" w:hAnsi="David" w:cs="David" w:hint="cs"/>
          <w:rtl/>
        </w:rPr>
        <w:t xml:space="preserve"> לנטרל משווי מצב קודם)</w:t>
      </w:r>
      <w:r>
        <w:rPr>
          <w:rFonts w:ascii="David" w:hAnsi="David" w:cs="David" w:hint="cs"/>
          <w:rtl/>
        </w:rPr>
        <w:t xml:space="preserve"> או שמא</w:t>
      </w:r>
      <w:r w:rsidR="00D40A5C">
        <w:rPr>
          <w:rFonts w:ascii="David" w:hAnsi="David" w:cs="David" w:hint="cs"/>
          <w:rtl/>
        </w:rPr>
        <w:t>,</w:t>
      </w:r>
      <w:r w:rsidR="00723009">
        <w:rPr>
          <w:rFonts w:ascii="David" w:hAnsi="David" w:cs="David" w:hint="cs"/>
          <w:rtl/>
        </w:rPr>
        <w:t xml:space="preserve"> </w:t>
      </w:r>
      <w:r w:rsidR="002E36F3">
        <w:rPr>
          <w:rFonts w:ascii="David" w:hAnsi="David" w:cs="David" w:hint="cs"/>
          <w:rtl/>
        </w:rPr>
        <w:t xml:space="preserve">מדובר </w:t>
      </w:r>
      <w:r w:rsidR="00964F0A">
        <w:rPr>
          <w:rFonts w:ascii="David" w:hAnsi="David" w:cs="David" w:hint="cs"/>
          <w:rtl/>
        </w:rPr>
        <w:t>ב</w:t>
      </w:r>
      <w:r w:rsidR="0006047C">
        <w:rPr>
          <w:rFonts w:ascii="David" w:hAnsi="David" w:cs="David" w:hint="cs"/>
          <w:rtl/>
        </w:rPr>
        <w:t>פוטנציאל/</w:t>
      </w:r>
      <w:r w:rsidR="00723009">
        <w:rPr>
          <w:rFonts w:ascii="David" w:hAnsi="David" w:cs="David" w:hint="cs"/>
          <w:rtl/>
        </w:rPr>
        <w:t xml:space="preserve">תוספת שווי </w:t>
      </w:r>
      <w:r w:rsidR="002E36F3">
        <w:rPr>
          <w:rFonts w:ascii="David" w:hAnsi="David" w:cs="David" w:hint="cs"/>
          <w:rtl/>
        </w:rPr>
        <w:t>"</w:t>
      </w:r>
      <w:r w:rsidR="00723009">
        <w:rPr>
          <w:rFonts w:ascii="David" w:hAnsi="David" w:cs="David" w:hint="cs"/>
          <w:rtl/>
        </w:rPr>
        <w:t>קונקרטי</w:t>
      </w:r>
      <w:r w:rsidR="002E36F3">
        <w:rPr>
          <w:rFonts w:ascii="David" w:hAnsi="David" w:cs="David" w:hint="cs"/>
          <w:rtl/>
        </w:rPr>
        <w:t>"</w:t>
      </w:r>
      <w:r w:rsidR="00723009">
        <w:rPr>
          <w:rFonts w:ascii="David" w:hAnsi="David" w:cs="David" w:hint="cs"/>
          <w:rtl/>
        </w:rPr>
        <w:t xml:space="preserve"> אשר </w:t>
      </w:r>
      <w:r w:rsidR="002E36F3">
        <w:rPr>
          <w:rFonts w:ascii="David" w:hAnsi="David" w:cs="David" w:hint="cs"/>
          <w:rtl/>
        </w:rPr>
        <w:t>יש</w:t>
      </w:r>
      <w:r>
        <w:rPr>
          <w:rFonts w:ascii="David" w:hAnsi="David" w:cs="David" w:hint="cs"/>
          <w:rtl/>
        </w:rPr>
        <w:t xml:space="preserve"> לנטרל</w:t>
      </w:r>
      <w:r w:rsidR="0006047C">
        <w:rPr>
          <w:rFonts w:ascii="David" w:hAnsi="David" w:cs="David" w:hint="cs"/>
          <w:rtl/>
        </w:rPr>
        <w:t>ו</w:t>
      </w:r>
      <w:r>
        <w:rPr>
          <w:rFonts w:ascii="David" w:hAnsi="David" w:cs="David" w:hint="cs"/>
          <w:rtl/>
        </w:rPr>
        <w:t>.</w:t>
      </w:r>
    </w:p>
    <w:p w:rsidR="002E36F3" w:rsidRDefault="00723009" w:rsidP="002A5269">
      <w:pPr>
        <w:pStyle w:val="a9"/>
        <w:numPr>
          <w:ilvl w:val="0"/>
          <w:numId w:val="1"/>
        </w:numPr>
        <w:tabs>
          <w:tab w:val="left" w:pos="425"/>
        </w:tabs>
        <w:spacing w:line="360" w:lineRule="auto"/>
        <w:ind w:left="357"/>
        <w:contextualSpacing w:val="0"/>
        <w:jc w:val="both"/>
        <w:rPr>
          <w:rFonts w:ascii="David" w:hAnsi="David" w:cs="David"/>
          <w:rtl/>
        </w:rPr>
      </w:pPr>
      <w:r>
        <w:rPr>
          <w:rFonts w:ascii="David" w:hAnsi="David" w:cs="David" w:hint="cs"/>
          <w:rtl/>
        </w:rPr>
        <w:t>אי לכך ומאחר ובתשובה להבהר</w:t>
      </w:r>
      <w:r w:rsidR="00D40A5C">
        <w:rPr>
          <w:rFonts w:ascii="David" w:hAnsi="David" w:cs="David" w:hint="cs"/>
          <w:rtl/>
        </w:rPr>
        <w:t>ות</w:t>
      </w:r>
      <w:r>
        <w:rPr>
          <w:rFonts w:ascii="David" w:hAnsi="David" w:cs="David" w:hint="cs"/>
          <w:rtl/>
        </w:rPr>
        <w:t xml:space="preserve"> שנתנה עקב החלטת הביניים, שעה שהשמאית המכריעה ה</w:t>
      </w:r>
      <w:r w:rsidR="00212234">
        <w:rPr>
          <w:rFonts w:ascii="David" w:hAnsi="David" w:cs="David" w:hint="cs"/>
          <w:rtl/>
        </w:rPr>
        <w:t>י</w:t>
      </w:r>
      <w:r>
        <w:rPr>
          <w:rFonts w:ascii="David" w:hAnsi="David" w:cs="David" w:hint="cs"/>
          <w:rtl/>
        </w:rPr>
        <w:t xml:space="preserve">יתה מודעת היטב לסיבת השאלה שהופנתה אליה וציינה כי מדובר בפוטנציאל </w:t>
      </w:r>
      <w:r w:rsidR="0006047C">
        <w:rPr>
          <w:rFonts w:ascii="David" w:hAnsi="David" w:cs="David" w:hint="cs"/>
          <w:rtl/>
        </w:rPr>
        <w:t>"</w:t>
      </w:r>
      <w:r>
        <w:rPr>
          <w:rFonts w:ascii="David" w:hAnsi="David" w:cs="David" w:hint="cs"/>
          <w:rtl/>
        </w:rPr>
        <w:t>כללי</w:t>
      </w:r>
      <w:r w:rsidR="0006047C">
        <w:rPr>
          <w:rFonts w:ascii="David" w:hAnsi="David" w:cs="David" w:hint="cs"/>
          <w:rtl/>
        </w:rPr>
        <w:t>"</w:t>
      </w:r>
      <w:r w:rsidR="002E36F3">
        <w:rPr>
          <w:rFonts w:ascii="David" w:hAnsi="David" w:cs="David" w:hint="cs"/>
          <w:rtl/>
        </w:rPr>
        <w:t xml:space="preserve">, </w:t>
      </w:r>
      <w:r w:rsidR="0006047C">
        <w:rPr>
          <w:rFonts w:ascii="David" w:hAnsi="David" w:cs="David" w:hint="cs"/>
          <w:rtl/>
        </w:rPr>
        <w:t xml:space="preserve">עדיין אופפת אותנו </w:t>
      </w:r>
      <w:r>
        <w:rPr>
          <w:rFonts w:ascii="David" w:hAnsi="David" w:cs="David" w:hint="cs"/>
          <w:rtl/>
        </w:rPr>
        <w:t>אי וודאות בדבר מהות הפוטנציאל שנוטרל</w:t>
      </w:r>
      <w:r w:rsidR="00745205">
        <w:rPr>
          <w:rFonts w:ascii="David" w:hAnsi="David" w:cs="David" w:hint="cs"/>
          <w:rtl/>
        </w:rPr>
        <w:t xml:space="preserve"> על ידי השמאית המכריעה</w:t>
      </w:r>
      <w:r>
        <w:rPr>
          <w:rFonts w:ascii="David" w:hAnsi="David" w:cs="David" w:hint="cs"/>
          <w:rtl/>
        </w:rPr>
        <w:t xml:space="preserve">, </w:t>
      </w:r>
      <w:r w:rsidRPr="00723009">
        <w:rPr>
          <w:rFonts w:ascii="David" w:hAnsi="David" w:cs="David"/>
          <w:rtl/>
        </w:rPr>
        <w:t>וייתכן ושיקולים נוספים אותם שקלה השמאית המכריעה לא מצאו ביטויים בתשובה להבהרות</w:t>
      </w:r>
      <w:r w:rsidR="0006047C">
        <w:rPr>
          <w:rFonts w:ascii="David" w:hAnsi="David" w:cs="David" w:hint="cs"/>
          <w:rtl/>
        </w:rPr>
        <w:t xml:space="preserve">. </w:t>
      </w:r>
    </w:p>
    <w:p w:rsidR="00BC0070" w:rsidRDefault="002E36F3" w:rsidP="002A5269">
      <w:pPr>
        <w:pStyle w:val="a9"/>
        <w:numPr>
          <w:ilvl w:val="0"/>
          <w:numId w:val="1"/>
        </w:numPr>
        <w:tabs>
          <w:tab w:val="left" w:pos="425"/>
        </w:tabs>
        <w:spacing w:line="360" w:lineRule="auto"/>
        <w:ind w:left="357"/>
        <w:contextualSpacing w:val="0"/>
        <w:jc w:val="both"/>
        <w:rPr>
          <w:rFonts w:ascii="David" w:hAnsi="David" w:cs="David"/>
          <w:rtl/>
        </w:rPr>
      </w:pPr>
      <w:r>
        <w:rPr>
          <w:rFonts w:ascii="David" w:hAnsi="David" w:cs="David" w:hint="cs"/>
          <w:rtl/>
        </w:rPr>
        <w:t>נוכח האמור</w:t>
      </w:r>
      <w:r w:rsidR="00D40A5C">
        <w:rPr>
          <w:rFonts w:ascii="David" w:hAnsi="David" w:cs="David" w:hint="cs"/>
          <w:rtl/>
        </w:rPr>
        <w:t>,</w:t>
      </w:r>
      <w:r>
        <w:rPr>
          <w:rFonts w:ascii="David" w:hAnsi="David" w:cs="David" w:hint="cs"/>
          <w:rtl/>
        </w:rPr>
        <w:t xml:space="preserve"> בנסיבות אלה נראה כי יש ל</w:t>
      </w:r>
      <w:r w:rsidR="00745205">
        <w:rPr>
          <w:rFonts w:ascii="David" w:hAnsi="David" w:cs="David" w:hint="cs"/>
          <w:rtl/>
        </w:rPr>
        <w:t>השיב אליה</w:t>
      </w:r>
      <w:r w:rsidR="00723009" w:rsidRPr="0006047C">
        <w:rPr>
          <w:rFonts w:ascii="David" w:hAnsi="David" w:cs="David" w:hint="cs"/>
          <w:rtl/>
        </w:rPr>
        <w:t xml:space="preserve"> התיק גם בנקודה זו</w:t>
      </w:r>
      <w:r w:rsidR="00D40A5C">
        <w:rPr>
          <w:rFonts w:ascii="David" w:hAnsi="David" w:cs="David" w:hint="cs"/>
          <w:rtl/>
        </w:rPr>
        <w:t>,</w:t>
      </w:r>
      <w:r w:rsidR="00723009" w:rsidRPr="0006047C">
        <w:rPr>
          <w:rFonts w:ascii="David" w:hAnsi="David" w:cs="David" w:hint="cs"/>
          <w:rtl/>
        </w:rPr>
        <w:t xml:space="preserve"> על מנת שתיתן שוב דעתה בעניין </w:t>
      </w:r>
      <w:r w:rsidR="00D517EF">
        <w:rPr>
          <w:rFonts w:ascii="David" w:hAnsi="David" w:cs="David" w:hint="cs"/>
          <w:rtl/>
        </w:rPr>
        <w:t>בצורה מ</w:t>
      </w:r>
      <w:r w:rsidR="00745205">
        <w:rPr>
          <w:rFonts w:ascii="David" w:hAnsi="David" w:cs="David" w:hint="cs"/>
          <w:rtl/>
        </w:rPr>
        <w:t>פורטת ומ</w:t>
      </w:r>
      <w:r w:rsidR="00D517EF">
        <w:rPr>
          <w:rFonts w:ascii="David" w:hAnsi="David" w:cs="David" w:hint="cs"/>
          <w:rtl/>
        </w:rPr>
        <w:t xml:space="preserve">נומקת ותתקן </w:t>
      </w:r>
      <w:r>
        <w:rPr>
          <w:rFonts w:ascii="David" w:hAnsi="David" w:cs="David" w:hint="cs"/>
          <w:rtl/>
        </w:rPr>
        <w:t xml:space="preserve">את תחשיביה אך ורק </w:t>
      </w:r>
      <w:r w:rsidR="00D517EF">
        <w:rPr>
          <w:rFonts w:ascii="David" w:hAnsi="David" w:cs="David" w:hint="cs"/>
          <w:rtl/>
        </w:rPr>
        <w:t xml:space="preserve">במידת הצורך, </w:t>
      </w:r>
      <w:r w:rsidR="00745205">
        <w:rPr>
          <w:rFonts w:ascii="David" w:hAnsi="David" w:cs="David" w:hint="cs"/>
          <w:rtl/>
        </w:rPr>
        <w:t xml:space="preserve">באופן </w:t>
      </w:r>
      <w:r w:rsidR="00723009" w:rsidRPr="0006047C">
        <w:rPr>
          <w:rFonts w:ascii="David" w:hAnsi="David" w:cs="David" w:hint="cs"/>
          <w:rtl/>
        </w:rPr>
        <w:t>שבסופו של דבר</w:t>
      </w:r>
      <w:r w:rsidR="0006047C">
        <w:rPr>
          <w:rFonts w:ascii="David" w:hAnsi="David" w:cs="David" w:hint="cs"/>
          <w:rtl/>
        </w:rPr>
        <w:t xml:space="preserve"> </w:t>
      </w:r>
      <w:r w:rsidR="00D517EF">
        <w:rPr>
          <w:rFonts w:ascii="David" w:hAnsi="David" w:cs="David" w:hint="cs"/>
          <w:rtl/>
        </w:rPr>
        <w:t xml:space="preserve">תפעל </w:t>
      </w:r>
      <w:r w:rsidR="0006047C">
        <w:rPr>
          <w:rFonts w:ascii="David" w:hAnsi="David" w:cs="David" w:hint="cs"/>
          <w:rtl/>
        </w:rPr>
        <w:t>בהתאם לעמדת היועמ"ש</w:t>
      </w:r>
      <w:r w:rsidR="00D517EF">
        <w:rPr>
          <w:rFonts w:ascii="David" w:hAnsi="David" w:cs="David" w:hint="cs"/>
          <w:rtl/>
        </w:rPr>
        <w:t xml:space="preserve"> </w:t>
      </w:r>
      <w:r w:rsidR="00D40A5C">
        <w:rPr>
          <w:rFonts w:ascii="David" w:hAnsi="David" w:cs="David" w:hint="cs"/>
          <w:rtl/>
        </w:rPr>
        <w:t xml:space="preserve">- </w:t>
      </w:r>
      <w:r w:rsidR="00745205">
        <w:rPr>
          <w:rFonts w:ascii="David" w:hAnsi="David" w:cs="David" w:hint="cs"/>
          <w:rtl/>
        </w:rPr>
        <w:t xml:space="preserve">כך </w:t>
      </w:r>
      <w:r>
        <w:rPr>
          <w:rFonts w:ascii="David" w:hAnsi="David" w:cs="David" w:hint="cs"/>
          <w:rtl/>
        </w:rPr>
        <w:t>שאם יסתבר בסופו של יום כי הפוטנציאל שנוטרל משקף פוטנציאל קונקרטי - אזי התחשיב המופיע בשומות המכריעות בנקודה זו יוותר בעינו, ואילו</w:t>
      </w:r>
      <w:r w:rsidR="00D40A5C">
        <w:rPr>
          <w:rFonts w:ascii="David" w:hAnsi="David" w:cs="David" w:hint="cs"/>
          <w:rtl/>
        </w:rPr>
        <w:t>,</w:t>
      </w:r>
      <w:r>
        <w:rPr>
          <w:rFonts w:ascii="David" w:hAnsi="David" w:cs="David" w:hint="cs"/>
          <w:rtl/>
        </w:rPr>
        <w:t xml:space="preserve"> אם יימצא כי אכן מדובר בפוטנציאל כללי</w:t>
      </w:r>
      <w:r w:rsidR="00D40A5C">
        <w:rPr>
          <w:rFonts w:ascii="David" w:hAnsi="David" w:cs="David" w:hint="cs"/>
          <w:rtl/>
        </w:rPr>
        <w:t xml:space="preserve">, </w:t>
      </w:r>
      <w:r>
        <w:rPr>
          <w:rFonts w:ascii="David" w:hAnsi="David" w:cs="David" w:hint="cs"/>
          <w:rtl/>
        </w:rPr>
        <w:t>הרי שאין לנטרלו ויש לתקן התחשיב בהתאם</w:t>
      </w:r>
      <w:r w:rsidR="00BC0070">
        <w:rPr>
          <w:rFonts w:ascii="David" w:hAnsi="David" w:cs="David" w:hint="cs"/>
          <w:rtl/>
        </w:rPr>
        <w:t xml:space="preserve">. </w:t>
      </w:r>
    </w:p>
    <w:p w:rsidR="0006047C" w:rsidRDefault="0006047C" w:rsidP="002A5269">
      <w:pPr>
        <w:pStyle w:val="a9"/>
        <w:tabs>
          <w:tab w:val="left" w:pos="425"/>
        </w:tabs>
        <w:spacing w:line="360" w:lineRule="auto"/>
        <w:ind w:left="357"/>
        <w:contextualSpacing w:val="0"/>
        <w:jc w:val="both"/>
        <w:rPr>
          <w:rFonts w:ascii="David" w:hAnsi="David" w:cs="David"/>
          <w:rtl/>
        </w:rPr>
      </w:pPr>
      <w:r>
        <w:rPr>
          <w:rFonts w:ascii="David" w:hAnsi="David" w:cs="David" w:hint="cs"/>
          <w:rtl/>
        </w:rPr>
        <w:t xml:space="preserve">מיותר לציין </w:t>
      </w:r>
      <w:r w:rsidR="00745205">
        <w:rPr>
          <w:rFonts w:ascii="David" w:hAnsi="David" w:cs="David" w:hint="cs"/>
          <w:rtl/>
        </w:rPr>
        <w:t xml:space="preserve">למען הזהירות, </w:t>
      </w:r>
      <w:r>
        <w:rPr>
          <w:rFonts w:ascii="David" w:hAnsi="David" w:cs="David" w:hint="cs"/>
          <w:rtl/>
        </w:rPr>
        <w:t>כי במידה ויינתן פסק דין בביהמ"ש העליון בהליך התלוי ועומד בעניין</w:t>
      </w:r>
      <w:r w:rsidR="007D45BA">
        <w:rPr>
          <w:rFonts w:ascii="David" w:hAnsi="David" w:cs="David" w:hint="cs"/>
          <w:rtl/>
        </w:rPr>
        <w:t xml:space="preserve"> </w:t>
      </w:r>
      <w:r w:rsidR="00745205">
        <w:rPr>
          <w:rFonts w:ascii="David" w:hAnsi="David" w:cs="David" w:hint="cs"/>
          <w:rtl/>
        </w:rPr>
        <w:t>"</w:t>
      </w:r>
      <w:proofErr w:type="spellStart"/>
      <w:r w:rsidR="007D45BA" w:rsidRPr="00E5177B">
        <w:rPr>
          <w:rFonts w:ascii="David" w:hAnsi="David" w:cs="David" w:hint="cs"/>
          <w:b/>
          <w:bCs/>
          <w:rtl/>
        </w:rPr>
        <w:t>לוית</w:t>
      </w:r>
      <w:r w:rsidR="007D45BA" w:rsidRPr="003C51E1">
        <w:rPr>
          <w:rFonts w:ascii="David" w:hAnsi="David" w:cs="David" w:hint="cs"/>
          <w:b/>
          <w:bCs/>
          <w:rtl/>
        </w:rPr>
        <w:t>ן</w:t>
      </w:r>
      <w:proofErr w:type="spellEnd"/>
      <w:r w:rsidR="00745205">
        <w:rPr>
          <w:rFonts w:ascii="David" w:hAnsi="David" w:cs="David" w:hint="cs"/>
          <w:rtl/>
        </w:rPr>
        <w:t>"</w:t>
      </w:r>
      <w:r w:rsidR="007D45BA">
        <w:rPr>
          <w:rFonts w:ascii="David" w:hAnsi="David" w:cs="David" w:hint="cs"/>
          <w:rtl/>
        </w:rPr>
        <w:t xml:space="preserve"> ובטרם תינתן התייחסות השמאית המכריעה</w:t>
      </w:r>
      <w:r w:rsidR="0029114E">
        <w:rPr>
          <w:rFonts w:ascii="David" w:hAnsi="David" w:cs="David" w:hint="cs"/>
          <w:rtl/>
        </w:rPr>
        <w:t>,</w:t>
      </w:r>
      <w:r w:rsidR="007D45BA">
        <w:rPr>
          <w:rFonts w:ascii="David" w:hAnsi="David" w:cs="David" w:hint="cs"/>
          <w:rtl/>
        </w:rPr>
        <w:t xml:space="preserve"> </w:t>
      </w:r>
      <w:r w:rsidR="00D517EF">
        <w:rPr>
          <w:rFonts w:ascii="David" w:hAnsi="David" w:cs="David" w:hint="cs"/>
          <w:rtl/>
        </w:rPr>
        <w:t xml:space="preserve">תפעל היא בהתאם </w:t>
      </w:r>
      <w:r w:rsidR="00745205">
        <w:rPr>
          <w:rFonts w:ascii="David" w:hAnsi="David" w:cs="David" w:hint="cs"/>
          <w:rtl/>
        </w:rPr>
        <w:t>לפסק דינו של בית המשפט העליון.</w:t>
      </w:r>
      <w:r w:rsidR="00D517EF">
        <w:rPr>
          <w:rFonts w:ascii="David" w:hAnsi="David" w:cs="David" w:hint="cs"/>
          <w:rtl/>
        </w:rPr>
        <w:t xml:space="preserve"> </w:t>
      </w:r>
    </w:p>
    <w:p w:rsidR="00340C57" w:rsidRDefault="00340C57" w:rsidP="00340C57">
      <w:pPr>
        <w:tabs>
          <w:tab w:val="left" w:pos="425"/>
        </w:tabs>
        <w:spacing w:line="360" w:lineRule="auto"/>
        <w:jc w:val="both"/>
        <w:rPr>
          <w:rFonts w:ascii="David" w:hAnsi="David" w:cs="David"/>
          <w:u w:val="single"/>
          <w:rtl/>
        </w:rPr>
      </w:pPr>
    </w:p>
    <w:p w:rsidR="00987BC3" w:rsidRDefault="00987BC3" w:rsidP="00340C57">
      <w:pPr>
        <w:tabs>
          <w:tab w:val="left" w:pos="425"/>
        </w:tabs>
        <w:spacing w:line="360" w:lineRule="auto"/>
        <w:jc w:val="both"/>
        <w:rPr>
          <w:rFonts w:ascii="David" w:hAnsi="David" w:cs="David"/>
          <w:u w:val="single"/>
          <w:rtl/>
        </w:rPr>
      </w:pPr>
    </w:p>
    <w:p w:rsidR="00F6443C" w:rsidRPr="00146016" w:rsidRDefault="00F6443C" w:rsidP="00340C57">
      <w:pPr>
        <w:tabs>
          <w:tab w:val="left" w:pos="425"/>
        </w:tabs>
        <w:spacing w:line="360" w:lineRule="auto"/>
        <w:jc w:val="both"/>
        <w:rPr>
          <w:rFonts w:ascii="David" w:hAnsi="David" w:cs="David"/>
          <w:u w:val="single"/>
        </w:rPr>
      </w:pPr>
    </w:p>
    <w:p w:rsidR="004B30C1" w:rsidRPr="00146016" w:rsidRDefault="00FE1F09" w:rsidP="002A5269">
      <w:pPr>
        <w:pStyle w:val="2"/>
        <w:spacing w:line="360" w:lineRule="auto"/>
      </w:pPr>
      <w:bookmarkStart w:id="44" w:name="_Toc203992521"/>
      <w:bookmarkStart w:id="45" w:name="_Toc204504403"/>
      <w:r>
        <w:rPr>
          <w:rFonts w:hint="cs"/>
          <w:rtl/>
        </w:rPr>
        <w:t>ד</w:t>
      </w:r>
      <w:r w:rsidR="004B30C1" w:rsidRPr="00146016">
        <w:rPr>
          <w:rFonts w:hint="cs"/>
          <w:rtl/>
        </w:rPr>
        <w:t xml:space="preserve">. </w:t>
      </w:r>
      <w:r w:rsidR="00502BD0" w:rsidRPr="00146016">
        <w:rPr>
          <w:rFonts w:hint="cs"/>
          <w:rtl/>
        </w:rPr>
        <w:t xml:space="preserve">שגגה באי התחשבות במקדם מושע במצב החדש לתכנית בי/517 </w:t>
      </w:r>
      <w:r w:rsidR="002A36FF">
        <w:rPr>
          <w:rFonts w:hint="cs"/>
          <w:rtl/>
        </w:rPr>
        <w:t>ושגגה בקביעת מקדם דחייה לתכנית בי/517</w:t>
      </w:r>
      <w:bookmarkEnd w:id="44"/>
      <w:bookmarkEnd w:id="45"/>
    </w:p>
    <w:p w:rsidR="003E2242" w:rsidRPr="00146016" w:rsidRDefault="003E2242" w:rsidP="003E2242">
      <w:pPr>
        <w:spacing w:line="360" w:lineRule="auto"/>
        <w:jc w:val="both"/>
        <w:rPr>
          <w:rFonts w:ascii="David" w:hAnsi="David" w:cs="David"/>
          <w:u w:val="thick"/>
        </w:rPr>
      </w:pPr>
      <w:r w:rsidRPr="00146016">
        <w:rPr>
          <w:rFonts w:ascii="David" w:hAnsi="David" w:cs="David" w:hint="cs"/>
          <w:u w:val="thick"/>
          <w:rtl/>
        </w:rPr>
        <w:t xml:space="preserve">טיעון החברה  </w:t>
      </w:r>
    </w:p>
    <w:p w:rsidR="003E2242" w:rsidRPr="00146016" w:rsidRDefault="003E2242" w:rsidP="002A5269">
      <w:pPr>
        <w:pStyle w:val="a9"/>
        <w:numPr>
          <w:ilvl w:val="0"/>
          <w:numId w:val="1"/>
        </w:numPr>
        <w:tabs>
          <w:tab w:val="left" w:pos="425"/>
        </w:tabs>
        <w:spacing w:line="360" w:lineRule="auto"/>
        <w:contextualSpacing w:val="0"/>
        <w:jc w:val="both"/>
        <w:rPr>
          <w:rFonts w:ascii="David" w:hAnsi="David" w:cs="David"/>
        </w:rPr>
      </w:pPr>
      <w:r w:rsidRPr="00146016">
        <w:rPr>
          <w:rFonts w:ascii="David" w:hAnsi="David" w:cs="David" w:hint="cs"/>
          <w:rtl/>
        </w:rPr>
        <w:t xml:space="preserve">השמאית המכריעה קיבלה את עמדת הוועדה המקומית וקבעה שהמתודה לבחינת שווי המצב החדש לאחר אישור תכנית בי/517, הינו הערך של שווי כלל זכויות הבניה בניכוי ההוצאות הנדרשות למימוש הזכויות ובתוספת שווי בשימוש (סעיף 13.3 לשומות המכריעות). כן קבעה השמאית המכריעה, שהעסקאות במתחם אינן משקפות את השווי האובייקטיבי של המקרקעין כי הן הושפעו מההסכמים עם היזם. </w:t>
      </w:r>
    </w:p>
    <w:p w:rsidR="003E2242" w:rsidRDefault="003E2242" w:rsidP="002A5269">
      <w:pPr>
        <w:pStyle w:val="a9"/>
        <w:numPr>
          <w:ilvl w:val="0"/>
          <w:numId w:val="1"/>
        </w:numPr>
        <w:tabs>
          <w:tab w:val="left" w:pos="425"/>
        </w:tabs>
        <w:spacing w:line="360" w:lineRule="auto"/>
        <w:ind w:left="357" w:hanging="357"/>
        <w:contextualSpacing w:val="0"/>
        <w:jc w:val="both"/>
        <w:rPr>
          <w:rFonts w:ascii="David" w:hAnsi="David" w:cs="David"/>
        </w:rPr>
      </w:pPr>
      <w:r w:rsidRPr="00146016">
        <w:rPr>
          <w:rFonts w:ascii="David" w:hAnsi="David" w:cs="David" w:hint="cs"/>
          <w:rtl/>
        </w:rPr>
        <w:t xml:space="preserve">ברם, משעה שנקבע שווי מצב חדש בהתאם לשווי כלל זכויות הבניה, ולא על בסיס העסקאות במתחם היה על השמאית המכריעה לקחת בחשבון גם מקדם הפחתה בגין מושע. השמאית המכריעה מתעלמת מההסכמים בין הדיירים ליזם לצורך קביעת השווי, אבל מנגד לוקחת אותם בחשבון בהנחה שאין הפחתה </w:t>
      </w:r>
      <w:proofErr w:type="spellStart"/>
      <w:r w:rsidRPr="00146016">
        <w:rPr>
          <w:rFonts w:ascii="David" w:hAnsi="David" w:cs="David" w:hint="cs"/>
          <w:rtl/>
        </w:rPr>
        <w:t>למושע</w:t>
      </w:r>
      <w:proofErr w:type="spellEnd"/>
      <w:r w:rsidRPr="00146016">
        <w:rPr>
          <w:rFonts w:ascii="David" w:hAnsi="David" w:cs="David" w:hint="cs"/>
          <w:rtl/>
        </w:rPr>
        <w:t xml:space="preserve">. </w:t>
      </w:r>
    </w:p>
    <w:p w:rsidR="003E2242" w:rsidRPr="00CD4258" w:rsidRDefault="002A36FF" w:rsidP="00CD4258">
      <w:pPr>
        <w:pStyle w:val="a9"/>
        <w:numPr>
          <w:ilvl w:val="0"/>
          <w:numId w:val="1"/>
        </w:numPr>
        <w:tabs>
          <w:tab w:val="left" w:pos="425"/>
        </w:tabs>
        <w:spacing w:line="360" w:lineRule="auto"/>
        <w:ind w:left="357" w:hanging="357"/>
        <w:contextualSpacing w:val="0"/>
        <w:jc w:val="both"/>
        <w:rPr>
          <w:rFonts w:ascii="David" w:hAnsi="David" w:cs="David"/>
        </w:rPr>
      </w:pPr>
      <w:r>
        <w:rPr>
          <w:rFonts w:ascii="David" w:hAnsi="David" w:cs="David" w:hint="cs"/>
          <w:rtl/>
        </w:rPr>
        <w:t>כמו כן, השמאית המכריעה קבעה מקדם דחייה של 5 שנים, בשל הצורך בהריסת גני ילדים ו</w:t>
      </w:r>
      <w:r w:rsidR="00C657EF">
        <w:rPr>
          <w:rFonts w:ascii="David" w:hAnsi="David" w:cs="David" w:hint="cs"/>
          <w:rtl/>
        </w:rPr>
        <w:t xml:space="preserve">מציאת פתרון חלופי. לטענת החברה על השמאית המכריעה היה לקבוע מקדם דחייה של 6.5 שנים, הוא פרק הזמן שלקח בפועל למציאת פתרון לגני ילדים, אשר נבע בין היתר מהתנהלות </w:t>
      </w:r>
      <w:r w:rsidR="001D0313">
        <w:rPr>
          <w:rFonts w:ascii="David" w:hAnsi="David" w:cs="David" w:hint="cs"/>
          <w:rtl/>
        </w:rPr>
        <w:t xml:space="preserve">והתמהמהות מצד </w:t>
      </w:r>
      <w:r w:rsidR="00C657EF">
        <w:rPr>
          <w:rFonts w:ascii="David" w:hAnsi="David" w:cs="David" w:hint="cs"/>
          <w:rtl/>
        </w:rPr>
        <w:t xml:space="preserve">העירייה. החברה </w:t>
      </w:r>
      <w:r w:rsidR="00231F7D">
        <w:rPr>
          <w:rFonts w:ascii="David" w:hAnsi="David" w:cs="David" w:hint="cs"/>
          <w:rtl/>
        </w:rPr>
        <w:t>טענה באריכות בעניין ו</w:t>
      </w:r>
      <w:r w:rsidR="00C657EF">
        <w:rPr>
          <w:rFonts w:ascii="David" w:hAnsi="David" w:cs="David" w:hint="cs"/>
          <w:rtl/>
        </w:rPr>
        <w:t xml:space="preserve">צירפה מסמכים לתמיכה בטענתה זו שלשיטתה מעידים על התנהלות העירייה. </w:t>
      </w:r>
    </w:p>
    <w:p w:rsidR="003E2242" w:rsidRPr="00146016" w:rsidRDefault="003E2242" w:rsidP="003E2242">
      <w:pPr>
        <w:spacing w:line="360" w:lineRule="auto"/>
        <w:jc w:val="both"/>
        <w:rPr>
          <w:rFonts w:ascii="David" w:hAnsi="David" w:cs="David"/>
          <w:u w:val="thick"/>
          <w:rtl/>
        </w:rPr>
      </w:pPr>
      <w:r w:rsidRPr="00146016">
        <w:rPr>
          <w:rFonts w:ascii="David" w:hAnsi="David" w:cs="David" w:hint="cs"/>
          <w:u w:val="thick"/>
          <w:rtl/>
        </w:rPr>
        <w:t>תשובת הועדה המקומית</w:t>
      </w:r>
    </w:p>
    <w:p w:rsidR="003E2242" w:rsidRPr="00146016" w:rsidRDefault="003E2242" w:rsidP="002A5269">
      <w:pPr>
        <w:pStyle w:val="a9"/>
        <w:numPr>
          <w:ilvl w:val="0"/>
          <w:numId w:val="1"/>
        </w:numPr>
        <w:tabs>
          <w:tab w:val="left" w:pos="425"/>
        </w:tabs>
        <w:spacing w:line="360" w:lineRule="auto"/>
        <w:contextualSpacing w:val="0"/>
        <w:jc w:val="both"/>
        <w:rPr>
          <w:rFonts w:ascii="David" w:hAnsi="David" w:cs="David"/>
        </w:rPr>
      </w:pPr>
      <w:r w:rsidRPr="00146016">
        <w:rPr>
          <w:rFonts w:ascii="David" w:hAnsi="David" w:cs="David" w:hint="cs"/>
          <w:rtl/>
        </w:rPr>
        <w:t xml:space="preserve">כעולה מעמדת שמאי הועדה המקומית, מדובר בטענה שאינה נכונה ואינה רלוונטית שכן, אומדן שווי מצב חדש לפי תכנית בי/517 בשומות המכריעות מביא בחשבון הפחתה של 5 שנים, בין היתר בגין הצורך ב"הליך התארגנות הדיירים". עם סיומו של הליך זה כל הבעלים מאורגנים כיחידה אחת למימוש התכנית באופן שגורם </w:t>
      </w:r>
      <w:proofErr w:type="spellStart"/>
      <w:r w:rsidRPr="00146016">
        <w:rPr>
          <w:rFonts w:ascii="David" w:hAnsi="David" w:cs="David" w:hint="cs"/>
          <w:rtl/>
        </w:rPr>
        <w:t>המושע</w:t>
      </w:r>
      <w:proofErr w:type="spellEnd"/>
      <w:r w:rsidRPr="00146016">
        <w:rPr>
          <w:rFonts w:ascii="David" w:hAnsi="David" w:cs="David" w:hint="cs"/>
          <w:rtl/>
        </w:rPr>
        <w:t xml:space="preserve"> מתבטל. בהתאם לכך, מוכח כי גורם </w:t>
      </w:r>
      <w:proofErr w:type="spellStart"/>
      <w:r w:rsidRPr="00146016">
        <w:rPr>
          <w:rFonts w:ascii="David" w:hAnsi="David" w:cs="David" w:hint="cs"/>
          <w:rtl/>
        </w:rPr>
        <w:t>המושע</w:t>
      </w:r>
      <w:proofErr w:type="spellEnd"/>
      <w:r w:rsidRPr="00146016">
        <w:rPr>
          <w:rFonts w:ascii="David" w:hAnsi="David" w:cs="David" w:hint="cs"/>
          <w:rtl/>
        </w:rPr>
        <w:t xml:space="preserve"> הובא בחשבון בשומות המכריעות באומדן שווי מצב חדש לפי תכנית בי/517. </w:t>
      </w:r>
    </w:p>
    <w:p w:rsidR="003E2242" w:rsidRPr="00146016" w:rsidRDefault="003E2242" w:rsidP="002A5269">
      <w:pPr>
        <w:pStyle w:val="a9"/>
        <w:numPr>
          <w:ilvl w:val="0"/>
          <w:numId w:val="1"/>
        </w:numPr>
        <w:tabs>
          <w:tab w:val="left" w:pos="425"/>
        </w:tabs>
        <w:spacing w:line="360" w:lineRule="auto"/>
        <w:contextualSpacing w:val="0"/>
        <w:jc w:val="both"/>
        <w:rPr>
          <w:rFonts w:ascii="David" w:hAnsi="David" w:cs="David"/>
        </w:rPr>
      </w:pPr>
      <w:r w:rsidRPr="00146016">
        <w:rPr>
          <w:rFonts w:ascii="David" w:hAnsi="David" w:cs="David" w:hint="cs"/>
          <w:rtl/>
        </w:rPr>
        <w:t xml:space="preserve">החברה טוענת בנוסף כי מאחר והשומות המכריעות קובעות שמחירי עסקאות מכר של דירות במתחם התכנית אינן משקפות את השווי האובייקטיבי של המקרקעין משום שהן מושפעות מהסכם פינוי בינוי עם היזם הרי שגם "התארגנות הדיירים" יחד עם היזם </w:t>
      </w:r>
      <w:r w:rsidRPr="00146016">
        <w:rPr>
          <w:rFonts w:ascii="David" w:hAnsi="David" w:cs="David"/>
          <w:rtl/>
        </w:rPr>
        <w:t>–</w:t>
      </w:r>
      <w:r w:rsidRPr="00146016">
        <w:rPr>
          <w:rFonts w:ascii="David" w:hAnsi="David" w:cs="David" w:hint="cs"/>
          <w:rtl/>
        </w:rPr>
        <w:t xml:space="preserve"> לא תובא בחשבון ולכן קיים גורם מושע במצב חדש שלא הובא בחשבון בשומות המכריעות. </w:t>
      </w:r>
    </w:p>
    <w:p w:rsidR="003E2242" w:rsidRDefault="003E2242" w:rsidP="002A5269">
      <w:pPr>
        <w:pStyle w:val="a9"/>
        <w:numPr>
          <w:ilvl w:val="0"/>
          <w:numId w:val="1"/>
        </w:numPr>
        <w:tabs>
          <w:tab w:val="left" w:pos="425"/>
        </w:tabs>
        <w:spacing w:line="360" w:lineRule="auto"/>
        <w:contextualSpacing w:val="0"/>
        <w:jc w:val="both"/>
        <w:rPr>
          <w:rFonts w:ascii="David" w:hAnsi="David" w:cs="David"/>
        </w:rPr>
      </w:pPr>
      <w:r w:rsidRPr="00146016">
        <w:rPr>
          <w:rFonts w:ascii="David" w:hAnsi="David" w:cs="David" w:hint="cs"/>
          <w:rtl/>
        </w:rPr>
        <w:t xml:space="preserve">דא עקא, שלטענת הועדה המקומית טיעון זה  אינו נכון </w:t>
      </w:r>
      <w:r w:rsidR="00C24550" w:rsidRPr="00146016">
        <w:rPr>
          <w:rFonts w:ascii="David" w:hAnsi="David" w:cs="David" w:hint="eastAsia"/>
          <w:rtl/>
        </w:rPr>
        <w:t>שכן</w:t>
      </w:r>
      <w:r w:rsidR="00C24550" w:rsidRPr="00146016">
        <w:rPr>
          <w:rFonts w:ascii="David" w:hAnsi="David" w:cs="David"/>
          <w:rtl/>
        </w:rPr>
        <w:t>, השומות</w:t>
      </w:r>
      <w:r w:rsidRPr="00146016">
        <w:rPr>
          <w:rFonts w:ascii="David" w:hAnsi="David" w:cs="David" w:hint="cs"/>
          <w:rtl/>
        </w:rPr>
        <w:t xml:space="preserve"> המכריעות הקטינו את שווי </w:t>
      </w:r>
      <w:r w:rsidR="00553897">
        <w:rPr>
          <w:rFonts w:ascii="David" w:hAnsi="David" w:cs="David" w:hint="cs"/>
          <w:rtl/>
        </w:rPr>
        <w:t>ה</w:t>
      </w:r>
      <w:r w:rsidRPr="00146016">
        <w:rPr>
          <w:rFonts w:ascii="David" w:hAnsi="David" w:cs="David" w:hint="cs"/>
          <w:rtl/>
        </w:rPr>
        <w:t xml:space="preserve">מצב החדש לפי תכנית בי/517 גם בגין גורם </w:t>
      </w:r>
      <w:proofErr w:type="spellStart"/>
      <w:r w:rsidRPr="00146016">
        <w:rPr>
          <w:rFonts w:ascii="David" w:hAnsi="David" w:cs="David" w:hint="cs"/>
          <w:rtl/>
        </w:rPr>
        <w:t>המושע</w:t>
      </w:r>
      <w:proofErr w:type="spellEnd"/>
      <w:r w:rsidRPr="00146016">
        <w:rPr>
          <w:rFonts w:ascii="David" w:hAnsi="David" w:cs="David" w:hint="cs"/>
          <w:rtl/>
        </w:rPr>
        <w:t xml:space="preserve">, ע"י שהביאה בחשבון הפחתה בגין דחייה עד ל"התארגנות דיירים", בהתאם לכך, יישום שיטת החברה שאין להביא בחשבון את הליך התארגנות הדיירים באומדן שווי מצב חדש משמעותה </w:t>
      </w:r>
      <w:r w:rsidRPr="00146016">
        <w:rPr>
          <w:rFonts w:ascii="David" w:hAnsi="David" w:cs="David"/>
          <w:rtl/>
        </w:rPr>
        <w:t>–</w:t>
      </w:r>
      <w:r w:rsidRPr="00146016">
        <w:rPr>
          <w:rFonts w:ascii="David" w:hAnsi="David" w:cs="David" w:hint="cs"/>
          <w:rtl/>
        </w:rPr>
        <w:t xml:space="preserve"> ביטול ההפחתה שנקבעה בשומות ה</w:t>
      </w:r>
      <w:r w:rsidR="00645B0C">
        <w:rPr>
          <w:rFonts w:ascii="David" w:hAnsi="David" w:cs="David" w:hint="cs"/>
          <w:rtl/>
        </w:rPr>
        <w:t>מ</w:t>
      </w:r>
      <w:r w:rsidRPr="00146016">
        <w:rPr>
          <w:rFonts w:ascii="David" w:hAnsi="David" w:cs="David" w:hint="cs"/>
          <w:rtl/>
        </w:rPr>
        <w:t xml:space="preserve">כריעות בגין משך זמן הדחייה הנדרש בגין הליך זה ומגד להפחתה ישירה בין גורם </w:t>
      </w:r>
      <w:proofErr w:type="spellStart"/>
      <w:r w:rsidRPr="00146016">
        <w:rPr>
          <w:rFonts w:ascii="David" w:hAnsi="David" w:cs="David" w:hint="cs"/>
          <w:rtl/>
        </w:rPr>
        <w:t>המושע</w:t>
      </w:r>
      <w:proofErr w:type="spellEnd"/>
      <w:r w:rsidRPr="00146016">
        <w:rPr>
          <w:rFonts w:ascii="David" w:hAnsi="David" w:cs="David" w:hint="cs"/>
          <w:rtl/>
        </w:rPr>
        <w:t xml:space="preserve"> באופן שמדובר ב"משחק סכום אפס" שאינו משפיע על התוצאה הסופית של אומדן השווי הנ"ל במצב חדש.</w:t>
      </w:r>
    </w:p>
    <w:p w:rsidR="00C657EF" w:rsidRPr="00146016" w:rsidRDefault="00C657EF" w:rsidP="002A5269">
      <w:pPr>
        <w:pStyle w:val="a9"/>
        <w:numPr>
          <w:ilvl w:val="0"/>
          <w:numId w:val="1"/>
        </w:numPr>
        <w:tabs>
          <w:tab w:val="left" w:pos="425"/>
        </w:tabs>
        <w:spacing w:line="360" w:lineRule="auto"/>
        <w:contextualSpacing w:val="0"/>
        <w:jc w:val="both"/>
        <w:rPr>
          <w:rFonts w:ascii="David" w:hAnsi="David" w:cs="David"/>
          <w:rtl/>
        </w:rPr>
      </w:pPr>
      <w:r>
        <w:rPr>
          <w:rFonts w:ascii="David" w:hAnsi="David" w:cs="David" w:hint="cs"/>
          <w:rtl/>
        </w:rPr>
        <w:t>באשר למקדם הדחייה שנקבע בשל הצורך למציאת פתרון לגני ילדים, נטען שטענת החברה אינה רלבנטית</w:t>
      </w:r>
      <w:r w:rsidR="001D0313">
        <w:rPr>
          <w:rFonts w:ascii="David" w:hAnsi="David" w:cs="David" w:hint="cs"/>
          <w:rtl/>
        </w:rPr>
        <w:t>,</w:t>
      </w:r>
      <w:r>
        <w:rPr>
          <w:rFonts w:ascii="David" w:hAnsi="David" w:cs="David" w:hint="cs"/>
          <w:rtl/>
        </w:rPr>
        <w:t xml:space="preserve"> שכן יש לבחון את הדחייה הצפויה כפי שהשתקפה במועד הקובע של התכנית. כמו כן, נטען שהתמונה העובדתית שהוצגה על ידה בעניין התנהלות העירייה שגויה. נטען שתכנית בי/517 הפכה שטח בייעוד ציבורי לשטח מגורים וללא הקצאת שטח ציבורי חלף זאת, באופן שהיטיב מאוד עם החברה, והעירייה אף הסכימה למקם את גני הילדים החלופיים בתחום בית ספר קיים</w:t>
      </w:r>
      <w:r w:rsidR="00D55D66">
        <w:rPr>
          <w:rFonts w:ascii="David" w:hAnsi="David" w:cs="David" w:hint="cs"/>
          <w:rtl/>
        </w:rPr>
        <w:t xml:space="preserve">, ושלא הייתה כל התנהלות </w:t>
      </w:r>
      <w:r w:rsidR="00C24550">
        <w:rPr>
          <w:rFonts w:ascii="David" w:hAnsi="David" w:cs="David" w:hint="eastAsia"/>
          <w:rtl/>
        </w:rPr>
        <w:t>חריגה</w:t>
      </w:r>
      <w:r w:rsidR="00C24550">
        <w:rPr>
          <w:rFonts w:ascii="David" w:hAnsi="David" w:cs="David"/>
          <w:rtl/>
        </w:rPr>
        <w:t xml:space="preserve"> מצידה</w:t>
      </w:r>
      <w:r w:rsidR="00D55D66">
        <w:rPr>
          <w:rFonts w:ascii="David" w:hAnsi="David" w:cs="David" w:hint="cs"/>
          <w:rtl/>
        </w:rPr>
        <w:t xml:space="preserve"> בעניין</w:t>
      </w:r>
      <w:r>
        <w:rPr>
          <w:rFonts w:ascii="David" w:hAnsi="David" w:cs="David" w:hint="cs"/>
          <w:rtl/>
        </w:rPr>
        <w:t xml:space="preserve">. </w:t>
      </w:r>
    </w:p>
    <w:p w:rsidR="00332D35" w:rsidRPr="00146016" w:rsidRDefault="00332D35" w:rsidP="00332D35">
      <w:pPr>
        <w:tabs>
          <w:tab w:val="left" w:pos="1244"/>
        </w:tabs>
        <w:spacing w:line="360" w:lineRule="auto"/>
        <w:jc w:val="both"/>
        <w:rPr>
          <w:rFonts w:ascii="David" w:hAnsi="David" w:cs="David"/>
          <w:b/>
          <w:bCs/>
          <w:u w:val="thick"/>
          <w:rtl/>
        </w:rPr>
      </w:pPr>
      <w:r w:rsidRPr="00146016">
        <w:rPr>
          <w:rFonts w:ascii="David" w:hAnsi="David" w:cs="David" w:hint="cs"/>
          <w:b/>
          <w:bCs/>
          <w:u w:val="thick"/>
          <w:rtl/>
        </w:rPr>
        <w:t xml:space="preserve">דיון והכרעה </w:t>
      </w:r>
    </w:p>
    <w:p w:rsidR="00F77150" w:rsidRPr="00146016" w:rsidRDefault="00F77150" w:rsidP="002A5269">
      <w:pPr>
        <w:pStyle w:val="a9"/>
        <w:numPr>
          <w:ilvl w:val="0"/>
          <w:numId w:val="1"/>
        </w:numPr>
        <w:tabs>
          <w:tab w:val="left" w:pos="425"/>
          <w:tab w:val="left" w:pos="1244"/>
        </w:tabs>
        <w:spacing w:line="360" w:lineRule="auto"/>
        <w:contextualSpacing w:val="0"/>
        <w:jc w:val="both"/>
        <w:rPr>
          <w:rFonts w:ascii="David" w:hAnsi="David" w:cs="David"/>
          <w:b/>
          <w:bCs/>
          <w:sz w:val="28"/>
          <w:szCs w:val="28"/>
          <w:u w:val="single"/>
        </w:rPr>
      </w:pPr>
      <w:r w:rsidRPr="00146016">
        <w:rPr>
          <w:rFonts w:ascii="David" w:hAnsi="David" w:cs="David" w:hint="cs"/>
          <w:rtl/>
        </w:rPr>
        <w:t xml:space="preserve">ראשית הננו סבורים כי אין מקום ליתן משקל לטענות הועדה המקומית מחד שהסבירה כי מבנה הציבור </w:t>
      </w:r>
      <w:r w:rsidRPr="002A5269">
        <w:rPr>
          <w:rFonts w:ascii="David" w:hAnsi="David" w:cs="David" w:hint="cs"/>
          <w:rtl/>
        </w:rPr>
        <w:t xml:space="preserve">הוחלף בשטח מגורים מבלי שהוקצו שטחי ציבור נוספים, שמהווה לטעמנו </w:t>
      </w:r>
      <w:r w:rsidR="00A152C4" w:rsidRPr="002A5269">
        <w:rPr>
          <w:rFonts w:ascii="David" w:hAnsi="David" w:cs="David" w:hint="cs"/>
          <w:rtl/>
        </w:rPr>
        <w:t xml:space="preserve">מעין </w:t>
      </w:r>
      <w:r w:rsidR="0051572E" w:rsidRPr="002A5269">
        <w:rPr>
          <w:rFonts w:ascii="David" w:hAnsi="David" w:cs="David"/>
          <w:rtl/>
        </w:rPr>
        <w:t>"</w:t>
      </w:r>
      <w:r w:rsidRPr="002A5269">
        <w:rPr>
          <w:rFonts w:ascii="David" w:hAnsi="David" w:cs="David" w:hint="eastAsia"/>
          <w:rtl/>
        </w:rPr>
        <w:t>תשוב</w:t>
      </w:r>
      <w:r w:rsidR="0051572E" w:rsidRPr="002A5269">
        <w:rPr>
          <w:rFonts w:ascii="David" w:hAnsi="David" w:cs="David" w:hint="eastAsia"/>
          <w:rtl/>
        </w:rPr>
        <w:t>ת</w:t>
      </w:r>
      <w:r w:rsidRPr="002A5269">
        <w:rPr>
          <w:rFonts w:ascii="David" w:hAnsi="David" w:cs="David"/>
          <w:rtl/>
        </w:rPr>
        <w:t xml:space="preserve"> אווירה</w:t>
      </w:r>
      <w:r w:rsidR="0051572E" w:rsidRPr="002A5269">
        <w:rPr>
          <w:rFonts w:ascii="David" w:hAnsi="David" w:cs="David"/>
          <w:rtl/>
        </w:rPr>
        <w:t>"</w:t>
      </w:r>
      <w:r w:rsidRPr="00146016">
        <w:rPr>
          <w:rFonts w:ascii="David" w:hAnsi="David" w:cs="David" w:hint="cs"/>
          <w:rtl/>
        </w:rPr>
        <w:t xml:space="preserve"> לתגובתה לגופו של עניין</w:t>
      </w:r>
      <w:r w:rsidR="00A152C4" w:rsidRPr="00146016">
        <w:rPr>
          <w:rFonts w:ascii="David" w:hAnsi="David" w:cs="David" w:hint="cs"/>
          <w:rtl/>
        </w:rPr>
        <w:t>,</w:t>
      </w:r>
      <w:r w:rsidRPr="00146016">
        <w:rPr>
          <w:rFonts w:ascii="David" w:hAnsi="David" w:cs="David" w:hint="cs"/>
          <w:rtl/>
        </w:rPr>
        <w:t xml:space="preserve"> מאידך ובהתאם</w:t>
      </w:r>
      <w:r w:rsidR="00FE1F09">
        <w:rPr>
          <w:rFonts w:ascii="David" w:hAnsi="David" w:cs="David" w:hint="cs"/>
          <w:rtl/>
        </w:rPr>
        <w:t xml:space="preserve">, </w:t>
      </w:r>
      <w:r w:rsidRPr="00146016">
        <w:rPr>
          <w:rFonts w:ascii="David" w:hAnsi="David" w:cs="David" w:hint="cs"/>
          <w:rtl/>
        </w:rPr>
        <w:t xml:space="preserve">אין לטעמנו ליתן משקל לטענת החברה כי העיכובים להקמת גני הילדים נבעו בשל מחדליה של העירייה (המוכחשים על ידה) שגם אם נכונים הם, אין לכך כל רלוונטיות בהליך זה הואיל ומדובר בהתרחשויות </w:t>
      </w:r>
      <w:r w:rsidRPr="00FE1F09">
        <w:rPr>
          <w:rFonts w:ascii="David" w:hAnsi="David" w:cs="David" w:hint="cs"/>
          <w:u w:val="single"/>
          <w:rtl/>
        </w:rPr>
        <w:t>שלאחר</w:t>
      </w:r>
      <w:r w:rsidRPr="00146016">
        <w:rPr>
          <w:rFonts w:ascii="David" w:hAnsi="David" w:cs="David" w:hint="cs"/>
          <w:rtl/>
        </w:rPr>
        <w:t xml:space="preserve"> המועד הקובע. </w:t>
      </w:r>
    </w:p>
    <w:p w:rsidR="00830BE9" w:rsidRPr="00340C57" w:rsidRDefault="00F77150" w:rsidP="002A5269">
      <w:pPr>
        <w:pStyle w:val="a9"/>
        <w:numPr>
          <w:ilvl w:val="0"/>
          <w:numId w:val="1"/>
        </w:numPr>
        <w:tabs>
          <w:tab w:val="left" w:pos="425"/>
        </w:tabs>
        <w:spacing w:line="360" w:lineRule="auto"/>
        <w:contextualSpacing w:val="0"/>
        <w:jc w:val="both"/>
        <w:rPr>
          <w:rFonts w:ascii="David" w:hAnsi="David" w:cs="David"/>
          <w:color w:val="EE0000"/>
          <w:u w:val="single"/>
        </w:rPr>
      </w:pPr>
      <w:r>
        <w:rPr>
          <w:rFonts w:ascii="David" w:hAnsi="David" w:cs="David" w:hint="cs"/>
          <w:rtl/>
        </w:rPr>
        <w:t xml:space="preserve">כידוע, </w:t>
      </w:r>
      <w:r w:rsidR="00553897">
        <w:rPr>
          <w:rFonts w:ascii="David" w:hAnsi="David" w:cs="David" w:hint="cs"/>
          <w:rtl/>
        </w:rPr>
        <w:t xml:space="preserve">ובהתאם לפסיקה, </w:t>
      </w:r>
      <w:r w:rsidR="00830BE9" w:rsidRPr="00340C57">
        <w:rPr>
          <w:rFonts w:ascii="David" w:hAnsi="David" w:cs="David" w:hint="cs"/>
          <w:rtl/>
        </w:rPr>
        <w:t xml:space="preserve">קביעת מקדם הדחיה </w:t>
      </w:r>
      <w:proofErr w:type="spellStart"/>
      <w:r w:rsidR="00830BE9">
        <w:rPr>
          <w:rFonts w:ascii="David" w:hAnsi="David" w:cs="David" w:hint="cs"/>
          <w:rtl/>
        </w:rPr>
        <w:t>והמושע</w:t>
      </w:r>
      <w:proofErr w:type="spellEnd"/>
      <w:r w:rsidR="00830BE9">
        <w:rPr>
          <w:rFonts w:ascii="David" w:hAnsi="David" w:cs="David" w:hint="cs"/>
          <w:rtl/>
        </w:rPr>
        <w:t xml:space="preserve"> </w:t>
      </w:r>
      <w:r w:rsidR="00830BE9" w:rsidRPr="00340C57">
        <w:rPr>
          <w:rFonts w:ascii="David" w:hAnsi="David" w:cs="David" w:hint="cs"/>
          <w:rtl/>
        </w:rPr>
        <w:t xml:space="preserve">הינה עניין המצוי בליבת המלאכה השמאית וככלל ולהוציא חריגים </w:t>
      </w:r>
      <w:r w:rsidR="00553897" w:rsidRPr="00340C57">
        <w:rPr>
          <w:rFonts w:ascii="David" w:hAnsi="David" w:cs="David" w:hint="cs"/>
          <w:rtl/>
        </w:rPr>
        <w:t>וועדת הערר תיטה שלא להתערב בה</w:t>
      </w:r>
      <w:r w:rsidR="00553897">
        <w:rPr>
          <w:rFonts w:ascii="David" w:hAnsi="David" w:cs="David" w:hint="cs"/>
          <w:rtl/>
        </w:rPr>
        <w:t>.</w:t>
      </w:r>
      <w:r w:rsidR="00553897" w:rsidRPr="00340C57">
        <w:rPr>
          <w:rFonts w:ascii="David" w:hAnsi="David" w:cs="David" w:hint="cs"/>
          <w:rtl/>
        </w:rPr>
        <w:t xml:space="preserve"> </w:t>
      </w:r>
      <w:r w:rsidR="00830BE9" w:rsidRPr="00340C57">
        <w:rPr>
          <w:rFonts w:ascii="David" w:hAnsi="David" w:cs="David" w:hint="cs"/>
          <w:rtl/>
        </w:rPr>
        <w:t xml:space="preserve">די בכך כדי לדחות את </w:t>
      </w:r>
      <w:r w:rsidR="00830BE9">
        <w:rPr>
          <w:rFonts w:ascii="David" w:hAnsi="David" w:cs="David" w:hint="cs"/>
          <w:rtl/>
        </w:rPr>
        <w:t>טענות החברה</w:t>
      </w:r>
      <w:r w:rsidR="00830BE9" w:rsidRPr="00340C57">
        <w:rPr>
          <w:rFonts w:ascii="David" w:hAnsi="David" w:cs="David" w:hint="cs"/>
          <w:rtl/>
        </w:rPr>
        <w:t xml:space="preserve"> בעניין</w:t>
      </w:r>
      <w:r w:rsidR="00553897">
        <w:rPr>
          <w:rFonts w:ascii="David" w:hAnsi="David" w:cs="David" w:hint="cs"/>
          <w:rtl/>
        </w:rPr>
        <w:t>.</w:t>
      </w:r>
      <w:r w:rsidR="00830BE9" w:rsidRPr="00340C57">
        <w:rPr>
          <w:rFonts w:ascii="David" w:hAnsi="David" w:cs="David" w:hint="cs"/>
          <w:rtl/>
        </w:rPr>
        <w:t xml:space="preserve">  ר' לעניין זה </w:t>
      </w:r>
      <w:hyperlink r:id="rId66" w:history="1">
        <w:r w:rsidR="00830BE9" w:rsidRPr="00340C57">
          <w:rPr>
            <w:rFonts w:ascii="David" w:hAnsi="David" w:cs="David"/>
            <w:color w:val="0000FF"/>
            <w:u w:val="single"/>
            <w:rtl/>
          </w:rPr>
          <w:t>בר"מ 3644/13</w:t>
        </w:r>
      </w:hyperlink>
      <w:r w:rsidR="00830BE9" w:rsidRPr="00340C57">
        <w:rPr>
          <w:rFonts w:ascii="David" w:hAnsi="David" w:cs="David"/>
          <w:rtl/>
        </w:rPr>
        <w:t xml:space="preserve"> </w:t>
      </w:r>
      <w:r w:rsidR="00830BE9" w:rsidRPr="00340C57">
        <w:rPr>
          <w:rFonts w:ascii="David" w:hAnsi="David" w:cs="David"/>
          <w:b/>
          <w:bCs/>
          <w:u w:val="single"/>
          <w:rtl/>
        </w:rPr>
        <w:t>משרד התחבורה נ' גלר דוד ו</w:t>
      </w:r>
      <w:r w:rsidR="00830BE9">
        <w:rPr>
          <w:rFonts w:ascii="David" w:hAnsi="David" w:cs="David" w:hint="cs"/>
          <w:b/>
          <w:bCs/>
          <w:u w:val="single"/>
          <w:rtl/>
        </w:rPr>
        <w:t>אאור</w:t>
      </w:r>
      <w:r w:rsidR="00830BE9" w:rsidRPr="00340C57">
        <w:rPr>
          <w:rFonts w:ascii="David" w:hAnsi="David" w:cs="David"/>
          <w:b/>
          <w:bCs/>
          <w:u w:val="single"/>
          <w:rtl/>
        </w:rPr>
        <w:t>ה ואח'</w:t>
      </w:r>
      <w:r w:rsidR="00830BE9" w:rsidRPr="00340C57">
        <w:rPr>
          <w:rFonts w:ascii="David" w:hAnsi="David" w:cs="David"/>
          <w:rtl/>
        </w:rPr>
        <w:t xml:space="preserve"> (נבו 23.4.2014)</w:t>
      </w:r>
      <w:r w:rsidR="00830BE9" w:rsidRPr="00340C57">
        <w:rPr>
          <w:rFonts w:ascii="David" w:hAnsi="David" w:cs="David" w:hint="cs"/>
          <w:rtl/>
        </w:rPr>
        <w:t>.</w:t>
      </w:r>
    </w:p>
    <w:p w:rsidR="00830BE9" w:rsidRPr="00DD2654" w:rsidRDefault="00830BE9" w:rsidP="0051572E">
      <w:pPr>
        <w:pStyle w:val="a9"/>
        <w:numPr>
          <w:ilvl w:val="0"/>
          <w:numId w:val="1"/>
        </w:numPr>
        <w:tabs>
          <w:tab w:val="left" w:pos="425"/>
        </w:tabs>
        <w:spacing w:before="120" w:after="120" w:line="360" w:lineRule="auto"/>
        <w:ind w:left="357" w:hanging="357"/>
        <w:contextualSpacing w:val="0"/>
        <w:jc w:val="both"/>
        <w:rPr>
          <w:rFonts w:ascii="David" w:hAnsi="David" w:cs="David"/>
        </w:rPr>
      </w:pPr>
      <w:r>
        <w:rPr>
          <w:rFonts w:ascii="David" w:hAnsi="David" w:cs="David" w:hint="cs"/>
          <w:rtl/>
        </w:rPr>
        <w:t xml:space="preserve">אין באמור כדי לקבוע כי אף פעם לא תהא התערבות בנושא מקדמים וכל מקרה ייבחן לגופו והאם מגובה בטיעון משפטי המצדיק התערבותה של ועדת הערר. </w:t>
      </w:r>
      <w:r w:rsidRPr="00DD2654">
        <w:rPr>
          <w:rFonts w:ascii="David" w:hAnsi="David" w:cs="David" w:hint="cs"/>
          <w:rtl/>
        </w:rPr>
        <w:t xml:space="preserve">ר' בעניין זה החלטה של ועדת הערר </w:t>
      </w:r>
      <w:r w:rsidR="00C24550">
        <w:rPr>
          <w:rFonts w:ascii="David" w:hAnsi="David" w:cs="David" w:hint="eastAsia"/>
          <w:rtl/>
        </w:rPr>
        <w:t>בעניין</w:t>
      </w:r>
      <w:r w:rsidR="00C24550">
        <w:rPr>
          <w:rFonts w:ascii="David" w:hAnsi="David" w:cs="David"/>
          <w:rtl/>
        </w:rPr>
        <w:t xml:space="preserve"> </w:t>
      </w:r>
      <w:r w:rsidR="00C24550" w:rsidRPr="00DD2654">
        <w:rPr>
          <w:rFonts w:ascii="David" w:hAnsi="David" w:cs="David" w:hint="eastAsia"/>
          <w:rtl/>
        </w:rPr>
        <w:t>ערר</w:t>
      </w:r>
      <w:r w:rsidRPr="00340C57">
        <w:rPr>
          <w:rFonts w:ascii="David" w:hAnsi="David" w:cs="David"/>
          <w:rtl/>
        </w:rPr>
        <w:t xml:space="preserve"> (תל אביב-יפו) 85233-12-23 </w:t>
      </w:r>
      <w:r w:rsidRPr="00340C57">
        <w:rPr>
          <w:rFonts w:ascii="David" w:hAnsi="David" w:cs="David"/>
          <w:b/>
          <w:bCs/>
          <w:u w:val="single"/>
          <w:rtl/>
        </w:rPr>
        <w:t>לוי סופי נ' הוועדה המקומית לתכנון ובניה תל-אביב יפו</w:t>
      </w:r>
      <w:r>
        <w:rPr>
          <w:rFonts w:ascii="David" w:hAnsi="David" w:cs="David" w:hint="cs"/>
          <w:rtl/>
        </w:rPr>
        <w:t xml:space="preserve"> (נבו 23.1.25) וכן </w:t>
      </w:r>
      <w:r w:rsidRPr="00340C57">
        <w:rPr>
          <w:rFonts w:ascii="David" w:hAnsi="David" w:cs="David" w:hint="cs"/>
          <w:rtl/>
        </w:rPr>
        <w:t>ע</w:t>
      </w:r>
      <w:hyperlink r:id="rId67" w:history="1">
        <w:r w:rsidRPr="00340C57">
          <w:rPr>
            <w:rStyle w:val="Hyperlink"/>
            <w:rFonts w:ascii="David" w:hAnsi="David" w:cs="David" w:hint="eastAsia"/>
            <w:color w:val="auto"/>
            <w:u w:val="none"/>
            <w:rtl/>
          </w:rPr>
          <w:t>רר</w:t>
        </w:r>
        <w:r w:rsidRPr="00340C57">
          <w:rPr>
            <w:rStyle w:val="Hyperlink"/>
            <w:rFonts w:ascii="David" w:hAnsi="David" w:cs="David"/>
            <w:color w:val="auto"/>
            <w:u w:val="none"/>
            <w:rtl/>
          </w:rPr>
          <w:t xml:space="preserve"> תא 8016/0220</w:t>
        </w:r>
      </w:hyperlink>
      <w:r w:rsidRPr="00340C57">
        <w:rPr>
          <w:rFonts w:ascii="David" w:hAnsi="David" w:cs="David"/>
          <w:rtl/>
        </w:rPr>
        <w:t xml:space="preserve"> </w:t>
      </w:r>
      <w:r w:rsidRPr="00DD2654">
        <w:rPr>
          <w:rFonts w:ascii="David" w:hAnsi="David" w:cs="David"/>
          <w:b/>
          <w:bCs/>
          <w:u w:val="single"/>
          <w:rtl/>
        </w:rPr>
        <w:t>הועדה המקומית</w:t>
      </w:r>
      <w:r w:rsidRPr="00DD2654">
        <w:rPr>
          <w:rFonts w:ascii="David" w:hAnsi="David" w:cs="David" w:hint="cs"/>
          <w:b/>
          <w:bCs/>
          <w:u w:val="single"/>
          <w:rtl/>
        </w:rPr>
        <w:t xml:space="preserve"> </w:t>
      </w:r>
      <w:r w:rsidRPr="00DD2654">
        <w:rPr>
          <w:rFonts w:ascii="David" w:hAnsi="David" w:cs="David"/>
          <w:b/>
          <w:bCs/>
          <w:u w:val="single"/>
          <w:rtl/>
        </w:rPr>
        <w:t>לתכנון ולבנייה תל אביב-יפו נ' צפרירי ניסים</w:t>
      </w:r>
      <w:r w:rsidRPr="00DD2654">
        <w:rPr>
          <w:rFonts w:ascii="David" w:hAnsi="David" w:cs="David"/>
          <w:rtl/>
        </w:rPr>
        <w:t xml:space="preserve"> </w:t>
      </w:r>
      <w:r w:rsidRPr="00DD2654">
        <w:rPr>
          <w:rFonts w:ascii="David" w:hAnsi="David" w:cs="David" w:hint="cs"/>
          <w:rtl/>
        </w:rPr>
        <w:t>(</w:t>
      </w:r>
      <w:r w:rsidRPr="00DD2654">
        <w:rPr>
          <w:rFonts w:ascii="David" w:hAnsi="David" w:cs="David"/>
          <w:rtl/>
        </w:rPr>
        <w:t>נבו 17.11.2024</w:t>
      </w:r>
      <w:r w:rsidRPr="00DD2654">
        <w:rPr>
          <w:rFonts w:ascii="David" w:hAnsi="David" w:cs="David" w:hint="cs"/>
          <w:rtl/>
        </w:rPr>
        <w:t xml:space="preserve">). </w:t>
      </w:r>
      <w:r w:rsidRPr="00BB49B9">
        <w:rPr>
          <w:rFonts w:ascii="David" w:hAnsi="David" w:cs="David"/>
          <w:rtl/>
        </w:rPr>
        <w:t>זוהי נקודת המוצא להכרעתנו אף בערר</w:t>
      </w:r>
      <w:r>
        <w:rPr>
          <w:rFonts w:ascii="David" w:hAnsi="David" w:cs="David" w:hint="cs"/>
          <w:rtl/>
        </w:rPr>
        <w:t xml:space="preserve">ים אלו. </w:t>
      </w:r>
    </w:p>
    <w:p w:rsidR="009E78DE" w:rsidRDefault="00830BE9" w:rsidP="009E78DE">
      <w:pPr>
        <w:pStyle w:val="a9"/>
        <w:numPr>
          <w:ilvl w:val="0"/>
          <w:numId w:val="1"/>
        </w:numPr>
        <w:tabs>
          <w:tab w:val="left" w:pos="425"/>
        </w:tabs>
        <w:spacing w:before="120" w:after="120" w:line="360" w:lineRule="auto"/>
        <w:ind w:left="357" w:hanging="357"/>
        <w:contextualSpacing w:val="0"/>
        <w:jc w:val="both"/>
        <w:rPr>
          <w:rFonts w:ascii="David" w:hAnsi="David" w:cs="David"/>
        </w:rPr>
      </w:pPr>
      <w:r>
        <w:rPr>
          <w:rFonts w:ascii="David" w:hAnsi="David" w:cs="David" w:hint="cs"/>
          <w:rtl/>
        </w:rPr>
        <w:t>בעניינינו</w:t>
      </w:r>
      <w:r w:rsidRPr="00083B3C">
        <w:rPr>
          <w:rFonts w:ascii="David" w:hAnsi="David" w:cs="David"/>
          <w:rtl/>
        </w:rPr>
        <w:t xml:space="preserve"> לא מצאנו כי במסגרת </w:t>
      </w:r>
      <w:r>
        <w:rPr>
          <w:rFonts w:ascii="David" w:hAnsi="David" w:cs="David" w:hint="cs"/>
          <w:rtl/>
        </w:rPr>
        <w:t>טיעוני החברה</w:t>
      </w:r>
      <w:r w:rsidRPr="00083B3C">
        <w:rPr>
          <w:rFonts w:ascii="David" w:hAnsi="David" w:cs="David"/>
          <w:rtl/>
        </w:rPr>
        <w:t xml:space="preserve"> הועלו טענות המציגות אינדיקציה לטעות משפטית שנפלה </w:t>
      </w:r>
      <w:r>
        <w:rPr>
          <w:rFonts w:ascii="David" w:hAnsi="David" w:cs="David" w:hint="cs"/>
          <w:rtl/>
        </w:rPr>
        <w:t xml:space="preserve">בשומות המכריעות, </w:t>
      </w:r>
      <w:r w:rsidR="008739D9">
        <w:rPr>
          <w:rFonts w:ascii="David" w:hAnsi="David" w:cs="David" w:hint="cs"/>
          <w:rtl/>
        </w:rPr>
        <w:t>נ</w:t>
      </w:r>
      <w:r>
        <w:rPr>
          <w:rFonts w:ascii="David" w:hAnsi="David" w:cs="David" w:hint="cs"/>
          <w:rtl/>
        </w:rPr>
        <w:t>הפוך</w:t>
      </w:r>
      <w:r w:rsidR="008739D9">
        <w:rPr>
          <w:rFonts w:ascii="David" w:hAnsi="David" w:cs="David" w:hint="cs"/>
          <w:rtl/>
        </w:rPr>
        <w:t xml:space="preserve"> הוא</w:t>
      </w:r>
      <w:r>
        <w:rPr>
          <w:rFonts w:ascii="David" w:hAnsi="David" w:cs="David" w:hint="cs"/>
          <w:rtl/>
        </w:rPr>
        <w:t>, לעמדתנו אין מקום לקבל את טענות החברה גם לגופן. ונסביר.</w:t>
      </w:r>
    </w:p>
    <w:p w:rsidR="00C93A65" w:rsidRDefault="00A152C4" w:rsidP="009E78DE">
      <w:pPr>
        <w:pStyle w:val="a9"/>
        <w:numPr>
          <w:ilvl w:val="0"/>
          <w:numId w:val="1"/>
        </w:numPr>
        <w:tabs>
          <w:tab w:val="left" w:pos="425"/>
        </w:tabs>
        <w:spacing w:before="120" w:after="120" w:line="360" w:lineRule="auto"/>
        <w:ind w:left="357" w:hanging="357"/>
        <w:contextualSpacing w:val="0"/>
        <w:jc w:val="both"/>
        <w:rPr>
          <w:rFonts w:ascii="David" w:hAnsi="David" w:cs="David"/>
        </w:rPr>
      </w:pPr>
      <w:r w:rsidRPr="009E78DE">
        <w:rPr>
          <w:rFonts w:ascii="David" w:hAnsi="David" w:cs="David" w:hint="cs"/>
          <w:rtl/>
        </w:rPr>
        <w:t xml:space="preserve">כפי שצוין לעיל, </w:t>
      </w:r>
      <w:r w:rsidR="00830BE9" w:rsidRPr="009E78DE">
        <w:rPr>
          <w:rFonts w:ascii="David" w:hAnsi="David" w:cs="David" w:hint="cs"/>
          <w:rtl/>
        </w:rPr>
        <w:t>כידוע,</w:t>
      </w:r>
      <w:r w:rsidR="005B78B0" w:rsidRPr="009E78DE">
        <w:rPr>
          <w:rFonts w:ascii="David" w:hAnsi="David" w:cs="David" w:hint="cs"/>
          <w:rtl/>
        </w:rPr>
        <w:t xml:space="preserve"> </w:t>
      </w:r>
      <w:r w:rsidR="005B78B0" w:rsidRPr="009E78DE">
        <w:rPr>
          <w:rFonts w:ascii="David" w:hAnsi="David" w:cs="David"/>
          <w:rtl/>
        </w:rPr>
        <w:t>בחינת ההשבחה נעשית נכון למועד קובע, היינו בסמוך לאחר אישור התכנית המשביחה</w:t>
      </w:r>
      <w:r w:rsidR="005B78B0" w:rsidRPr="009E78DE">
        <w:rPr>
          <w:rFonts w:ascii="David" w:hAnsi="David" w:cs="David" w:hint="cs"/>
          <w:rtl/>
        </w:rPr>
        <w:t xml:space="preserve"> ולא לאירועים שא</w:t>
      </w:r>
      <w:r w:rsidR="005F48DF" w:rsidRPr="009E78DE">
        <w:rPr>
          <w:rFonts w:ascii="David" w:hAnsi="David" w:cs="David" w:hint="cs"/>
          <w:rtl/>
        </w:rPr>
        <w:t>י</w:t>
      </w:r>
      <w:r w:rsidR="005B78B0" w:rsidRPr="009E78DE">
        <w:rPr>
          <w:rFonts w:ascii="David" w:hAnsi="David" w:cs="David" w:hint="cs"/>
          <w:rtl/>
        </w:rPr>
        <w:t xml:space="preserve">רעו שנים לאחר מכן </w:t>
      </w:r>
      <w:r w:rsidR="00C93A65" w:rsidRPr="009E78DE">
        <w:rPr>
          <w:rFonts w:ascii="David" w:hAnsi="David" w:cs="David" w:hint="cs"/>
          <w:rtl/>
        </w:rPr>
        <w:t>כגון הקושי המתואר להגיע להסכמות עם העירייה לגבי מיקום החליפי לגן הילדים, הסכמים עם ויצו וכיו"ב, או העובדה שישנם דיירים שנכון למועד קובע טרם התארגנו</w:t>
      </w:r>
      <w:r w:rsidRPr="009E78DE">
        <w:rPr>
          <w:rFonts w:ascii="David" w:hAnsi="David" w:cs="David" w:hint="cs"/>
          <w:rtl/>
        </w:rPr>
        <w:t xml:space="preserve"> </w:t>
      </w:r>
      <w:r w:rsidR="009E78DE" w:rsidRPr="009E78DE">
        <w:rPr>
          <w:rFonts w:ascii="David" w:hAnsi="David" w:cs="David" w:hint="cs"/>
          <w:rtl/>
        </w:rPr>
        <w:t xml:space="preserve">במאוחד. </w:t>
      </w:r>
    </w:p>
    <w:p w:rsidR="009E78DE" w:rsidRPr="009E78DE" w:rsidRDefault="009E78DE" w:rsidP="009E78DE">
      <w:pPr>
        <w:pStyle w:val="a9"/>
        <w:numPr>
          <w:ilvl w:val="0"/>
          <w:numId w:val="1"/>
        </w:numPr>
        <w:tabs>
          <w:tab w:val="left" w:pos="425"/>
        </w:tabs>
        <w:spacing w:before="120" w:after="120" w:line="360" w:lineRule="auto"/>
        <w:ind w:left="357" w:hanging="357"/>
        <w:contextualSpacing w:val="0"/>
        <w:jc w:val="both"/>
        <w:rPr>
          <w:rFonts w:ascii="David" w:hAnsi="David" w:cs="David"/>
        </w:rPr>
      </w:pPr>
      <w:r>
        <w:rPr>
          <w:rFonts w:ascii="David" w:hAnsi="David" w:cs="David" w:hint="cs"/>
          <w:rtl/>
        </w:rPr>
        <w:t>על אף טענת החברה לכך שהשמאית המכריעה התעלמה</w:t>
      </w:r>
      <w:r w:rsidR="00FE1F09">
        <w:rPr>
          <w:rFonts w:ascii="David" w:hAnsi="David" w:cs="David" w:hint="cs"/>
          <w:rtl/>
        </w:rPr>
        <w:t xml:space="preserve"> כביכול</w:t>
      </w:r>
      <w:r>
        <w:rPr>
          <w:rFonts w:ascii="David" w:hAnsi="David" w:cs="David" w:hint="cs"/>
          <w:rtl/>
        </w:rPr>
        <w:t xml:space="preserve"> מרכיב </w:t>
      </w:r>
      <w:proofErr w:type="spellStart"/>
      <w:r>
        <w:rPr>
          <w:rFonts w:ascii="David" w:hAnsi="David" w:cs="David" w:hint="cs"/>
          <w:rtl/>
        </w:rPr>
        <w:t>המושע</w:t>
      </w:r>
      <w:proofErr w:type="spellEnd"/>
      <w:r>
        <w:rPr>
          <w:rFonts w:ascii="David" w:hAnsi="David" w:cs="David" w:hint="cs"/>
          <w:rtl/>
        </w:rPr>
        <w:t xml:space="preserve"> וכן </w:t>
      </w:r>
      <w:r w:rsidR="008739D9">
        <w:rPr>
          <w:rFonts w:ascii="David" w:hAnsi="David" w:cs="David" w:hint="cs"/>
          <w:rtl/>
        </w:rPr>
        <w:t xml:space="preserve">שגתה </w:t>
      </w:r>
      <w:r>
        <w:rPr>
          <w:rFonts w:ascii="David" w:hAnsi="David" w:cs="David" w:hint="cs"/>
          <w:rtl/>
        </w:rPr>
        <w:t>לגבי הדחייה שלא לקחה את כל הנתונים בחשבון לרבות עניין הקמת גני הילדים</w:t>
      </w:r>
      <w:r w:rsidR="00FE1F09">
        <w:rPr>
          <w:rFonts w:ascii="David" w:hAnsi="David" w:cs="David" w:hint="cs"/>
          <w:rtl/>
        </w:rPr>
        <w:t xml:space="preserve">, </w:t>
      </w:r>
      <w:r>
        <w:rPr>
          <w:rFonts w:ascii="David" w:hAnsi="David" w:cs="David" w:hint="cs"/>
          <w:rtl/>
        </w:rPr>
        <w:t xml:space="preserve">לא התרשמנו שכך הדבר. </w:t>
      </w:r>
    </w:p>
    <w:p w:rsidR="003E2242" w:rsidRPr="00C93A65" w:rsidRDefault="00C93A65" w:rsidP="00A81A18">
      <w:pPr>
        <w:pStyle w:val="a9"/>
        <w:numPr>
          <w:ilvl w:val="0"/>
          <w:numId w:val="1"/>
        </w:numPr>
        <w:tabs>
          <w:tab w:val="left" w:pos="425"/>
        </w:tabs>
        <w:spacing w:line="360" w:lineRule="auto"/>
        <w:ind w:left="357"/>
        <w:contextualSpacing w:val="0"/>
        <w:jc w:val="both"/>
        <w:rPr>
          <w:rFonts w:ascii="David" w:hAnsi="David" w:cs="David"/>
        </w:rPr>
      </w:pPr>
      <w:r w:rsidRPr="00C93A65">
        <w:rPr>
          <w:rFonts w:ascii="David" w:hAnsi="David" w:cs="David" w:hint="cs"/>
          <w:rtl/>
        </w:rPr>
        <w:t>נר</w:t>
      </w:r>
      <w:r w:rsidR="009E78DE">
        <w:rPr>
          <w:rFonts w:ascii="David" w:hAnsi="David" w:cs="David" w:hint="cs"/>
          <w:rtl/>
        </w:rPr>
        <w:t>אה</w:t>
      </w:r>
      <w:r w:rsidRPr="00C93A65">
        <w:rPr>
          <w:rFonts w:ascii="David" w:hAnsi="David" w:cs="David" w:hint="cs"/>
          <w:rtl/>
        </w:rPr>
        <w:t xml:space="preserve"> כי השמאית המכריעה</w:t>
      </w:r>
      <w:r w:rsidR="009E78DE">
        <w:rPr>
          <w:rFonts w:ascii="David" w:hAnsi="David" w:cs="David" w:hint="cs"/>
          <w:rtl/>
        </w:rPr>
        <w:t xml:space="preserve"> דווקא</w:t>
      </w:r>
      <w:r w:rsidRPr="00C93A65">
        <w:rPr>
          <w:rFonts w:ascii="David" w:hAnsi="David" w:cs="David" w:hint="cs"/>
          <w:rtl/>
        </w:rPr>
        <w:t xml:space="preserve"> </w:t>
      </w:r>
      <w:r w:rsidR="003E2242" w:rsidRPr="00C93A65">
        <w:rPr>
          <w:rFonts w:ascii="David" w:hAnsi="David" w:cs="David" w:hint="cs"/>
          <w:rtl/>
        </w:rPr>
        <w:t>נתנה דעתה בשומות המכריעות לע</w:t>
      </w:r>
      <w:r w:rsidR="005B78B0" w:rsidRPr="00C93A65">
        <w:rPr>
          <w:rFonts w:ascii="David" w:hAnsi="David" w:cs="David" w:hint="cs"/>
          <w:rtl/>
        </w:rPr>
        <w:t>ובדה</w:t>
      </w:r>
      <w:r w:rsidR="003E2242" w:rsidRPr="00C93A65">
        <w:rPr>
          <w:rFonts w:ascii="David" w:hAnsi="David" w:cs="David" w:hint="cs"/>
          <w:rtl/>
        </w:rPr>
        <w:t xml:space="preserve"> שבפרויקט הנדון יש</w:t>
      </w:r>
      <w:r>
        <w:rPr>
          <w:rFonts w:ascii="David" w:hAnsi="David" w:cs="David" w:hint="cs"/>
          <w:rtl/>
        </w:rPr>
        <w:t xml:space="preserve"> צורך בהקמת גני ילדים וכן צורך ב</w:t>
      </w:r>
      <w:r w:rsidR="003E2242" w:rsidRPr="00C93A65">
        <w:rPr>
          <w:rFonts w:ascii="David" w:hAnsi="David" w:cs="David" w:hint="cs"/>
          <w:rtl/>
        </w:rPr>
        <w:t xml:space="preserve">התארגנות דיירים וקבעה בין היתר  בעמ' </w:t>
      </w:r>
      <w:r w:rsidR="00EA4831">
        <w:rPr>
          <w:rFonts w:ascii="David" w:hAnsi="David" w:cs="David" w:hint="cs"/>
          <w:rtl/>
        </w:rPr>
        <w:t>169-171</w:t>
      </w:r>
      <w:r w:rsidR="003E2242" w:rsidRPr="00C93A65">
        <w:rPr>
          <w:rFonts w:ascii="David" w:hAnsi="David" w:cs="David" w:hint="cs"/>
          <w:rtl/>
        </w:rPr>
        <w:t xml:space="preserve"> סעיף 15.3.2</w:t>
      </w:r>
      <w:r w:rsidR="00A01905">
        <w:rPr>
          <w:rFonts w:ascii="David" w:hAnsi="David" w:cs="David" w:hint="cs"/>
          <w:rtl/>
        </w:rPr>
        <w:t xml:space="preserve"> שומת מגרש 101:</w:t>
      </w:r>
    </w:p>
    <w:p w:rsidR="00EA4831" w:rsidRDefault="003E2242" w:rsidP="00EA4831">
      <w:pPr>
        <w:pStyle w:val="a9"/>
        <w:tabs>
          <w:tab w:val="left" w:pos="1244"/>
        </w:tabs>
        <w:spacing w:line="360" w:lineRule="auto"/>
        <w:ind w:left="850" w:right="1418"/>
        <w:contextualSpacing w:val="0"/>
        <w:jc w:val="both"/>
        <w:rPr>
          <w:rFonts w:ascii="David" w:hAnsi="David" w:cs="David"/>
          <w:i/>
          <w:iCs/>
          <w:rtl/>
        </w:rPr>
      </w:pPr>
      <w:r w:rsidRPr="00830BE9">
        <w:rPr>
          <w:rFonts w:ascii="David" w:hAnsi="David" w:cs="David" w:hint="cs"/>
          <w:i/>
          <w:iCs/>
          <w:rtl/>
        </w:rPr>
        <w:t>"</w:t>
      </w:r>
      <w:r w:rsidRPr="00830BE9">
        <w:rPr>
          <w:rFonts w:ascii="David" w:hAnsi="David" w:cs="David"/>
          <w:i/>
          <w:iCs/>
          <w:rtl/>
        </w:rPr>
        <w:t>מימוש הזכויות והדחיה הנובעת במסגרת פרויקט פינוי בינוי כרוך בהתאגדות הבעלים והתקשרות עם יזם על מנת להוציא את הפרויקט לפועל, וכן עמידה בתנאי התכני</w:t>
      </w:r>
      <w:r w:rsidR="005B78B0" w:rsidRPr="00830BE9">
        <w:rPr>
          <w:rFonts w:ascii="David" w:hAnsi="David" w:cs="David" w:hint="cs"/>
          <w:i/>
          <w:iCs/>
          <w:rtl/>
        </w:rPr>
        <w:t>ת.</w:t>
      </w:r>
      <w:r w:rsidRPr="00830BE9">
        <w:rPr>
          <w:rFonts w:ascii="David" w:hAnsi="David" w:cs="David"/>
          <w:i/>
          <w:iCs/>
        </w:rPr>
        <w:t xml:space="preserve"> </w:t>
      </w:r>
      <w:r w:rsidRPr="00830BE9">
        <w:rPr>
          <w:rFonts w:ascii="David" w:hAnsi="David" w:cs="David"/>
          <w:i/>
          <w:iCs/>
          <w:rtl/>
        </w:rPr>
        <w:t>אני סבורה כי בבחינת פרק הזמן הסביר לדחייה, צריך לבחון את המצב העובדתי בפועל נכון למועד הקובע לכל מדרגת השבחה, קרי בהתאם לפעולות שהתרחשו עובר למועד הקובע, שכן גישה זו נשענת על אמות מידה אובייקטיביות אשר יובאו בחשבון ע"י קונה סב</w:t>
      </w:r>
      <w:r w:rsidR="00007835" w:rsidRPr="00830BE9">
        <w:rPr>
          <w:rFonts w:ascii="David" w:hAnsi="David" w:cs="David" w:hint="cs"/>
          <w:i/>
          <w:iCs/>
          <w:rtl/>
        </w:rPr>
        <w:t>יר</w:t>
      </w:r>
      <w:r w:rsidR="00C93A65">
        <w:rPr>
          <w:rFonts w:ascii="David" w:hAnsi="David" w:cs="David" w:hint="cs"/>
          <w:i/>
          <w:iCs/>
          <w:rtl/>
        </w:rPr>
        <w:t xml:space="preserve"> </w:t>
      </w:r>
      <w:r w:rsidRPr="00830BE9">
        <w:rPr>
          <w:rFonts w:ascii="David" w:hAnsi="David" w:cs="David"/>
          <w:i/>
          <w:iCs/>
          <w:rtl/>
        </w:rPr>
        <w:t>דהיינו, לא ניתן להתעלם מהמצב העובדתי שבו התאגדו בעלי המקרקעין בחלקות מושא ההכרעה עוד בטרם התגבשות ההליך התכנוני שבנדון</w:t>
      </w:r>
      <w:r w:rsidR="005B78B0" w:rsidRPr="00830BE9">
        <w:rPr>
          <w:rFonts w:ascii="David" w:hAnsi="David" w:cs="David" w:hint="cs"/>
          <w:i/>
          <w:iCs/>
          <w:rtl/>
        </w:rPr>
        <w:t>. במס</w:t>
      </w:r>
      <w:r w:rsidRPr="00830BE9">
        <w:rPr>
          <w:rFonts w:ascii="David" w:hAnsi="David" w:cs="David"/>
          <w:i/>
          <w:iCs/>
          <w:rtl/>
        </w:rPr>
        <w:t>גרת ישיבת הועדה המחוזית לתכנון ולבניה מחוז תל אביב מס' 804 מיום</w:t>
      </w:r>
      <w:r w:rsidR="00F775B8" w:rsidRPr="00830BE9">
        <w:rPr>
          <w:rFonts w:ascii="David" w:hAnsi="David" w:cs="David" w:hint="cs"/>
          <w:i/>
          <w:iCs/>
          <w:rtl/>
        </w:rPr>
        <w:t xml:space="preserve"> </w:t>
      </w:r>
      <w:r w:rsidRPr="00830BE9">
        <w:rPr>
          <w:rFonts w:ascii="David" w:hAnsi="David" w:cs="David"/>
          <w:i/>
          <w:iCs/>
          <w:rtl/>
        </w:rPr>
        <w:t xml:space="preserve">25.11.2013 נאמר ע"י היזם הקודם כי נכון למועד הישיבה חתומים מעל ל </w:t>
      </w:r>
      <w:r w:rsidR="00830BE9" w:rsidRPr="00830BE9">
        <w:rPr>
          <w:rFonts w:ascii="David" w:hAnsi="David" w:cs="David" w:hint="cs"/>
          <w:i/>
          <w:iCs/>
          <w:rtl/>
        </w:rPr>
        <w:t>90%</w:t>
      </w:r>
      <w:r w:rsidRPr="00830BE9">
        <w:rPr>
          <w:rFonts w:ascii="David" w:hAnsi="David" w:cs="David"/>
          <w:i/>
          <w:iCs/>
          <w:rtl/>
        </w:rPr>
        <w:t xml:space="preserve"> מהדיירים הקיימים</w:t>
      </w:r>
      <w:r w:rsidRPr="00830BE9">
        <w:rPr>
          <w:rFonts w:ascii="David" w:hAnsi="David" w:cs="David"/>
          <w:i/>
          <w:iCs/>
        </w:rPr>
        <w:t xml:space="preserve">. </w:t>
      </w:r>
      <w:r w:rsidR="00A01905">
        <w:rPr>
          <w:rFonts w:ascii="David" w:hAnsi="David" w:cs="David" w:hint="cs"/>
          <w:i/>
          <w:iCs/>
          <w:rtl/>
        </w:rPr>
        <w:t xml:space="preserve"> </w:t>
      </w:r>
      <w:r w:rsidRPr="00830BE9">
        <w:rPr>
          <w:rFonts w:ascii="David" w:hAnsi="David" w:cs="David"/>
          <w:i/>
          <w:iCs/>
          <w:rtl/>
        </w:rPr>
        <w:t>כלומר, נכון למועד הקובע לתכנית המשביחה דנן, חוזה ההתקשרות בין בעלי המקרקעין ליזם טרם התגבש, באופן שהתגבשותו מותנית בחתימה של יתר בעלי הזכויות שטרם חתמו על ההסכם</w:t>
      </w:r>
      <w:r w:rsidR="008051A2">
        <w:rPr>
          <w:rFonts w:ascii="David" w:hAnsi="David" w:cs="David" w:hint="cs"/>
          <w:i/>
          <w:iCs/>
          <w:rtl/>
        </w:rPr>
        <w:t>.</w:t>
      </w:r>
      <w:r w:rsidR="00EA4831">
        <w:rPr>
          <w:rFonts w:ascii="David" w:hAnsi="David" w:cs="David" w:hint="cs"/>
          <w:i/>
          <w:iCs/>
          <w:rtl/>
        </w:rPr>
        <w:t xml:space="preserve"> במסגרת תכנית בי/517 נקבעו שלבי ביצעו לתכנית, כאשר בשלב 1 נקבע ביחס לגבני הילדים כדלקמן... היינו על מנת להרוס את גני הילדים המצויים בחלקה 109 ולעמוד בתנאי שלב 1 לתכנית יש צורך במציאת פתרון חלופי זמני או קבוע לשימושים הציבוריים הנ"ל... לא קיימת מחלוקת בין הצדדים כי מציאת פתרון חלופי כולל מציאת מיקום והקמת מבנה חלופי להנחת דעתה של העירייה. בהתאם לפנייתי ליועצת המשפטית של עיריית בת ים לבירור הסוגי</w:t>
      </w:r>
      <w:r w:rsidR="00772915">
        <w:rPr>
          <w:rFonts w:ascii="David" w:hAnsi="David" w:cs="David" w:hint="cs"/>
          <w:i/>
          <w:iCs/>
          <w:rtl/>
        </w:rPr>
        <w:t>י</w:t>
      </w:r>
      <w:r w:rsidR="00EA4831">
        <w:rPr>
          <w:rFonts w:ascii="David" w:hAnsi="David" w:cs="David" w:hint="cs"/>
          <w:i/>
          <w:iCs/>
          <w:rtl/>
        </w:rPr>
        <w:t>ה ביום 30.5.2022 ותגובתה מיום 1.6.22 נמסר לי כדלקמן...</w:t>
      </w:r>
    </w:p>
    <w:p w:rsidR="00EA4831" w:rsidRDefault="00EA4831" w:rsidP="00EA4831">
      <w:pPr>
        <w:pStyle w:val="a9"/>
        <w:tabs>
          <w:tab w:val="left" w:pos="1244"/>
        </w:tabs>
        <w:spacing w:line="360" w:lineRule="auto"/>
        <w:ind w:left="850" w:right="1418"/>
        <w:contextualSpacing w:val="0"/>
        <w:jc w:val="both"/>
        <w:rPr>
          <w:rFonts w:ascii="David" w:hAnsi="David" w:cs="David"/>
          <w:i/>
          <w:iCs/>
          <w:rtl/>
        </w:rPr>
      </w:pPr>
      <w:r>
        <w:rPr>
          <w:rFonts w:ascii="David" w:hAnsi="David" w:cs="David" w:hint="cs"/>
          <w:i/>
          <w:iCs/>
          <w:rtl/>
        </w:rPr>
        <w:t xml:space="preserve">יוצא אפוא כי הריסת מבני המגורים הקיימים יתאפשר רק לאחר הקמת גני הילדים החלופיים החדשים, דהיינו יש לכלול בפרק הדחיה הצפוי גם את משך בניית גני הילדים דנן. </w:t>
      </w:r>
    </w:p>
    <w:p w:rsidR="00EA4831" w:rsidRDefault="00EA4831" w:rsidP="00EA4831">
      <w:pPr>
        <w:pStyle w:val="a9"/>
        <w:tabs>
          <w:tab w:val="left" w:pos="1244"/>
        </w:tabs>
        <w:spacing w:line="360" w:lineRule="auto"/>
        <w:ind w:left="850" w:right="1418"/>
        <w:contextualSpacing w:val="0"/>
        <w:jc w:val="both"/>
        <w:rPr>
          <w:rFonts w:ascii="David" w:hAnsi="David" w:cs="David"/>
          <w:i/>
          <w:iCs/>
          <w:rtl/>
        </w:rPr>
      </w:pPr>
      <w:r>
        <w:rPr>
          <w:rFonts w:ascii="David" w:hAnsi="David" w:cs="David" w:hint="cs"/>
          <w:i/>
          <w:iCs/>
          <w:rtl/>
        </w:rPr>
        <w:t>בהתאם להכרעתי יש לבחון את פרק הדחייה הנדרש למציאת פתרון לגני ילדים בהתאם למצב העובדתי בפועל, זאת מאחר ורוכש סביר יביא בחשבון את ההליכים שהתרחשו נכון למועד הקובע. להלן עיקרי מסמך סיכום פגישה שנערכה בין גורמים בעירייה לנציגי היזם ערב אישור התכנית המשביחה ומיום 30.6.2015:</w:t>
      </w:r>
    </w:p>
    <w:p w:rsidR="003E2242" w:rsidRPr="00EA4831" w:rsidRDefault="00EA4831" w:rsidP="00EA4831">
      <w:pPr>
        <w:pStyle w:val="a9"/>
        <w:tabs>
          <w:tab w:val="left" w:pos="1244"/>
        </w:tabs>
        <w:spacing w:line="360" w:lineRule="auto"/>
        <w:ind w:left="850" w:right="1418"/>
        <w:contextualSpacing w:val="0"/>
        <w:jc w:val="both"/>
        <w:rPr>
          <w:rFonts w:ascii="David" w:hAnsi="David" w:cs="David"/>
          <w:i/>
          <w:iCs/>
          <w:rtl/>
        </w:rPr>
      </w:pPr>
      <w:r>
        <w:rPr>
          <w:rFonts w:ascii="David" w:hAnsi="David" w:cs="David" w:hint="cs"/>
          <w:i/>
          <w:iCs/>
          <w:rtl/>
        </w:rPr>
        <w:t xml:space="preserve">בהתאם למסמך סיכום הפגישה בין נציג היזם לעירייה ערב אישור התכנית המשביחה עולה כי הגורמים השונים החלו בבדיקת האפשרויות הקיימות כך שמועד מציאת הפתרון אינו וודאי ולא ידוע. יוצא אפוא כי </w:t>
      </w:r>
      <w:r w:rsidR="003E2242" w:rsidRPr="00EA4831">
        <w:rPr>
          <w:rFonts w:ascii="David" w:hAnsi="David" w:cs="David"/>
          <w:i/>
          <w:iCs/>
          <w:rtl/>
        </w:rPr>
        <w:t>בהתאם להוראות התכנית והליכי התכנון, קונה סביר יביא בחשבון זמן דחיה המורכב מהליך התארגנות הדיירים, אישור תכנית איחוד וחלוקה ומציאת פתרון חלופי זמני או קבוע, לגני הילדים ולהנחת דעתה של הרשות המקומית הכולל את תקופת הקמת גני הילדים. גורמי דחיה אלה מקבילים ואינם מתווספים. הואיל ופרק הזמן המשמעותי הוא במציאת מקום חלופי לגני הילדים, המהווה תנאי בהוראות התכנית למימוש הזכויות כחלק משלביות הביצוע, קונה סביר יביא בחשבון דחיה לתקופה של 5 שנים"</w:t>
      </w:r>
      <w:r w:rsidR="003E2242" w:rsidRPr="00EA4831">
        <w:rPr>
          <w:rFonts w:ascii="David" w:hAnsi="David" w:cs="David"/>
          <w:i/>
          <w:iCs/>
        </w:rPr>
        <w:t>.</w:t>
      </w:r>
    </w:p>
    <w:p w:rsidR="00772915" w:rsidRDefault="00772915" w:rsidP="002A5269">
      <w:pPr>
        <w:pStyle w:val="a9"/>
        <w:numPr>
          <w:ilvl w:val="0"/>
          <w:numId w:val="1"/>
        </w:numPr>
        <w:tabs>
          <w:tab w:val="left" w:pos="425"/>
        </w:tabs>
        <w:spacing w:line="360" w:lineRule="auto"/>
        <w:ind w:left="357" w:hanging="357"/>
        <w:contextualSpacing w:val="0"/>
        <w:jc w:val="both"/>
        <w:rPr>
          <w:rFonts w:ascii="David" w:hAnsi="David" w:cs="David"/>
        </w:rPr>
      </w:pPr>
      <w:r>
        <w:rPr>
          <w:rFonts w:ascii="David" w:hAnsi="David" w:cs="David" w:hint="cs"/>
          <w:rtl/>
        </w:rPr>
        <w:t>מהאמור עול</w:t>
      </w:r>
      <w:r w:rsidR="0051572E">
        <w:rPr>
          <w:rFonts w:ascii="David" w:hAnsi="David" w:cs="David" w:hint="cs"/>
          <w:rtl/>
        </w:rPr>
        <w:t>ות</w:t>
      </w:r>
      <w:r>
        <w:rPr>
          <w:rFonts w:ascii="David" w:hAnsi="David" w:cs="David" w:hint="cs"/>
          <w:rtl/>
        </w:rPr>
        <w:t xml:space="preserve"> מספר עובדות:</w:t>
      </w:r>
    </w:p>
    <w:p w:rsidR="00772915" w:rsidRDefault="00772915" w:rsidP="002A5269">
      <w:pPr>
        <w:pStyle w:val="a9"/>
        <w:numPr>
          <w:ilvl w:val="0"/>
          <w:numId w:val="1"/>
        </w:numPr>
        <w:tabs>
          <w:tab w:val="left" w:pos="425"/>
        </w:tabs>
        <w:spacing w:line="360" w:lineRule="auto"/>
        <w:ind w:left="357" w:hanging="357"/>
        <w:contextualSpacing w:val="0"/>
        <w:jc w:val="both"/>
        <w:rPr>
          <w:rFonts w:ascii="David" w:hAnsi="David" w:cs="David"/>
        </w:rPr>
      </w:pPr>
      <w:r>
        <w:rPr>
          <w:rFonts w:ascii="David" w:hAnsi="David" w:cs="David" w:hint="cs"/>
          <w:rtl/>
        </w:rPr>
        <w:t>ראשית</w:t>
      </w:r>
      <w:r w:rsidR="00FE1F09">
        <w:rPr>
          <w:rFonts w:ascii="David" w:hAnsi="David" w:cs="David" w:hint="cs"/>
          <w:rtl/>
        </w:rPr>
        <w:t>,</w:t>
      </w:r>
      <w:r w:rsidRPr="00772915">
        <w:rPr>
          <w:rFonts w:ascii="David" w:hAnsi="David" w:cs="David" w:hint="cs"/>
          <w:rtl/>
        </w:rPr>
        <w:t xml:space="preserve"> </w:t>
      </w:r>
      <w:r w:rsidRPr="00007835">
        <w:rPr>
          <w:rFonts w:ascii="David" w:hAnsi="David" w:cs="David" w:hint="cs"/>
          <w:rtl/>
        </w:rPr>
        <w:t xml:space="preserve">השמאית המכריעה התרשמה כי כבר בשנת </w:t>
      </w:r>
      <w:r w:rsidR="00C24550" w:rsidRPr="00007835">
        <w:rPr>
          <w:rFonts w:ascii="David" w:hAnsi="David" w:cs="David"/>
          <w:rtl/>
        </w:rPr>
        <w:t xml:space="preserve">2013 </w:t>
      </w:r>
      <w:r w:rsidR="00C24550">
        <w:rPr>
          <w:rFonts w:ascii="David" w:hAnsi="David" w:cs="David" w:hint="eastAsia"/>
          <w:rtl/>
        </w:rPr>
        <w:t>קרי</w:t>
      </w:r>
      <w:r>
        <w:rPr>
          <w:rFonts w:ascii="David" w:hAnsi="David" w:cs="David" w:hint="cs"/>
          <w:rtl/>
        </w:rPr>
        <w:t xml:space="preserve"> לפני המועד הקובע, </w:t>
      </w:r>
      <w:r w:rsidRPr="00007835">
        <w:rPr>
          <w:rFonts w:ascii="David" w:hAnsi="David" w:cs="David" w:hint="cs"/>
          <w:rtl/>
        </w:rPr>
        <w:t>הי</w:t>
      </w:r>
      <w:r>
        <w:rPr>
          <w:rFonts w:ascii="David" w:hAnsi="David" w:cs="David" w:hint="cs"/>
          <w:rtl/>
        </w:rPr>
        <w:t>י</w:t>
      </w:r>
      <w:r w:rsidRPr="00007835">
        <w:rPr>
          <w:rFonts w:ascii="David" w:hAnsi="David" w:cs="David" w:hint="cs"/>
          <w:rtl/>
        </w:rPr>
        <w:t>תה התאגדות של 90% מהבעלים</w:t>
      </w:r>
      <w:r>
        <w:rPr>
          <w:rFonts w:ascii="David" w:hAnsi="David" w:cs="David" w:hint="cs"/>
          <w:rtl/>
        </w:rPr>
        <w:t xml:space="preserve"> ולקחה נתון זה בחשבון בעת הכרעתה</w:t>
      </w:r>
      <w:r w:rsidRPr="00007835">
        <w:rPr>
          <w:rFonts w:ascii="David" w:hAnsi="David" w:cs="David" w:hint="cs"/>
          <w:rtl/>
        </w:rPr>
        <w:t>.</w:t>
      </w:r>
      <w:r>
        <w:rPr>
          <w:rFonts w:ascii="David" w:hAnsi="David" w:cs="David" w:hint="cs"/>
          <w:rtl/>
        </w:rPr>
        <w:t xml:space="preserve"> </w:t>
      </w:r>
      <w:r w:rsidR="00B048EA">
        <w:rPr>
          <w:rFonts w:ascii="David" w:hAnsi="David" w:cs="David" w:hint="cs"/>
          <w:rtl/>
        </w:rPr>
        <w:t xml:space="preserve">[נציין כי בהתאם להודעה שקבלנו מהחברה ביום 12.6.2025 (לאחר הדיון שהתקיים בפנינו) נמסר כי כ-94 דיירים מתוך 104 חתמו על הסכמי פינוי בינוי טרם אושרה תכנית בי/517]. </w:t>
      </w:r>
    </w:p>
    <w:p w:rsidR="00772915" w:rsidRDefault="00772915" w:rsidP="002A5269">
      <w:pPr>
        <w:pStyle w:val="a9"/>
        <w:numPr>
          <w:ilvl w:val="0"/>
          <w:numId w:val="1"/>
        </w:numPr>
        <w:tabs>
          <w:tab w:val="left" w:pos="425"/>
        </w:tabs>
        <w:spacing w:line="360" w:lineRule="auto"/>
        <w:ind w:left="357" w:hanging="357"/>
        <w:contextualSpacing w:val="0"/>
        <w:jc w:val="both"/>
        <w:rPr>
          <w:rFonts w:ascii="David" w:hAnsi="David" w:cs="David"/>
        </w:rPr>
      </w:pPr>
      <w:r>
        <w:rPr>
          <w:rFonts w:ascii="David" w:hAnsi="David" w:cs="David" w:hint="cs"/>
          <w:rtl/>
        </w:rPr>
        <w:t>שנית, ו</w:t>
      </w:r>
      <w:r w:rsidR="005B78B0">
        <w:rPr>
          <w:rFonts w:ascii="David" w:hAnsi="David" w:cs="David" w:hint="cs"/>
          <w:rtl/>
        </w:rPr>
        <w:t>בניגוד לנטען</w:t>
      </w:r>
      <w:r w:rsidR="00F255FB">
        <w:rPr>
          <w:rFonts w:ascii="David" w:hAnsi="David" w:cs="David" w:hint="cs"/>
          <w:rtl/>
        </w:rPr>
        <w:t>,</w:t>
      </w:r>
      <w:r w:rsidR="005B78B0">
        <w:rPr>
          <w:rFonts w:ascii="David" w:hAnsi="David" w:cs="David" w:hint="cs"/>
          <w:rtl/>
        </w:rPr>
        <w:t xml:space="preserve"> </w:t>
      </w:r>
      <w:r w:rsidR="003E2242" w:rsidRPr="00007835">
        <w:rPr>
          <w:rFonts w:ascii="David" w:hAnsi="David" w:cs="David" w:hint="cs"/>
          <w:rtl/>
        </w:rPr>
        <w:t>השמאית המכריעה</w:t>
      </w:r>
      <w:r>
        <w:rPr>
          <w:rFonts w:ascii="David" w:hAnsi="David" w:cs="David" w:hint="cs"/>
          <w:rtl/>
        </w:rPr>
        <w:t xml:space="preserve"> בדקה בקפידה וכדבעי את השלכת ההוראה בתכנית לגבי הקמת גני ילדים ובכלל זאת בצעה פניה </w:t>
      </w:r>
      <w:proofErr w:type="spellStart"/>
      <w:r>
        <w:rPr>
          <w:rFonts w:ascii="David" w:hAnsi="David" w:cs="David" w:hint="cs"/>
          <w:rtl/>
        </w:rPr>
        <w:t>ליועמ"שית</w:t>
      </w:r>
      <w:proofErr w:type="spellEnd"/>
      <w:r>
        <w:rPr>
          <w:rFonts w:ascii="David" w:hAnsi="David" w:cs="David" w:hint="cs"/>
          <w:rtl/>
        </w:rPr>
        <w:t xml:space="preserve"> של העירייה</w:t>
      </w:r>
      <w:r w:rsidR="00FE1F09">
        <w:rPr>
          <w:rFonts w:ascii="David" w:hAnsi="David" w:cs="David" w:hint="cs"/>
          <w:rtl/>
        </w:rPr>
        <w:t>,</w:t>
      </w:r>
      <w:r>
        <w:rPr>
          <w:rFonts w:ascii="David" w:hAnsi="David" w:cs="David" w:hint="cs"/>
          <w:rtl/>
        </w:rPr>
        <w:t xml:space="preserve"> וכן הביאה במסגרת השומות המכריעות את סיכום הפגישה שנערכה בין גורמים בעירייה לנציגי היזם ערב אישור התכנית המשביחה. מה שמלמדנו שהשמאית המכריעה בחנה את העובדות הנדרשות שקונה סביר היה לוקח אותן במועד קובע</w:t>
      </w:r>
      <w:r w:rsidR="009E78DE">
        <w:rPr>
          <w:rFonts w:ascii="David" w:hAnsi="David" w:cs="David" w:hint="cs"/>
          <w:rtl/>
        </w:rPr>
        <w:t xml:space="preserve">. </w:t>
      </w:r>
    </w:p>
    <w:p w:rsidR="00007835" w:rsidRDefault="00772915" w:rsidP="002A5269">
      <w:pPr>
        <w:pStyle w:val="a9"/>
        <w:numPr>
          <w:ilvl w:val="0"/>
          <w:numId w:val="1"/>
        </w:numPr>
        <w:tabs>
          <w:tab w:val="left" w:pos="425"/>
        </w:tabs>
        <w:spacing w:line="360" w:lineRule="auto"/>
        <w:ind w:left="357" w:hanging="357"/>
        <w:contextualSpacing w:val="0"/>
        <w:jc w:val="both"/>
        <w:rPr>
          <w:rFonts w:ascii="David" w:hAnsi="David" w:cs="David"/>
        </w:rPr>
      </w:pPr>
      <w:r w:rsidRPr="00772915">
        <w:rPr>
          <w:rFonts w:ascii="David" w:hAnsi="David" w:cs="David" w:hint="cs"/>
          <w:rtl/>
        </w:rPr>
        <w:t>יתרה מכך</w:t>
      </w:r>
      <w:r w:rsidR="009E78DE">
        <w:rPr>
          <w:rFonts w:ascii="David" w:hAnsi="David" w:cs="David" w:hint="cs"/>
          <w:rtl/>
        </w:rPr>
        <w:t>,</w:t>
      </w:r>
      <w:r w:rsidRPr="00772915">
        <w:rPr>
          <w:rFonts w:ascii="David" w:hAnsi="David" w:cs="David" w:hint="cs"/>
          <w:rtl/>
        </w:rPr>
        <w:t xml:space="preserve"> העובדה שהשמאית המכריעה </w:t>
      </w:r>
      <w:r w:rsidR="003E2242" w:rsidRPr="00772915">
        <w:rPr>
          <w:rFonts w:ascii="David" w:hAnsi="David" w:cs="David" w:hint="cs"/>
          <w:rtl/>
        </w:rPr>
        <w:t xml:space="preserve">סברה שגורם </w:t>
      </w:r>
      <w:r>
        <w:rPr>
          <w:rFonts w:ascii="David" w:hAnsi="David" w:cs="David" w:hint="cs"/>
          <w:rtl/>
        </w:rPr>
        <w:t>הדחייה</w:t>
      </w:r>
      <w:r w:rsidR="003E2242" w:rsidRPr="00772915">
        <w:rPr>
          <w:rFonts w:ascii="David" w:hAnsi="David" w:cs="David" w:hint="cs"/>
          <w:rtl/>
        </w:rPr>
        <w:t xml:space="preserve"> הינו </w:t>
      </w:r>
      <w:r w:rsidR="003E2242" w:rsidRPr="00772915">
        <w:rPr>
          <w:rFonts w:ascii="David" w:hAnsi="David" w:cs="David" w:hint="cs"/>
          <w:u w:val="single"/>
          <w:rtl/>
        </w:rPr>
        <w:t>במקביל</w:t>
      </w:r>
      <w:r w:rsidR="003E2242" w:rsidRPr="00772915">
        <w:rPr>
          <w:rFonts w:ascii="David" w:hAnsi="David" w:cs="David" w:hint="cs"/>
          <w:rtl/>
        </w:rPr>
        <w:t xml:space="preserve"> ליתר הגורמים להם טענה החברה ולא בנוסף</w:t>
      </w:r>
      <w:r w:rsidR="00FE1F09">
        <w:rPr>
          <w:rFonts w:ascii="David" w:hAnsi="David" w:cs="David" w:hint="cs"/>
          <w:rtl/>
        </w:rPr>
        <w:t>,</w:t>
      </w:r>
      <w:r>
        <w:rPr>
          <w:rFonts w:ascii="David" w:hAnsi="David" w:cs="David" w:hint="cs"/>
          <w:rtl/>
        </w:rPr>
        <w:t xml:space="preserve"> הינה </w:t>
      </w:r>
      <w:r w:rsidR="00146016">
        <w:rPr>
          <w:rFonts w:ascii="David" w:hAnsi="David" w:cs="David" w:hint="cs"/>
          <w:rtl/>
        </w:rPr>
        <w:t xml:space="preserve">בגדר </w:t>
      </w:r>
      <w:r w:rsidR="009E78DE">
        <w:rPr>
          <w:rFonts w:ascii="David" w:hAnsi="David" w:cs="David" w:hint="cs"/>
          <w:rtl/>
        </w:rPr>
        <w:t>שיקול דעתה המקצועי בו לא נתערב</w:t>
      </w:r>
      <w:r w:rsidR="003E2242" w:rsidRPr="00772915">
        <w:rPr>
          <w:rFonts w:ascii="David" w:hAnsi="David" w:cs="David" w:hint="cs"/>
          <w:rtl/>
        </w:rPr>
        <w:t>.</w:t>
      </w:r>
      <w:r w:rsidR="005B78B0" w:rsidRPr="00772915">
        <w:rPr>
          <w:rFonts w:ascii="David" w:hAnsi="David" w:cs="David" w:hint="cs"/>
          <w:rtl/>
        </w:rPr>
        <w:t xml:space="preserve"> נציין </w:t>
      </w:r>
      <w:r w:rsidR="00BA48B0">
        <w:rPr>
          <w:rFonts w:ascii="David" w:hAnsi="David" w:cs="David" w:hint="cs"/>
          <w:rtl/>
        </w:rPr>
        <w:t xml:space="preserve">למעלה מן הצורך, </w:t>
      </w:r>
      <w:r w:rsidR="005B78B0" w:rsidRPr="00772915">
        <w:rPr>
          <w:rFonts w:ascii="David" w:hAnsi="David" w:cs="David" w:hint="cs"/>
          <w:rtl/>
        </w:rPr>
        <w:t>כי ישנם שמאים מכריעים הנוהגים להביא מקד</w:t>
      </w:r>
      <w:r w:rsidR="00F255FB" w:rsidRPr="00772915">
        <w:rPr>
          <w:rFonts w:ascii="David" w:hAnsi="David" w:cs="David" w:hint="cs"/>
          <w:rtl/>
        </w:rPr>
        <w:t xml:space="preserve">ם </w:t>
      </w:r>
      <w:r w:rsidR="005B78B0" w:rsidRPr="00772915">
        <w:rPr>
          <w:rFonts w:ascii="David" w:hAnsi="David" w:cs="David" w:hint="cs"/>
          <w:rtl/>
        </w:rPr>
        <w:t>של דחי</w:t>
      </w:r>
      <w:r w:rsidR="00FE1F09">
        <w:rPr>
          <w:rFonts w:ascii="David" w:hAnsi="David" w:cs="David" w:hint="cs"/>
          <w:rtl/>
        </w:rPr>
        <w:t>י</w:t>
      </w:r>
      <w:r w:rsidR="005B78B0" w:rsidRPr="00772915">
        <w:rPr>
          <w:rFonts w:ascii="David" w:hAnsi="David" w:cs="David" w:hint="cs"/>
          <w:rtl/>
        </w:rPr>
        <w:t xml:space="preserve">ה </w:t>
      </w:r>
      <w:proofErr w:type="spellStart"/>
      <w:r w:rsidR="005B78B0" w:rsidRPr="00772915">
        <w:rPr>
          <w:rFonts w:ascii="David" w:hAnsi="David" w:cs="David" w:hint="cs"/>
          <w:rtl/>
        </w:rPr>
        <w:t>ומושע</w:t>
      </w:r>
      <w:proofErr w:type="spellEnd"/>
      <w:r w:rsidR="005B78B0" w:rsidRPr="00772915">
        <w:rPr>
          <w:rFonts w:ascii="David" w:hAnsi="David" w:cs="David" w:hint="cs"/>
          <w:rtl/>
        </w:rPr>
        <w:t xml:space="preserve"> יחד וישנם הנוהגים להביא מקד</w:t>
      </w:r>
      <w:r w:rsidR="00F255FB" w:rsidRPr="00772915">
        <w:rPr>
          <w:rFonts w:ascii="David" w:hAnsi="David" w:cs="David" w:hint="cs"/>
          <w:rtl/>
        </w:rPr>
        <w:t>ם בגין כל רכיב מאלה</w:t>
      </w:r>
      <w:r>
        <w:rPr>
          <w:rFonts w:ascii="David" w:hAnsi="David" w:cs="David" w:hint="cs"/>
          <w:rtl/>
        </w:rPr>
        <w:t xml:space="preserve"> בנפרד</w:t>
      </w:r>
      <w:r w:rsidR="005B78B0" w:rsidRPr="00772915">
        <w:rPr>
          <w:rFonts w:ascii="David" w:hAnsi="David" w:cs="David" w:hint="cs"/>
          <w:rtl/>
        </w:rPr>
        <w:t xml:space="preserve"> ובכל שיטה ככל ומבוססת ומותאמת לנסיבות</w:t>
      </w:r>
      <w:r w:rsidR="00F255FB" w:rsidRPr="00772915">
        <w:rPr>
          <w:rFonts w:ascii="David" w:hAnsi="David" w:cs="David" w:hint="cs"/>
          <w:rtl/>
        </w:rPr>
        <w:t>,</w:t>
      </w:r>
      <w:r w:rsidR="005B78B0" w:rsidRPr="00772915">
        <w:rPr>
          <w:rFonts w:ascii="David" w:hAnsi="David" w:cs="David" w:hint="cs"/>
          <w:rtl/>
        </w:rPr>
        <w:t xml:space="preserve"> אין בה פסול.</w:t>
      </w:r>
    </w:p>
    <w:p w:rsidR="003E2242" w:rsidRDefault="00772915" w:rsidP="002A5269">
      <w:pPr>
        <w:pStyle w:val="a9"/>
        <w:numPr>
          <w:ilvl w:val="0"/>
          <w:numId w:val="1"/>
        </w:numPr>
        <w:tabs>
          <w:tab w:val="left" w:pos="425"/>
        </w:tabs>
        <w:spacing w:line="360" w:lineRule="auto"/>
        <w:ind w:left="357" w:hanging="357"/>
        <w:contextualSpacing w:val="0"/>
        <w:jc w:val="both"/>
        <w:rPr>
          <w:rFonts w:ascii="David" w:hAnsi="David" w:cs="David"/>
        </w:rPr>
      </w:pPr>
      <w:r w:rsidRPr="00772915">
        <w:rPr>
          <w:rFonts w:ascii="David" w:hAnsi="David" w:cs="David" w:hint="cs"/>
          <w:rtl/>
        </w:rPr>
        <w:t xml:space="preserve">אי לכך דיון טענות החברה להידחות הן בהתייחס לטענה בעניין מקדם הדחייה והן בהתייחס לטענה בדבר אי </w:t>
      </w:r>
      <w:r w:rsidR="003E2242" w:rsidRPr="00772915">
        <w:rPr>
          <w:rFonts w:ascii="David" w:hAnsi="David" w:cs="David"/>
          <w:rtl/>
        </w:rPr>
        <w:t>התחשבות במקדם מושע במצב החדש לתכנית בי/517</w:t>
      </w:r>
      <w:r w:rsidR="00F775B8" w:rsidRPr="00772915">
        <w:rPr>
          <w:rFonts w:ascii="David" w:hAnsi="David" w:cs="David" w:hint="cs"/>
          <w:rtl/>
        </w:rPr>
        <w:t>.</w:t>
      </w:r>
    </w:p>
    <w:p w:rsidR="006709A3" w:rsidRDefault="006709A3" w:rsidP="002A5269">
      <w:pPr>
        <w:pStyle w:val="2"/>
        <w:rPr>
          <w:rtl/>
        </w:rPr>
      </w:pPr>
      <w:bookmarkStart w:id="46" w:name="_Toc203992522"/>
    </w:p>
    <w:p w:rsidR="004B30C1" w:rsidRPr="00F608CC" w:rsidRDefault="008C6CED" w:rsidP="002A5269">
      <w:pPr>
        <w:pStyle w:val="2"/>
        <w:rPr>
          <w:u w:val="thick"/>
        </w:rPr>
      </w:pPr>
      <w:r>
        <w:rPr>
          <w:rtl/>
        </w:rPr>
        <w:br/>
      </w:r>
      <w:bookmarkStart w:id="47" w:name="_Toc204504404"/>
      <w:r w:rsidR="00FE1F09">
        <w:rPr>
          <w:rFonts w:hint="cs"/>
          <w:rtl/>
        </w:rPr>
        <w:t>ה</w:t>
      </w:r>
      <w:r w:rsidR="004B30C1" w:rsidRPr="00F608CC">
        <w:rPr>
          <w:rFonts w:hint="cs"/>
          <w:rtl/>
        </w:rPr>
        <w:t xml:space="preserve">. </w:t>
      </w:r>
      <w:r w:rsidR="00502BD0" w:rsidRPr="00F608CC">
        <w:rPr>
          <w:rFonts w:hint="cs"/>
          <w:rtl/>
        </w:rPr>
        <w:t>קיזוז החלק היחסי שמומש בעבר בדרך של מכר</w:t>
      </w:r>
      <w:bookmarkEnd w:id="46"/>
      <w:bookmarkEnd w:id="47"/>
      <w:r w:rsidR="00502BD0" w:rsidRPr="00F608CC">
        <w:rPr>
          <w:rFonts w:hint="cs"/>
          <w:rtl/>
        </w:rPr>
        <w:t xml:space="preserve"> </w:t>
      </w:r>
    </w:p>
    <w:p w:rsidR="00F608CC" w:rsidRPr="004B30C1" w:rsidRDefault="00F608CC" w:rsidP="00F608CC">
      <w:pPr>
        <w:spacing w:line="360" w:lineRule="auto"/>
        <w:jc w:val="both"/>
        <w:rPr>
          <w:rFonts w:ascii="David" w:hAnsi="David" w:cs="David"/>
          <w:u w:val="thick"/>
        </w:rPr>
      </w:pPr>
      <w:r>
        <w:rPr>
          <w:rFonts w:ascii="David" w:hAnsi="David" w:cs="David" w:hint="cs"/>
          <w:u w:val="thick"/>
          <w:rtl/>
        </w:rPr>
        <w:t>ט</w:t>
      </w:r>
      <w:r w:rsidRPr="004B30C1">
        <w:rPr>
          <w:rFonts w:ascii="David" w:hAnsi="David" w:cs="David" w:hint="cs"/>
          <w:u w:val="thick"/>
          <w:rtl/>
        </w:rPr>
        <w:t>יעון ה</w:t>
      </w:r>
      <w:r>
        <w:rPr>
          <w:rFonts w:ascii="David" w:hAnsi="David" w:cs="David" w:hint="cs"/>
          <w:u w:val="thick"/>
          <w:rtl/>
        </w:rPr>
        <w:t xml:space="preserve">חברה </w:t>
      </w:r>
      <w:r w:rsidRPr="004B30C1">
        <w:rPr>
          <w:rFonts w:ascii="David" w:hAnsi="David" w:cs="David" w:hint="cs"/>
          <w:u w:val="thick"/>
          <w:rtl/>
        </w:rPr>
        <w:t xml:space="preserve"> </w:t>
      </w:r>
    </w:p>
    <w:p w:rsidR="00F608CC" w:rsidRDefault="00F608CC" w:rsidP="002A5269">
      <w:pPr>
        <w:pStyle w:val="a9"/>
        <w:numPr>
          <w:ilvl w:val="0"/>
          <w:numId w:val="1"/>
        </w:numPr>
        <w:tabs>
          <w:tab w:val="left" w:pos="425"/>
        </w:tabs>
        <w:spacing w:line="360" w:lineRule="auto"/>
        <w:ind w:left="357" w:hanging="357"/>
        <w:contextualSpacing w:val="0"/>
        <w:jc w:val="both"/>
        <w:rPr>
          <w:rFonts w:ascii="David" w:hAnsi="David" w:cs="David"/>
        </w:rPr>
      </w:pPr>
      <w:r>
        <w:rPr>
          <w:rFonts w:ascii="David" w:hAnsi="David" w:cs="David" w:hint="cs"/>
          <w:rtl/>
        </w:rPr>
        <w:t>אין חולק כי לאורך השנים לאחר אישור התכניות המשביחות נמכרו דירות במתחם. לפיכך, בעת מימוש מלוא הזכויות בהיתר בניה יש לקזז מההשבחה את החלק היחסי של הדירות שמומשו בעבר בדרך של מכר</w:t>
      </w:r>
      <w:r w:rsidRPr="00850040">
        <w:rPr>
          <w:rFonts w:ascii="David" w:hAnsi="David" w:cs="David" w:hint="cs"/>
          <w:rtl/>
        </w:rPr>
        <w:t xml:space="preserve"> </w:t>
      </w:r>
      <w:r>
        <w:rPr>
          <w:rFonts w:ascii="David" w:hAnsi="David" w:cs="David" w:hint="cs"/>
          <w:rtl/>
        </w:rPr>
        <w:t xml:space="preserve">(זאת ללא קשר לעובדה שבגין מכירות אלה הוועדה המקומית לא גבתה היטל השבחה). אחרת יהיה בכך חיוב כפול </w:t>
      </w:r>
      <w:proofErr w:type="spellStart"/>
      <w:r>
        <w:rPr>
          <w:rFonts w:ascii="David" w:hAnsi="David" w:cs="David" w:hint="cs"/>
          <w:rtl/>
        </w:rPr>
        <w:t>ליחה"ד</w:t>
      </w:r>
      <w:proofErr w:type="spellEnd"/>
      <w:r>
        <w:rPr>
          <w:rFonts w:ascii="David" w:hAnsi="David" w:cs="David" w:hint="cs"/>
          <w:rtl/>
        </w:rPr>
        <w:t xml:space="preserve"> שנמכרו. ואין כל נפקות לאופן שבו ערוכות שומות הצדדים.  </w:t>
      </w:r>
    </w:p>
    <w:p w:rsidR="00F608CC" w:rsidRPr="0064650C" w:rsidRDefault="00F608CC" w:rsidP="002A5269">
      <w:pPr>
        <w:pStyle w:val="a9"/>
        <w:numPr>
          <w:ilvl w:val="0"/>
          <w:numId w:val="1"/>
        </w:numPr>
        <w:tabs>
          <w:tab w:val="left" w:pos="425"/>
        </w:tabs>
        <w:spacing w:line="360" w:lineRule="auto"/>
        <w:ind w:left="357" w:hanging="357"/>
        <w:contextualSpacing w:val="0"/>
        <w:jc w:val="both"/>
        <w:rPr>
          <w:rFonts w:ascii="David" w:hAnsi="David" w:cs="David"/>
        </w:rPr>
      </w:pPr>
      <w:r w:rsidRPr="0064650C">
        <w:rPr>
          <w:rFonts w:ascii="David" w:hAnsi="David" w:cs="David" w:hint="cs"/>
          <w:rtl/>
        </w:rPr>
        <w:t xml:space="preserve">מדובר בחישוב מתמטי פשוט של קיזוז החלק היחסי של הדירות שנמכרו בעבר מהיטל ההשבחה, לאור הנתונים המצויים בידיעתה הבלעדית והמלאה של הוועדה המקומית. השמאית המכריעה התייחסה לכך וסברה כי הנכון הוא לקזז מהיטל ההשבחה את החלק היחסי בגין הדירות שנמכרו לאחר אישור התכניות המשביחות ולפני הוצאת ההיתר ואולם לא קבעה הנחיה אופרטיבית בטענה שהנושא אינו בסמכותה ובהעדר נתונים בפניה. ולכן יש להורות לוועדה המקומית להמציא את מלוא הנתונים בנושא ולקבוע קיזוז של החלק היחסי בגין דירות אלה מהיטל ההשבחה. זאת על מנת למנוע חיוב כפול בהיטל השבחה, בניגוד לדין ולצדק בסיסי. </w:t>
      </w:r>
    </w:p>
    <w:p w:rsidR="00F608CC" w:rsidRDefault="00F608CC" w:rsidP="00F608CC">
      <w:pPr>
        <w:pStyle w:val="a9"/>
        <w:spacing w:line="240" w:lineRule="auto"/>
        <w:ind w:left="780"/>
        <w:jc w:val="both"/>
        <w:rPr>
          <w:rFonts w:ascii="David" w:hAnsi="David" w:cs="David"/>
          <w:rtl/>
        </w:rPr>
      </w:pPr>
    </w:p>
    <w:p w:rsidR="00F608CC" w:rsidRPr="004B30C1" w:rsidRDefault="00F608CC" w:rsidP="00F608CC">
      <w:pPr>
        <w:spacing w:line="360" w:lineRule="auto"/>
        <w:jc w:val="both"/>
        <w:rPr>
          <w:rFonts w:ascii="David" w:hAnsi="David" w:cs="David"/>
          <w:u w:val="thick"/>
          <w:rtl/>
        </w:rPr>
      </w:pPr>
      <w:r w:rsidRPr="004B30C1">
        <w:rPr>
          <w:rFonts w:ascii="David" w:hAnsi="David" w:cs="David" w:hint="cs"/>
          <w:u w:val="thick"/>
          <w:rtl/>
        </w:rPr>
        <w:t>ת</w:t>
      </w:r>
      <w:r>
        <w:rPr>
          <w:rFonts w:ascii="David" w:hAnsi="David" w:cs="David" w:hint="cs"/>
          <w:u w:val="thick"/>
          <w:rtl/>
        </w:rPr>
        <w:t>שובת הועדה המקומית</w:t>
      </w:r>
    </w:p>
    <w:p w:rsidR="00F608CC" w:rsidRDefault="00F608CC" w:rsidP="002A5269">
      <w:pPr>
        <w:pStyle w:val="a9"/>
        <w:numPr>
          <w:ilvl w:val="0"/>
          <w:numId w:val="1"/>
        </w:numPr>
        <w:tabs>
          <w:tab w:val="left" w:pos="425"/>
        </w:tabs>
        <w:spacing w:line="360" w:lineRule="auto"/>
        <w:ind w:left="357" w:hanging="357"/>
        <w:contextualSpacing w:val="0"/>
        <w:jc w:val="both"/>
        <w:rPr>
          <w:rFonts w:ascii="David" w:hAnsi="David" w:cs="David"/>
        </w:rPr>
      </w:pPr>
      <w:r>
        <w:rPr>
          <w:rFonts w:ascii="David" w:hAnsi="David" w:cs="David" w:hint="cs"/>
          <w:rtl/>
        </w:rPr>
        <w:t xml:space="preserve">כפי שניתן לראות במסגרת סעיף 14.3.6 לשומות המכריעות מתייחסת השמאית המכריעה לנושא יח"ד שנמכרו לאחר אישור התכנית. </w:t>
      </w:r>
    </w:p>
    <w:p w:rsidR="00F608CC" w:rsidRPr="007B5E4B" w:rsidRDefault="00F608CC" w:rsidP="002A5269">
      <w:pPr>
        <w:pStyle w:val="a9"/>
        <w:numPr>
          <w:ilvl w:val="0"/>
          <w:numId w:val="1"/>
        </w:numPr>
        <w:tabs>
          <w:tab w:val="left" w:pos="425"/>
        </w:tabs>
        <w:spacing w:line="360" w:lineRule="auto"/>
        <w:ind w:left="357" w:hanging="357"/>
        <w:contextualSpacing w:val="0"/>
        <w:jc w:val="both"/>
        <w:rPr>
          <w:rFonts w:ascii="David" w:hAnsi="David" w:cs="David"/>
        </w:rPr>
      </w:pPr>
      <w:r w:rsidRPr="007B5E4B">
        <w:rPr>
          <w:rFonts w:ascii="David" w:hAnsi="David" w:cs="David" w:hint="cs"/>
          <w:rtl/>
        </w:rPr>
        <w:t xml:space="preserve">השמאית המכריעה מציינת שהעלתה נושא זה בפני שמאי הצדדים וכי </w:t>
      </w:r>
      <w:r w:rsidRPr="00F608CC">
        <w:rPr>
          <w:rFonts w:ascii="David" w:hAnsi="David" w:cs="David" w:hint="cs"/>
          <w:i/>
          <w:iCs/>
          <w:rtl/>
        </w:rPr>
        <w:t xml:space="preserve">"הצדדים תמימי דעים כי יש לחייב עבור 100% מהזכויות בכל מדרגת השבחה במימוש הזכויות בהיתר הבניה". </w:t>
      </w:r>
    </w:p>
    <w:p w:rsidR="00F608CC" w:rsidRDefault="00F608CC" w:rsidP="002A5269">
      <w:pPr>
        <w:pStyle w:val="a9"/>
        <w:numPr>
          <w:ilvl w:val="0"/>
          <w:numId w:val="1"/>
        </w:numPr>
        <w:tabs>
          <w:tab w:val="left" w:pos="425"/>
        </w:tabs>
        <w:spacing w:line="360" w:lineRule="auto"/>
        <w:ind w:left="357" w:hanging="357"/>
        <w:contextualSpacing w:val="0"/>
        <w:jc w:val="both"/>
        <w:rPr>
          <w:rFonts w:ascii="David" w:hAnsi="David" w:cs="David"/>
        </w:rPr>
      </w:pPr>
      <w:r>
        <w:rPr>
          <w:rFonts w:ascii="David" w:hAnsi="David" w:cs="David" w:hint="cs"/>
          <w:rtl/>
        </w:rPr>
        <w:t xml:space="preserve">מכאן שלעמדת החברה במסגרת הדיון בפני השמאית המכריעה </w:t>
      </w:r>
      <w:proofErr w:type="spellStart"/>
      <w:r>
        <w:rPr>
          <w:rFonts w:ascii="David" w:hAnsi="David" w:cs="David" w:hint="cs"/>
          <w:rtl/>
        </w:rPr>
        <w:t>היתה</w:t>
      </w:r>
      <w:proofErr w:type="spellEnd"/>
      <w:r>
        <w:rPr>
          <w:rFonts w:ascii="David" w:hAnsi="David" w:cs="David" w:hint="cs"/>
          <w:rtl/>
        </w:rPr>
        <w:t xml:space="preserve">, שיש לחייב באופן מלא על כל הזכויות לעת המימוש בהיתר הבניה. </w:t>
      </w:r>
    </w:p>
    <w:p w:rsidR="00F608CC" w:rsidRPr="00F608CC" w:rsidRDefault="00F608CC" w:rsidP="002A5269">
      <w:pPr>
        <w:pStyle w:val="a9"/>
        <w:numPr>
          <w:ilvl w:val="0"/>
          <w:numId w:val="1"/>
        </w:numPr>
        <w:tabs>
          <w:tab w:val="left" w:pos="425"/>
        </w:tabs>
        <w:spacing w:line="360" w:lineRule="auto"/>
        <w:ind w:left="357" w:hanging="357"/>
        <w:contextualSpacing w:val="0"/>
        <w:jc w:val="both"/>
        <w:rPr>
          <w:rFonts w:ascii="David" w:hAnsi="David" w:cs="David"/>
        </w:rPr>
      </w:pPr>
      <w:r w:rsidRPr="007B5E4B">
        <w:rPr>
          <w:rFonts w:ascii="David" w:hAnsi="David" w:cs="David" w:hint="cs"/>
          <w:rtl/>
        </w:rPr>
        <w:t xml:space="preserve">נראה כי עמדה </w:t>
      </w:r>
      <w:r w:rsidRPr="00F608CC">
        <w:rPr>
          <w:rFonts w:ascii="David" w:hAnsi="David" w:cs="David" w:hint="cs"/>
          <w:rtl/>
        </w:rPr>
        <w:t xml:space="preserve">זו נובעת מן העובדה שהיזם לקח על עצמו מבחינה חוזית את תשלום היטל ההשבחה. </w:t>
      </w:r>
    </w:p>
    <w:p w:rsidR="00F608CC" w:rsidRDefault="00F608CC" w:rsidP="002A5269">
      <w:pPr>
        <w:pStyle w:val="a9"/>
        <w:numPr>
          <w:ilvl w:val="0"/>
          <w:numId w:val="1"/>
        </w:numPr>
        <w:tabs>
          <w:tab w:val="left" w:pos="425"/>
        </w:tabs>
        <w:spacing w:line="360" w:lineRule="auto"/>
        <w:ind w:left="357" w:hanging="357"/>
        <w:contextualSpacing w:val="0"/>
        <w:jc w:val="both"/>
        <w:rPr>
          <w:rFonts w:ascii="David" w:hAnsi="David" w:cs="David"/>
        </w:rPr>
      </w:pPr>
      <w:r w:rsidRPr="00F608CC">
        <w:rPr>
          <w:rFonts w:ascii="David" w:hAnsi="David" w:cs="David" w:hint="cs"/>
          <w:rtl/>
        </w:rPr>
        <w:t>לא ברור כיצד רשאית החברה לטעון בעררים מטעמה טיעון הפוך לטענותיה בפני השמאית המכריעה ונראה כי טיעון זה דינו להידחות על הסף ולו</w:t>
      </w:r>
      <w:r w:rsidRPr="007B5E4B">
        <w:rPr>
          <w:rFonts w:ascii="David" w:hAnsi="David" w:cs="David" w:hint="cs"/>
          <w:rtl/>
        </w:rPr>
        <w:t xml:space="preserve"> מסיבה זו בלבד, בהיותו נוגד את עמדתה בפני השמאית המכריעה. </w:t>
      </w:r>
    </w:p>
    <w:p w:rsidR="00F608CC" w:rsidRPr="0064650C" w:rsidRDefault="00F608CC" w:rsidP="002A5269">
      <w:pPr>
        <w:pStyle w:val="a9"/>
        <w:numPr>
          <w:ilvl w:val="0"/>
          <w:numId w:val="1"/>
        </w:numPr>
        <w:tabs>
          <w:tab w:val="left" w:pos="425"/>
        </w:tabs>
        <w:spacing w:line="360" w:lineRule="auto"/>
        <w:ind w:left="357" w:hanging="357"/>
        <w:contextualSpacing w:val="0"/>
        <w:jc w:val="both"/>
        <w:rPr>
          <w:rFonts w:ascii="David" w:hAnsi="David" w:cs="David"/>
        </w:rPr>
      </w:pPr>
      <w:r w:rsidRPr="007B5E4B">
        <w:rPr>
          <w:rFonts w:ascii="David" w:hAnsi="David" w:cs="David" w:hint="cs"/>
          <w:rtl/>
        </w:rPr>
        <w:t xml:space="preserve">מכל מקום מבהירה הועדה המקומית כי לא חייבה בהיטל השבחה בגין מכר דירות לאחר אישור התכנית ועל כך אין מחלוקת עובדתית. </w:t>
      </w:r>
      <w:r w:rsidRPr="0064650C">
        <w:rPr>
          <w:rFonts w:ascii="David" w:hAnsi="David" w:cs="David" w:hint="cs"/>
          <w:rtl/>
        </w:rPr>
        <w:t xml:space="preserve">מכאן, שאין עניינינו במצב בו קיים </w:t>
      </w:r>
      <w:r>
        <w:rPr>
          <w:rFonts w:ascii="David" w:hAnsi="David" w:cs="David" w:hint="cs"/>
          <w:rtl/>
        </w:rPr>
        <w:t xml:space="preserve">כביכול </w:t>
      </w:r>
      <w:r w:rsidRPr="0064650C">
        <w:rPr>
          <w:rFonts w:ascii="David" w:hAnsi="David" w:cs="David" w:hint="cs"/>
          <w:rtl/>
        </w:rPr>
        <w:t xml:space="preserve">כפל חיוב. </w:t>
      </w:r>
    </w:p>
    <w:p w:rsidR="00F608CC" w:rsidRDefault="00F608CC" w:rsidP="002A5269">
      <w:pPr>
        <w:pStyle w:val="a9"/>
        <w:numPr>
          <w:ilvl w:val="0"/>
          <w:numId w:val="1"/>
        </w:numPr>
        <w:tabs>
          <w:tab w:val="left" w:pos="425"/>
        </w:tabs>
        <w:spacing w:line="360" w:lineRule="auto"/>
        <w:ind w:left="357" w:hanging="357"/>
        <w:contextualSpacing w:val="0"/>
        <w:jc w:val="both"/>
        <w:rPr>
          <w:rFonts w:ascii="David" w:hAnsi="David" w:cs="David"/>
        </w:rPr>
      </w:pPr>
      <w:r w:rsidRPr="0064650C">
        <w:rPr>
          <w:rFonts w:ascii="David" w:hAnsi="David" w:cs="David" w:hint="cs"/>
          <w:rtl/>
        </w:rPr>
        <w:t>יתרה מכך</w:t>
      </w:r>
      <w:r>
        <w:rPr>
          <w:rFonts w:ascii="David" w:hAnsi="David" w:cs="David" w:hint="cs"/>
          <w:rtl/>
        </w:rPr>
        <w:t>,</w:t>
      </w:r>
      <w:r w:rsidRPr="0064650C">
        <w:rPr>
          <w:rFonts w:ascii="David" w:hAnsi="David" w:cs="David" w:hint="cs"/>
          <w:rtl/>
        </w:rPr>
        <w:t xml:space="preserve"> אין </w:t>
      </w:r>
      <w:proofErr w:type="spellStart"/>
      <w:r w:rsidRPr="0064650C">
        <w:rPr>
          <w:rFonts w:ascii="David" w:hAnsi="David" w:cs="David" w:hint="cs"/>
          <w:rtl/>
        </w:rPr>
        <w:t>לועדה</w:t>
      </w:r>
      <w:proofErr w:type="spellEnd"/>
      <w:r w:rsidRPr="0064650C">
        <w:rPr>
          <w:rFonts w:ascii="David" w:hAnsi="David" w:cs="David" w:hint="cs"/>
          <w:rtl/>
        </w:rPr>
        <w:t xml:space="preserve"> המקומית כל סמכות שלא לגבות היטל השבחה או</w:t>
      </w:r>
      <w:r w:rsidRPr="007B5E4B">
        <w:rPr>
          <w:rFonts w:ascii="David" w:hAnsi="David" w:cs="David" w:hint="cs"/>
          <w:rtl/>
        </w:rPr>
        <w:t xml:space="preserve"> לגבות היטל השבחה בחסר</w:t>
      </w:r>
      <w:r>
        <w:rPr>
          <w:rFonts w:ascii="David" w:hAnsi="David" w:cs="David" w:hint="cs"/>
          <w:rtl/>
        </w:rPr>
        <w:t>,</w:t>
      </w:r>
      <w:r w:rsidRPr="007B5E4B">
        <w:rPr>
          <w:rFonts w:ascii="David" w:hAnsi="David" w:cs="David" w:hint="cs"/>
          <w:rtl/>
        </w:rPr>
        <w:t xml:space="preserve"> ועל כן ככל שלא נגבה היטל בעבר, אין בכך כדי לבטל את החובה לגבותו. </w:t>
      </w:r>
    </w:p>
    <w:p w:rsidR="00F608CC" w:rsidRDefault="00F608CC" w:rsidP="002A5269">
      <w:pPr>
        <w:pStyle w:val="a9"/>
        <w:numPr>
          <w:ilvl w:val="0"/>
          <w:numId w:val="1"/>
        </w:numPr>
        <w:tabs>
          <w:tab w:val="left" w:pos="425"/>
        </w:tabs>
        <w:spacing w:line="360" w:lineRule="auto"/>
        <w:ind w:left="357" w:hanging="357"/>
        <w:contextualSpacing w:val="0"/>
        <w:jc w:val="both"/>
        <w:rPr>
          <w:rFonts w:ascii="David" w:hAnsi="David" w:cs="David"/>
        </w:rPr>
      </w:pPr>
      <w:r w:rsidRPr="007B5E4B">
        <w:rPr>
          <w:rFonts w:ascii="David" w:hAnsi="David" w:cs="David" w:hint="cs"/>
          <w:rtl/>
        </w:rPr>
        <w:t xml:space="preserve">ככל שעניינינו בטענה ולפיה לא גבתה הועדה המקומית את ההיטל "בהזדמנות הראשונה" ולכן מנועה היא </w:t>
      </w:r>
      <w:proofErr w:type="spellStart"/>
      <w:r w:rsidRPr="007B5E4B">
        <w:rPr>
          <w:rFonts w:ascii="David" w:hAnsi="David" w:cs="David" w:hint="cs"/>
          <w:rtl/>
        </w:rPr>
        <w:t>מלגבותו</w:t>
      </w:r>
      <w:proofErr w:type="spellEnd"/>
      <w:r w:rsidRPr="007B5E4B">
        <w:rPr>
          <w:rFonts w:ascii="David" w:hAnsi="David" w:cs="David" w:hint="cs"/>
          <w:rtl/>
        </w:rPr>
        <w:t xml:space="preserve"> לאחר מכן, הרי שטענה זו כבר נדחתה בהלכה הפסוקה ולשם כך מפנה הועדה המקומית </w:t>
      </w:r>
      <w:r>
        <w:rPr>
          <w:rFonts w:ascii="David" w:hAnsi="David" w:cs="David" w:hint="cs"/>
          <w:rtl/>
        </w:rPr>
        <w:t>לערר ש.פ מהנגב (</w:t>
      </w:r>
      <w:r w:rsidRPr="007B5E4B">
        <w:rPr>
          <w:rFonts w:ascii="David" w:hAnsi="David" w:cs="David" w:hint="cs"/>
          <w:rtl/>
        </w:rPr>
        <w:t>ערר 86139/11</w:t>
      </w:r>
      <w:r>
        <w:rPr>
          <w:rFonts w:ascii="David" w:hAnsi="David" w:cs="David" w:hint="cs"/>
          <w:rtl/>
        </w:rPr>
        <w:t xml:space="preserve">) </w:t>
      </w:r>
      <w:r w:rsidRPr="007B5E4B">
        <w:rPr>
          <w:rFonts w:ascii="David" w:hAnsi="David" w:cs="David" w:hint="cs"/>
          <w:rtl/>
        </w:rPr>
        <w:t xml:space="preserve">וכן </w:t>
      </w:r>
      <w:r>
        <w:rPr>
          <w:rFonts w:ascii="David" w:hAnsi="David" w:cs="David" w:hint="cs"/>
          <w:rtl/>
        </w:rPr>
        <w:t xml:space="preserve"> "הריבוע הכחול" (</w:t>
      </w:r>
      <w:proofErr w:type="spellStart"/>
      <w:r w:rsidRPr="007B5E4B">
        <w:rPr>
          <w:rFonts w:ascii="David" w:hAnsi="David" w:cs="David" w:hint="cs"/>
          <w:rtl/>
        </w:rPr>
        <w:t>עמ"נ</w:t>
      </w:r>
      <w:proofErr w:type="spellEnd"/>
      <w:r w:rsidRPr="007B5E4B">
        <w:rPr>
          <w:rFonts w:ascii="David" w:hAnsi="David" w:cs="David" w:hint="cs"/>
          <w:rtl/>
        </w:rPr>
        <w:t xml:space="preserve"> 24069-06-14</w:t>
      </w:r>
      <w:r>
        <w:rPr>
          <w:rFonts w:ascii="David" w:hAnsi="David" w:cs="David" w:hint="cs"/>
          <w:rtl/>
        </w:rPr>
        <w:t xml:space="preserve">). </w:t>
      </w:r>
    </w:p>
    <w:p w:rsidR="00F608CC" w:rsidRPr="007B5E4B" w:rsidRDefault="00F608CC" w:rsidP="00F608CC">
      <w:pPr>
        <w:pStyle w:val="a9"/>
        <w:tabs>
          <w:tab w:val="left" w:pos="425"/>
        </w:tabs>
        <w:spacing w:line="360" w:lineRule="auto"/>
        <w:ind w:left="360"/>
        <w:jc w:val="both"/>
        <w:rPr>
          <w:rFonts w:ascii="David" w:hAnsi="David" w:cs="David"/>
          <w:rtl/>
        </w:rPr>
      </w:pPr>
    </w:p>
    <w:p w:rsidR="00F608CC" w:rsidRDefault="00F608CC" w:rsidP="00F608CC">
      <w:pPr>
        <w:tabs>
          <w:tab w:val="left" w:pos="1244"/>
        </w:tabs>
        <w:spacing w:line="360" w:lineRule="auto"/>
        <w:jc w:val="both"/>
        <w:rPr>
          <w:rFonts w:ascii="David" w:hAnsi="David" w:cs="David"/>
          <w:b/>
          <w:bCs/>
          <w:u w:val="thick"/>
          <w:rtl/>
        </w:rPr>
      </w:pPr>
      <w:r w:rsidRPr="004B30C1">
        <w:rPr>
          <w:rFonts w:ascii="David" w:hAnsi="David" w:cs="David" w:hint="cs"/>
          <w:b/>
          <w:bCs/>
          <w:u w:val="thick"/>
          <w:rtl/>
        </w:rPr>
        <w:t xml:space="preserve">דיון והכרעה </w:t>
      </w:r>
    </w:p>
    <w:p w:rsidR="00F608CC" w:rsidRDefault="00F608CC" w:rsidP="00A81A18">
      <w:pPr>
        <w:pStyle w:val="a9"/>
        <w:numPr>
          <w:ilvl w:val="0"/>
          <w:numId w:val="1"/>
        </w:numPr>
        <w:tabs>
          <w:tab w:val="left" w:pos="425"/>
        </w:tabs>
        <w:spacing w:line="360" w:lineRule="auto"/>
        <w:jc w:val="both"/>
        <w:rPr>
          <w:rFonts w:ascii="David" w:hAnsi="David" w:cs="David"/>
        </w:rPr>
      </w:pPr>
      <w:r w:rsidRPr="00F608CC">
        <w:rPr>
          <w:rFonts w:ascii="David" w:hAnsi="David" w:cs="David" w:hint="cs"/>
          <w:rtl/>
        </w:rPr>
        <w:t>בסעיף 14.3.6 לשומות המכריעות קובעת השמאית המכריעה בהתייחס ליח"ד שנמכרו לאחר אישור התכנית כדלקמן:</w:t>
      </w:r>
    </w:p>
    <w:p w:rsidR="00F608CC" w:rsidRDefault="00F608CC" w:rsidP="00F608CC">
      <w:pPr>
        <w:pStyle w:val="a9"/>
        <w:tabs>
          <w:tab w:val="left" w:pos="425"/>
        </w:tabs>
        <w:spacing w:line="360" w:lineRule="auto"/>
        <w:ind w:left="360"/>
        <w:jc w:val="center"/>
        <w:rPr>
          <w:noProof/>
          <w:rtl/>
        </w:rPr>
      </w:pPr>
    </w:p>
    <w:p w:rsidR="00F608CC" w:rsidRDefault="00F608CC" w:rsidP="00F608CC">
      <w:pPr>
        <w:pStyle w:val="a9"/>
        <w:tabs>
          <w:tab w:val="left" w:pos="425"/>
        </w:tabs>
        <w:spacing w:line="360" w:lineRule="auto"/>
        <w:ind w:left="360"/>
        <w:rPr>
          <w:rFonts w:ascii="David" w:hAnsi="David" w:cs="David"/>
          <w:b/>
          <w:bCs/>
          <w:color w:val="FF0000"/>
          <w:u w:val="single"/>
        </w:rPr>
      </w:pPr>
      <w:r>
        <w:rPr>
          <w:rFonts w:hint="cs"/>
          <w:noProof/>
          <w:rtl/>
        </w:rPr>
        <w:t xml:space="preserve">      </w:t>
      </w:r>
      <w:r>
        <w:rPr>
          <w:rFonts w:hint="cs"/>
          <w:noProof/>
        </w:rPr>
        <w:drawing>
          <wp:inline distT="0" distB="0" distL="0" distR="0" wp14:anchorId="287EFD2A" wp14:editId="2AC30DF3">
            <wp:extent cx="4473526" cy="2110719"/>
            <wp:effectExtent l="0" t="0" r="3810" b="4445"/>
            <wp:docPr id="89499026" name="תמונה 89499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8"/>
                    <a:srcRect t="7406" r="523"/>
                    <a:stretch>
                      <a:fillRect/>
                    </a:stretch>
                  </pic:blipFill>
                  <pic:spPr bwMode="auto">
                    <a:xfrm>
                      <a:off x="0" y="0"/>
                      <a:ext cx="4474569" cy="2111211"/>
                    </a:xfrm>
                    <a:prstGeom prst="rect">
                      <a:avLst/>
                    </a:prstGeom>
                    <a:noFill/>
                    <a:ln>
                      <a:noFill/>
                    </a:ln>
                    <a:extLst>
                      <a:ext uri="{53640926-AAD7-44D8-BBD7-CCE9431645EC}">
                        <a14:shadowObscured xmlns:a14="http://schemas.microsoft.com/office/drawing/2010/main"/>
                      </a:ext>
                    </a:extLst>
                  </pic:spPr>
                </pic:pic>
              </a:graphicData>
            </a:graphic>
          </wp:inline>
        </w:drawing>
      </w:r>
    </w:p>
    <w:p w:rsidR="00F608CC" w:rsidRDefault="00F608CC" w:rsidP="002A5269">
      <w:pPr>
        <w:pStyle w:val="a9"/>
        <w:numPr>
          <w:ilvl w:val="0"/>
          <w:numId w:val="1"/>
        </w:numPr>
        <w:tabs>
          <w:tab w:val="left" w:pos="425"/>
        </w:tabs>
        <w:spacing w:line="360" w:lineRule="auto"/>
        <w:ind w:left="357" w:hanging="357"/>
        <w:contextualSpacing w:val="0"/>
        <w:jc w:val="both"/>
        <w:rPr>
          <w:rFonts w:ascii="David" w:hAnsi="David" w:cs="David"/>
        </w:rPr>
      </w:pPr>
      <w:r w:rsidRPr="0064650C">
        <w:rPr>
          <w:rFonts w:ascii="David" w:hAnsi="David" w:cs="David" w:hint="cs"/>
          <w:rtl/>
        </w:rPr>
        <w:t xml:space="preserve">עינינו הרואות, </w:t>
      </w:r>
      <w:r>
        <w:rPr>
          <w:rFonts w:ascii="David" w:hAnsi="David" w:cs="David" w:hint="cs"/>
          <w:rtl/>
        </w:rPr>
        <w:t xml:space="preserve">כי </w:t>
      </w:r>
      <w:r w:rsidRPr="0064650C">
        <w:rPr>
          <w:rFonts w:ascii="David" w:hAnsi="David" w:cs="David" w:hint="cs"/>
          <w:rtl/>
        </w:rPr>
        <w:t>השמאית המכריעה סבורה כי יש לקזז מהיטל ההשבחה את החלק היחסי בגין הדירות שנמכרו לאחר אישור התכניות המשביחות ולפני הוצאת היתר הבניה</w:t>
      </w:r>
      <w:r>
        <w:rPr>
          <w:rFonts w:ascii="David" w:hAnsi="David" w:cs="David" w:hint="cs"/>
          <w:rtl/>
        </w:rPr>
        <w:t xml:space="preserve">, </w:t>
      </w:r>
      <w:r w:rsidRPr="0064650C">
        <w:rPr>
          <w:rFonts w:ascii="David" w:hAnsi="David" w:cs="David" w:hint="cs"/>
          <w:rtl/>
        </w:rPr>
        <w:t xml:space="preserve">אך </w:t>
      </w:r>
      <w:r w:rsidR="00BA48B0">
        <w:rPr>
          <w:rFonts w:ascii="David" w:hAnsi="David" w:cs="David" w:hint="cs"/>
          <w:rtl/>
        </w:rPr>
        <w:t xml:space="preserve">נראה כי </w:t>
      </w:r>
      <w:r w:rsidRPr="0064650C">
        <w:rPr>
          <w:rFonts w:ascii="David" w:hAnsi="David" w:cs="David" w:hint="cs"/>
          <w:rtl/>
        </w:rPr>
        <w:t>היא אינה מורה כ</w:t>
      </w:r>
      <w:r w:rsidR="00BA48B0">
        <w:rPr>
          <w:rFonts w:ascii="David" w:hAnsi="David" w:cs="David" w:hint="cs"/>
          <w:rtl/>
        </w:rPr>
        <w:t xml:space="preserve">ן </w:t>
      </w:r>
      <w:r w:rsidRPr="0064650C">
        <w:rPr>
          <w:rFonts w:ascii="David" w:hAnsi="David" w:cs="David" w:hint="cs"/>
          <w:rtl/>
        </w:rPr>
        <w:t xml:space="preserve"> מטעמים פרוצדוראליים ובשל העדר נתונים בנושא</w:t>
      </w:r>
      <w:r>
        <w:rPr>
          <w:rFonts w:ascii="David" w:hAnsi="David" w:cs="David" w:hint="cs"/>
          <w:rtl/>
        </w:rPr>
        <w:t xml:space="preserve"> מצד הועדה ה</w:t>
      </w:r>
      <w:r w:rsidR="00650D94">
        <w:rPr>
          <w:rFonts w:ascii="David" w:hAnsi="David" w:cs="David" w:hint="cs"/>
          <w:rtl/>
        </w:rPr>
        <w:t>מקו</w:t>
      </w:r>
      <w:r>
        <w:rPr>
          <w:rFonts w:ascii="David" w:hAnsi="David" w:cs="David" w:hint="cs"/>
          <w:rtl/>
        </w:rPr>
        <w:t>מית</w:t>
      </w:r>
      <w:r w:rsidRPr="0064650C">
        <w:rPr>
          <w:rFonts w:ascii="David" w:hAnsi="David" w:cs="David" w:hint="cs"/>
          <w:rtl/>
        </w:rPr>
        <w:t xml:space="preserve">. </w:t>
      </w:r>
    </w:p>
    <w:p w:rsidR="00F608CC" w:rsidRPr="007E5672" w:rsidRDefault="00F608CC" w:rsidP="002A5269">
      <w:pPr>
        <w:pStyle w:val="a9"/>
        <w:numPr>
          <w:ilvl w:val="0"/>
          <w:numId w:val="1"/>
        </w:numPr>
        <w:tabs>
          <w:tab w:val="left" w:pos="425"/>
        </w:tabs>
        <w:spacing w:line="360" w:lineRule="auto"/>
        <w:ind w:left="357" w:hanging="357"/>
        <w:contextualSpacing w:val="0"/>
        <w:jc w:val="both"/>
        <w:rPr>
          <w:rFonts w:ascii="David" w:hAnsi="David" w:cs="David"/>
        </w:rPr>
      </w:pPr>
      <w:r>
        <w:rPr>
          <w:rFonts w:ascii="David" w:hAnsi="David" w:cs="David" w:hint="cs"/>
          <w:rtl/>
        </w:rPr>
        <w:t xml:space="preserve">העובדה </w:t>
      </w:r>
      <w:r w:rsidR="000575E4">
        <w:rPr>
          <w:rFonts w:ascii="David" w:hAnsi="David" w:cs="David" w:hint="cs"/>
          <w:rtl/>
        </w:rPr>
        <w:t>ש</w:t>
      </w:r>
      <w:r w:rsidR="006A431B">
        <w:rPr>
          <w:rFonts w:ascii="David" w:hAnsi="David" w:cs="David" w:hint="cs"/>
          <w:rtl/>
        </w:rPr>
        <w:t>כפי ש</w:t>
      </w:r>
      <w:r w:rsidR="000575E4">
        <w:rPr>
          <w:rFonts w:ascii="David" w:hAnsi="David" w:cs="David" w:hint="cs"/>
          <w:rtl/>
        </w:rPr>
        <w:t xml:space="preserve">עולה מהשומות המכריעות הצדדים היו תמימי דעים כי יש לחשב את ההשבחה עבור 100% מהזכויות בכל מדרגת השבחה במימוש הזכויות בהיתר בניה </w:t>
      </w:r>
      <w:r>
        <w:rPr>
          <w:rFonts w:ascii="David" w:hAnsi="David" w:cs="David" w:hint="cs"/>
          <w:rtl/>
        </w:rPr>
        <w:t>יכולה לנבוע ממספר טעמים</w:t>
      </w:r>
      <w:r w:rsidR="000575E4">
        <w:rPr>
          <w:rFonts w:ascii="David" w:hAnsi="David" w:cs="David" w:hint="cs"/>
          <w:rtl/>
        </w:rPr>
        <w:t xml:space="preserve"> כגון הצורך לייעל ההליך </w:t>
      </w:r>
      <w:proofErr w:type="spellStart"/>
      <w:r w:rsidR="000575E4">
        <w:rPr>
          <w:rFonts w:ascii="David" w:hAnsi="David" w:cs="David" w:hint="cs"/>
          <w:rtl/>
        </w:rPr>
        <w:t>וכו</w:t>
      </w:r>
      <w:proofErr w:type="spellEnd"/>
      <w:r w:rsidR="000575E4">
        <w:rPr>
          <w:rFonts w:ascii="David" w:hAnsi="David" w:cs="David" w:hint="cs"/>
          <w:rtl/>
        </w:rPr>
        <w:t>',</w:t>
      </w:r>
      <w:r>
        <w:rPr>
          <w:rFonts w:ascii="David" w:hAnsi="David" w:cs="David" w:hint="cs"/>
          <w:rtl/>
        </w:rPr>
        <w:t xml:space="preserve"> אך לטעמנו לא רק שאין ב</w:t>
      </w:r>
      <w:r w:rsidR="000575E4">
        <w:rPr>
          <w:rFonts w:ascii="David" w:hAnsi="David" w:cs="David" w:hint="cs"/>
          <w:rtl/>
        </w:rPr>
        <w:t>כך</w:t>
      </w:r>
      <w:r>
        <w:rPr>
          <w:rFonts w:ascii="David" w:hAnsi="David" w:cs="David" w:hint="cs"/>
          <w:rtl/>
        </w:rPr>
        <w:t xml:space="preserve"> כדי ללמד בהכרח כי החברה התכוונה לוותר על זכותה לקזז מימושי עבר</w:t>
      </w:r>
      <w:r w:rsidR="00BA48B0">
        <w:rPr>
          <w:rFonts w:ascii="David" w:hAnsi="David" w:cs="David" w:hint="cs"/>
          <w:rtl/>
        </w:rPr>
        <w:t xml:space="preserve"> על ידי בעלי דירות שעשו מימושים בעבר</w:t>
      </w:r>
      <w:r>
        <w:rPr>
          <w:rFonts w:ascii="David" w:hAnsi="David" w:cs="David" w:hint="cs"/>
          <w:rtl/>
        </w:rPr>
        <w:t>, בפרט שהועדה המקומית לא המציאה נתונים אלה</w:t>
      </w:r>
      <w:r w:rsidR="00DB1B31">
        <w:rPr>
          <w:rFonts w:ascii="David" w:hAnsi="David" w:cs="David" w:hint="cs"/>
          <w:rtl/>
        </w:rPr>
        <w:t xml:space="preserve"> בהליך השמאות המכרעת</w:t>
      </w:r>
      <w:r w:rsidR="00650D94">
        <w:rPr>
          <w:rFonts w:ascii="David" w:hAnsi="David" w:cs="David" w:hint="cs"/>
          <w:rtl/>
        </w:rPr>
        <w:t>,</w:t>
      </w:r>
      <w:r>
        <w:rPr>
          <w:rFonts w:ascii="David" w:hAnsi="David" w:cs="David" w:hint="cs"/>
          <w:rtl/>
        </w:rPr>
        <w:t xml:space="preserve"> אלא</w:t>
      </w:r>
      <w:r w:rsidR="000575E4">
        <w:rPr>
          <w:rFonts w:ascii="David" w:hAnsi="David" w:cs="David" w:hint="cs"/>
          <w:rtl/>
        </w:rPr>
        <w:t>,</w:t>
      </w:r>
      <w:r>
        <w:rPr>
          <w:rFonts w:ascii="David" w:hAnsi="David" w:cs="David" w:hint="cs"/>
          <w:rtl/>
        </w:rPr>
        <w:t xml:space="preserve"> שאיננו רואים סיבה </w:t>
      </w:r>
      <w:r w:rsidR="000575E4">
        <w:rPr>
          <w:rFonts w:ascii="David" w:hAnsi="David" w:cs="David" w:hint="cs"/>
          <w:rtl/>
        </w:rPr>
        <w:t>לכך שבנ</w:t>
      </w:r>
      <w:r w:rsidR="00DB1B31">
        <w:rPr>
          <w:rFonts w:ascii="David" w:hAnsi="David" w:cs="David" w:hint="cs"/>
          <w:rtl/>
        </w:rPr>
        <w:t>ו</w:t>
      </w:r>
      <w:r w:rsidR="000575E4">
        <w:rPr>
          <w:rFonts w:ascii="David" w:hAnsi="David" w:cs="David" w:hint="cs"/>
          <w:rtl/>
        </w:rPr>
        <w:t>תנה הסכמה לשמאית לקבוע את ההשבחה במלואה התכוונה החברה לשאת בהיטל השבחה בגין מימושי עבר שקדמו לרכישת הזכויות על ידה</w:t>
      </w:r>
      <w:r w:rsidR="00650D94">
        <w:rPr>
          <w:rFonts w:ascii="David" w:hAnsi="David" w:cs="David" w:hint="cs"/>
          <w:rtl/>
        </w:rPr>
        <w:t>.</w:t>
      </w:r>
      <w:r>
        <w:rPr>
          <w:rFonts w:ascii="David" w:hAnsi="David" w:cs="David" w:hint="cs"/>
          <w:rtl/>
        </w:rPr>
        <w:t xml:space="preserve"> </w:t>
      </w:r>
      <w:r w:rsidR="00CD0F24">
        <w:rPr>
          <w:rFonts w:ascii="David" w:hAnsi="David" w:cs="David" w:hint="cs"/>
          <w:rtl/>
        </w:rPr>
        <w:t>כל כוונה אחרת לטעמנו לא תעלה בקנה אחד עם ההיגיון הפשוט ו</w:t>
      </w:r>
      <w:r w:rsidR="00CD0F24" w:rsidRPr="007E5672">
        <w:rPr>
          <w:rFonts w:ascii="David" w:hAnsi="David" w:cs="David" w:hint="cs"/>
          <w:rtl/>
        </w:rPr>
        <w:t>השכל הישר.</w:t>
      </w:r>
    </w:p>
    <w:p w:rsidR="000D3D18" w:rsidRPr="007E5672" w:rsidRDefault="00F608CC" w:rsidP="006A431B">
      <w:pPr>
        <w:pStyle w:val="a9"/>
        <w:numPr>
          <w:ilvl w:val="0"/>
          <w:numId w:val="1"/>
        </w:numPr>
        <w:tabs>
          <w:tab w:val="left" w:pos="425"/>
        </w:tabs>
        <w:spacing w:line="360" w:lineRule="auto"/>
        <w:contextualSpacing w:val="0"/>
        <w:jc w:val="both"/>
        <w:rPr>
          <w:rFonts w:ascii="David" w:hAnsi="David" w:cs="David"/>
          <w:u w:val="single"/>
        </w:rPr>
      </w:pPr>
      <w:r w:rsidRPr="007E5672">
        <w:rPr>
          <w:rFonts w:ascii="David" w:hAnsi="David" w:cs="David" w:hint="cs"/>
          <w:rtl/>
        </w:rPr>
        <w:t>לאור האמור לעיל</w:t>
      </w:r>
      <w:r w:rsidR="00BA48B0" w:rsidRPr="007E5672">
        <w:rPr>
          <w:rFonts w:ascii="David" w:hAnsi="David" w:cs="David" w:hint="cs"/>
          <w:rtl/>
        </w:rPr>
        <w:t>,</w:t>
      </w:r>
      <w:r w:rsidRPr="007E5672">
        <w:rPr>
          <w:rFonts w:ascii="David" w:hAnsi="David" w:cs="David" w:hint="cs"/>
          <w:rtl/>
        </w:rPr>
        <w:t xml:space="preserve"> אנו מורים כי על הוועדה המקומית להמציא את מלוא הנתונים בנושא </w:t>
      </w:r>
      <w:r w:rsidR="000D3D18" w:rsidRPr="007E5672">
        <w:rPr>
          <w:rFonts w:ascii="David" w:hAnsi="David" w:cs="David"/>
          <w:u w:val="single"/>
          <w:rtl/>
        </w:rPr>
        <w:t xml:space="preserve">לידי </w:t>
      </w:r>
      <w:r w:rsidR="000D3D18" w:rsidRPr="007E5672">
        <w:rPr>
          <w:rFonts w:ascii="David" w:hAnsi="David" w:cs="David" w:hint="cs"/>
          <w:u w:val="single"/>
          <w:rtl/>
        </w:rPr>
        <w:t>השמאית המכריעה בתוך 30 יום ממועד החלטתנו</w:t>
      </w:r>
      <w:r w:rsidR="000D3D18" w:rsidRPr="007E5672">
        <w:rPr>
          <w:rFonts w:ascii="David" w:hAnsi="David" w:cs="David"/>
          <w:u w:val="single"/>
          <w:rtl/>
        </w:rPr>
        <w:t xml:space="preserve"> ובהתאם </w:t>
      </w:r>
      <w:r w:rsidR="000D3D18" w:rsidRPr="007E5672">
        <w:rPr>
          <w:rFonts w:ascii="David" w:hAnsi="David" w:cs="David" w:hint="cs"/>
          <w:u w:val="single"/>
          <w:rtl/>
        </w:rPr>
        <w:t xml:space="preserve">מתבקשת השמאית המכריעה </w:t>
      </w:r>
      <w:r w:rsidR="000D3D18" w:rsidRPr="007E5672">
        <w:rPr>
          <w:rFonts w:ascii="David" w:hAnsi="David" w:cs="David"/>
          <w:u w:val="single"/>
          <w:rtl/>
        </w:rPr>
        <w:t>לקזז את מימוש העבר בגין החלק היחסי של מכירת דירות אלו מהיטל ההשבחה מושא העררים</w:t>
      </w:r>
      <w:r w:rsidR="000D3D18" w:rsidRPr="007E5672">
        <w:rPr>
          <w:rFonts w:ascii="David" w:hAnsi="David" w:cs="David" w:hint="cs"/>
          <w:u w:val="single"/>
          <w:rtl/>
        </w:rPr>
        <w:t xml:space="preserve"> ולתקן את התחשיב בהתאם. </w:t>
      </w:r>
    </w:p>
    <w:p w:rsidR="00F608CC" w:rsidRDefault="00F608CC" w:rsidP="002A5269">
      <w:pPr>
        <w:pStyle w:val="a9"/>
        <w:numPr>
          <w:ilvl w:val="0"/>
          <w:numId w:val="1"/>
        </w:numPr>
        <w:tabs>
          <w:tab w:val="left" w:pos="425"/>
        </w:tabs>
        <w:spacing w:line="360" w:lineRule="auto"/>
        <w:ind w:left="357" w:hanging="357"/>
        <w:contextualSpacing w:val="0"/>
        <w:jc w:val="both"/>
        <w:rPr>
          <w:rFonts w:ascii="David" w:hAnsi="David" w:cs="David"/>
        </w:rPr>
      </w:pPr>
      <w:r w:rsidRPr="00F608CC">
        <w:rPr>
          <w:rFonts w:ascii="David" w:hAnsi="David" w:cs="David" w:hint="cs"/>
          <w:rtl/>
        </w:rPr>
        <w:t>נציין כי ככל והועדה המקומית סבורה כי ישנם מימושי</w:t>
      </w:r>
      <w:r w:rsidR="00650D94">
        <w:rPr>
          <w:rFonts w:ascii="David" w:hAnsi="David" w:cs="David" w:hint="cs"/>
          <w:rtl/>
        </w:rPr>
        <w:t xml:space="preserve"> עבר</w:t>
      </w:r>
      <w:r w:rsidRPr="00F608CC">
        <w:rPr>
          <w:rFonts w:ascii="David" w:hAnsi="David" w:cs="David" w:hint="cs"/>
          <w:rtl/>
        </w:rPr>
        <w:t xml:space="preserve"> בגינם היא שכחה לגבות</w:t>
      </w:r>
      <w:r w:rsidR="00650D94">
        <w:rPr>
          <w:rFonts w:ascii="David" w:hAnsi="David" w:cs="David" w:hint="cs"/>
          <w:rtl/>
        </w:rPr>
        <w:t xml:space="preserve"> היטל השבחה</w:t>
      </w:r>
      <w:r w:rsidRPr="00F608CC">
        <w:rPr>
          <w:rFonts w:ascii="David" w:hAnsi="David" w:cs="David" w:hint="cs"/>
          <w:rtl/>
        </w:rPr>
        <w:t xml:space="preserve">, פתוחה בפניה </w:t>
      </w:r>
      <w:r w:rsidR="00650D94">
        <w:rPr>
          <w:rFonts w:ascii="David" w:hAnsi="David" w:cs="David" w:hint="cs"/>
          <w:rtl/>
        </w:rPr>
        <w:t>הדרך</w:t>
      </w:r>
      <w:r w:rsidRPr="00F608CC">
        <w:rPr>
          <w:rFonts w:ascii="David" w:hAnsi="David" w:cs="David" w:hint="cs"/>
          <w:rtl/>
        </w:rPr>
        <w:t xml:space="preserve"> לעשות כן </w:t>
      </w:r>
      <w:r w:rsidR="00650D94">
        <w:rPr>
          <w:rFonts w:ascii="David" w:hAnsi="David" w:cs="David" w:hint="cs"/>
          <w:rtl/>
        </w:rPr>
        <w:t>מול אותם נישומים</w:t>
      </w:r>
      <w:r w:rsidR="004A1859">
        <w:rPr>
          <w:rFonts w:ascii="David" w:hAnsi="David" w:cs="David" w:hint="cs"/>
          <w:rtl/>
        </w:rPr>
        <w:t xml:space="preserve"> מהם לא גבתה</w:t>
      </w:r>
      <w:r w:rsidR="00650D94">
        <w:rPr>
          <w:rFonts w:ascii="David" w:hAnsi="David" w:cs="David" w:hint="cs"/>
          <w:rtl/>
        </w:rPr>
        <w:t xml:space="preserve"> </w:t>
      </w:r>
      <w:r w:rsidRPr="00F608CC">
        <w:rPr>
          <w:rFonts w:ascii="David" w:hAnsi="David" w:cs="David" w:hint="cs"/>
          <w:rtl/>
        </w:rPr>
        <w:t>בכפוף לדיני השיהוי וההתיישנות</w:t>
      </w:r>
      <w:r w:rsidR="00650D94">
        <w:rPr>
          <w:rFonts w:ascii="David" w:hAnsi="David" w:cs="David" w:hint="cs"/>
          <w:rtl/>
        </w:rPr>
        <w:t>, אך וודאי לא להטיל זאת על כתפי החברה</w:t>
      </w:r>
      <w:r w:rsidR="004A1859">
        <w:rPr>
          <w:rFonts w:ascii="David" w:hAnsi="David" w:cs="David" w:hint="cs"/>
          <w:rtl/>
        </w:rPr>
        <w:t xml:space="preserve"> בדרך של ה</w:t>
      </w:r>
      <w:r w:rsidR="00DB1B31">
        <w:rPr>
          <w:rFonts w:ascii="David" w:hAnsi="David" w:cs="David" w:hint="cs"/>
          <w:rtl/>
        </w:rPr>
        <w:t>י</w:t>
      </w:r>
      <w:r w:rsidR="004A1859">
        <w:rPr>
          <w:rFonts w:ascii="David" w:hAnsi="David" w:cs="David" w:hint="cs"/>
          <w:rtl/>
        </w:rPr>
        <w:t>מנעות מלקזז מ</w:t>
      </w:r>
      <w:r w:rsidR="00DB1B31">
        <w:rPr>
          <w:rFonts w:ascii="David" w:hAnsi="David" w:cs="David" w:hint="cs"/>
          <w:rtl/>
        </w:rPr>
        <w:t>היטל ה</w:t>
      </w:r>
      <w:r w:rsidR="00BA48B0">
        <w:rPr>
          <w:rFonts w:ascii="David" w:hAnsi="David" w:cs="David" w:hint="cs"/>
          <w:rtl/>
        </w:rPr>
        <w:t>הש</w:t>
      </w:r>
      <w:r w:rsidR="00DB1B31">
        <w:rPr>
          <w:rFonts w:ascii="David" w:hAnsi="David" w:cs="David" w:hint="cs"/>
          <w:rtl/>
        </w:rPr>
        <w:t>בחה</w:t>
      </w:r>
      <w:r w:rsidR="004A1859">
        <w:rPr>
          <w:rFonts w:ascii="David" w:hAnsi="David" w:cs="David" w:hint="cs"/>
          <w:rtl/>
        </w:rPr>
        <w:t xml:space="preserve"> שנקבעה כלפי החברה.</w:t>
      </w:r>
      <w:r w:rsidR="00650D94">
        <w:rPr>
          <w:rFonts w:ascii="David" w:hAnsi="David" w:cs="David" w:hint="cs"/>
          <w:rtl/>
        </w:rPr>
        <w:t xml:space="preserve"> </w:t>
      </w:r>
      <w:r w:rsidRPr="00F608CC">
        <w:rPr>
          <w:rFonts w:ascii="David" w:hAnsi="David" w:cs="David" w:hint="cs"/>
          <w:rtl/>
        </w:rPr>
        <w:t xml:space="preserve"> </w:t>
      </w:r>
      <w:r w:rsidR="00650D94">
        <w:rPr>
          <w:rFonts w:ascii="David" w:hAnsi="David" w:cs="David" w:hint="cs"/>
          <w:rtl/>
        </w:rPr>
        <w:t>ר' לעניין זה ערר חי 8029-05</w:t>
      </w:r>
      <w:r w:rsidR="005751FA">
        <w:rPr>
          <w:rFonts w:ascii="David" w:hAnsi="David" w:cs="David" w:hint="cs"/>
          <w:rtl/>
        </w:rPr>
        <w:t>-</w:t>
      </w:r>
      <w:r w:rsidR="00650D94">
        <w:rPr>
          <w:rFonts w:ascii="David" w:hAnsi="David" w:cs="David" w:hint="cs"/>
          <w:rtl/>
        </w:rPr>
        <w:t xml:space="preserve">19 </w:t>
      </w:r>
      <w:r w:rsidR="00650D94" w:rsidRPr="005751FA">
        <w:rPr>
          <w:rFonts w:ascii="David" w:hAnsi="David" w:cs="David" w:hint="cs"/>
          <w:b/>
          <w:bCs/>
          <w:u w:val="single"/>
          <w:rtl/>
        </w:rPr>
        <w:t>נמל ספנות ישרא</w:t>
      </w:r>
      <w:r w:rsidR="005751FA" w:rsidRPr="005751FA">
        <w:rPr>
          <w:rFonts w:ascii="David" w:hAnsi="David" w:cs="David" w:hint="cs"/>
          <w:b/>
          <w:bCs/>
          <w:u w:val="single"/>
          <w:rtl/>
        </w:rPr>
        <w:t>ל</w:t>
      </w:r>
      <w:r w:rsidR="00650D94" w:rsidRPr="005751FA">
        <w:rPr>
          <w:rFonts w:ascii="David" w:hAnsi="David" w:cs="David" w:hint="cs"/>
          <w:b/>
          <w:bCs/>
          <w:u w:val="single"/>
          <w:rtl/>
        </w:rPr>
        <w:t xml:space="preserve"> בע"מ נ' </w:t>
      </w:r>
      <w:proofErr w:type="spellStart"/>
      <w:r w:rsidR="00650D94" w:rsidRPr="005751FA">
        <w:rPr>
          <w:rFonts w:ascii="David" w:hAnsi="David" w:cs="David" w:hint="cs"/>
          <w:b/>
          <w:bCs/>
          <w:u w:val="single"/>
          <w:rtl/>
        </w:rPr>
        <w:t>הו</w:t>
      </w:r>
      <w:r w:rsidR="008C6CED">
        <w:rPr>
          <w:rFonts w:ascii="David" w:hAnsi="David" w:cs="David" w:hint="cs"/>
          <w:b/>
          <w:bCs/>
          <w:u w:val="single"/>
          <w:rtl/>
        </w:rPr>
        <w:t>"מ</w:t>
      </w:r>
      <w:proofErr w:type="spellEnd"/>
      <w:r w:rsidR="00650D94" w:rsidRPr="005751FA">
        <w:rPr>
          <w:rFonts w:ascii="David" w:hAnsi="David" w:cs="David" w:hint="cs"/>
          <w:b/>
          <w:bCs/>
          <w:u w:val="single"/>
          <w:rtl/>
        </w:rPr>
        <w:t xml:space="preserve"> לתכנון ולבניה חיפה</w:t>
      </w:r>
      <w:r w:rsidR="00650D94">
        <w:rPr>
          <w:rFonts w:ascii="David" w:hAnsi="David" w:cs="David" w:hint="cs"/>
          <w:rtl/>
        </w:rPr>
        <w:t xml:space="preserve"> (נבו </w:t>
      </w:r>
      <w:r w:rsidR="005751FA">
        <w:rPr>
          <w:rFonts w:ascii="David" w:hAnsi="David" w:cs="David" w:hint="cs"/>
          <w:rtl/>
        </w:rPr>
        <w:t>17.10.21)</w:t>
      </w:r>
      <w:r w:rsidR="004A1859">
        <w:rPr>
          <w:rFonts w:ascii="David" w:hAnsi="David" w:cs="David" w:hint="cs"/>
          <w:rtl/>
        </w:rPr>
        <w:t xml:space="preserve">. </w:t>
      </w:r>
    </w:p>
    <w:p w:rsidR="00236F3C" w:rsidRDefault="00236F3C" w:rsidP="008C6CED">
      <w:pPr>
        <w:pStyle w:val="2"/>
        <w:rPr>
          <w:rtl/>
        </w:rPr>
      </w:pPr>
      <w:bookmarkStart w:id="48" w:name="_Toc203992523"/>
    </w:p>
    <w:p w:rsidR="00502BD0" w:rsidRPr="00231F7D" w:rsidRDefault="006709A3" w:rsidP="008C6CED">
      <w:pPr>
        <w:pStyle w:val="2"/>
      </w:pPr>
      <w:r>
        <w:rPr>
          <w:rtl/>
        </w:rPr>
        <w:br/>
      </w:r>
      <w:bookmarkStart w:id="49" w:name="_Toc204504405"/>
      <w:r w:rsidR="00FE1F09" w:rsidRPr="00231F7D">
        <w:rPr>
          <w:rFonts w:hint="cs"/>
          <w:rtl/>
        </w:rPr>
        <w:t>ו</w:t>
      </w:r>
      <w:r w:rsidR="004B30C1" w:rsidRPr="00231F7D">
        <w:rPr>
          <w:rFonts w:hint="cs"/>
          <w:rtl/>
        </w:rPr>
        <w:t xml:space="preserve">. </w:t>
      </w:r>
      <w:r w:rsidR="00502BD0" w:rsidRPr="00231F7D">
        <w:rPr>
          <w:rFonts w:hint="cs"/>
          <w:rtl/>
        </w:rPr>
        <w:t>ריבי</w:t>
      </w:r>
      <w:r w:rsidR="00332D35" w:rsidRPr="00231F7D">
        <w:rPr>
          <w:rFonts w:hint="cs"/>
          <w:rtl/>
        </w:rPr>
        <w:t xml:space="preserve">ת </w:t>
      </w:r>
      <w:r w:rsidR="00502BD0" w:rsidRPr="00231F7D">
        <w:rPr>
          <w:rFonts w:hint="cs"/>
          <w:rtl/>
        </w:rPr>
        <w:t>פיגורים</w:t>
      </w:r>
      <w:bookmarkEnd w:id="48"/>
      <w:bookmarkEnd w:id="49"/>
    </w:p>
    <w:p w:rsidR="00332D35" w:rsidRPr="00231F7D" w:rsidRDefault="00332D35" w:rsidP="00FB74E0">
      <w:pPr>
        <w:spacing w:line="360" w:lineRule="auto"/>
        <w:jc w:val="both"/>
        <w:rPr>
          <w:rFonts w:ascii="David" w:hAnsi="David" w:cs="David"/>
          <w:color w:val="000000" w:themeColor="text1"/>
          <w:u w:val="thick"/>
        </w:rPr>
      </w:pPr>
      <w:r w:rsidRPr="00231F7D">
        <w:rPr>
          <w:rFonts w:ascii="David" w:hAnsi="David" w:cs="David" w:hint="cs"/>
          <w:color w:val="000000" w:themeColor="text1"/>
          <w:u w:val="thick"/>
          <w:rtl/>
        </w:rPr>
        <w:t xml:space="preserve">טיעון החברה  </w:t>
      </w:r>
    </w:p>
    <w:p w:rsidR="00332D35" w:rsidRPr="00231F7D" w:rsidRDefault="00713CB8" w:rsidP="00FB74E0">
      <w:pPr>
        <w:pStyle w:val="a9"/>
        <w:numPr>
          <w:ilvl w:val="0"/>
          <w:numId w:val="1"/>
        </w:numPr>
        <w:spacing w:line="360" w:lineRule="auto"/>
        <w:jc w:val="both"/>
        <w:rPr>
          <w:rFonts w:ascii="David" w:hAnsi="David" w:cs="David"/>
          <w:color w:val="000000" w:themeColor="text1"/>
        </w:rPr>
      </w:pPr>
      <w:r w:rsidRPr="00231F7D">
        <w:rPr>
          <w:rFonts w:ascii="David" w:hAnsi="David" w:cs="David" w:hint="cs"/>
          <w:color w:val="000000" w:themeColor="text1"/>
          <w:rtl/>
        </w:rPr>
        <w:t xml:space="preserve">החברה בקשה כי ועדת הערר תורה על ביטול </w:t>
      </w:r>
      <w:r w:rsidR="006A431B">
        <w:rPr>
          <w:rFonts w:ascii="David" w:hAnsi="David" w:cs="David" w:hint="cs"/>
          <w:color w:val="000000" w:themeColor="text1"/>
          <w:rtl/>
        </w:rPr>
        <w:t>ה</w:t>
      </w:r>
      <w:r w:rsidR="00332D35" w:rsidRPr="00231F7D">
        <w:rPr>
          <w:rFonts w:ascii="David" w:hAnsi="David" w:cs="David" w:hint="cs"/>
          <w:color w:val="000000" w:themeColor="text1"/>
          <w:rtl/>
        </w:rPr>
        <w:t>חיוב בריבית פיגורים.</w:t>
      </w:r>
    </w:p>
    <w:p w:rsidR="00332D35" w:rsidRPr="00231F7D" w:rsidRDefault="00332D35" w:rsidP="00FB74E0">
      <w:pPr>
        <w:spacing w:line="360" w:lineRule="auto"/>
        <w:jc w:val="both"/>
        <w:rPr>
          <w:rFonts w:ascii="David" w:hAnsi="David" w:cs="David"/>
          <w:color w:val="000000" w:themeColor="text1"/>
          <w:u w:val="thick"/>
          <w:rtl/>
        </w:rPr>
      </w:pPr>
      <w:r w:rsidRPr="00231F7D">
        <w:rPr>
          <w:rFonts w:ascii="David" w:hAnsi="David" w:cs="David" w:hint="cs"/>
          <w:color w:val="000000" w:themeColor="text1"/>
          <w:u w:val="thick"/>
          <w:rtl/>
        </w:rPr>
        <w:t>תשובת הועדה המקומית</w:t>
      </w:r>
    </w:p>
    <w:p w:rsidR="00713CB8" w:rsidRPr="00231F7D" w:rsidRDefault="000F1F8D" w:rsidP="002A5269">
      <w:pPr>
        <w:pStyle w:val="a9"/>
        <w:numPr>
          <w:ilvl w:val="0"/>
          <w:numId w:val="1"/>
        </w:numPr>
        <w:tabs>
          <w:tab w:val="left" w:pos="142"/>
          <w:tab w:val="left" w:pos="425"/>
        </w:tabs>
        <w:spacing w:line="360" w:lineRule="auto"/>
        <w:ind w:left="357" w:hanging="357"/>
        <w:contextualSpacing w:val="0"/>
        <w:jc w:val="both"/>
        <w:rPr>
          <w:rFonts w:ascii="David" w:hAnsi="David" w:cs="David"/>
          <w:color w:val="000000" w:themeColor="text1"/>
        </w:rPr>
      </w:pPr>
      <w:r w:rsidRPr="00231F7D">
        <w:rPr>
          <w:rFonts w:ascii="David" w:hAnsi="David" w:cs="David" w:hint="cs"/>
          <w:color w:val="000000" w:themeColor="text1"/>
          <w:rtl/>
        </w:rPr>
        <w:t xml:space="preserve">עניין בקשת החברה לביטול ריבית פיגורים מצוי תחת שיקול דעתה של ועדת הערר בהתאם לסמכותה מכוח סעיף 16 לתוספת השלישית לאור מכלול הנסיבות הרלוונטיות לערר זה. </w:t>
      </w:r>
      <w:r w:rsidR="00713CB8" w:rsidRPr="00231F7D">
        <w:rPr>
          <w:rFonts w:ascii="David" w:hAnsi="David" w:cs="David" w:hint="cs"/>
          <w:color w:val="000000" w:themeColor="text1"/>
          <w:rtl/>
        </w:rPr>
        <w:t>ו</w:t>
      </w:r>
      <w:r w:rsidRPr="00231F7D">
        <w:rPr>
          <w:rFonts w:ascii="David" w:hAnsi="David" w:cs="David" w:hint="cs"/>
          <w:color w:val="000000" w:themeColor="text1"/>
          <w:rtl/>
        </w:rPr>
        <w:t>כעולה מהוראות סעיף 16 לתוספת השלישית עורך המחוקק אבחנה בין שני מועדים שונים:</w:t>
      </w:r>
      <w:r w:rsidR="00713CB8" w:rsidRPr="00231F7D">
        <w:rPr>
          <w:rFonts w:ascii="David" w:hAnsi="David" w:cs="David" w:hint="cs"/>
          <w:color w:val="000000" w:themeColor="text1"/>
          <w:rtl/>
        </w:rPr>
        <w:t xml:space="preserve"> האחת, </w:t>
      </w:r>
      <w:r w:rsidRPr="00231F7D">
        <w:rPr>
          <w:rFonts w:ascii="David" w:hAnsi="David" w:cs="David" w:hint="cs"/>
          <w:color w:val="000000" w:themeColor="text1"/>
          <w:rtl/>
        </w:rPr>
        <w:t xml:space="preserve">התקופה בה מתנהל הליך ההליך הערר/ערעור </w:t>
      </w:r>
      <w:r w:rsidRPr="00231F7D">
        <w:rPr>
          <w:rFonts w:ascii="David" w:hAnsi="David" w:cs="David"/>
          <w:color w:val="000000" w:themeColor="text1"/>
          <w:rtl/>
        </w:rPr>
        <w:t>–</w:t>
      </w:r>
      <w:r w:rsidRPr="00231F7D">
        <w:rPr>
          <w:rFonts w:ascii="David" w:hAnsi="David" w:cs="David" w:hint="cs"/>
          <w:color w:val="000000" w:themeColor="text1"/>
          <w:rtl/>
        </w:rPr>
        <w:t xml:space="preserve"> שיקול דעת מלא </w:t>
      </w:r>
      <w:proofErr w:type="spellStart"/>
      <w:r w:rsidRPr="00231F7D">
        <w:rPr>
          <w:rFonts w:ascii="David" w:hAnsi="David" w:cs="David" w:hint="cs"/>
          <w:color w:val="000000" w:themeColor="text1"/>
          <w:rtl/>
        </w:rPr>
        <w:t>לועדת</w:t>
      </w:r>
      <w:proofErr w:type="spellEnd"/>
      <w:r w:rsidRPr="00231F7D">
        <w:rPr>
          <w:rFonts w:ascii="David" w:hAnsi="David" w:cs="David" w:hint="cs"/>
          <w:color w:val="000000" w:themeColor="text1"/>
          <w:rtl/>
        </w:rPr>
        <w:t xml:space="preserve"> הערר להורות על הפחתת ריבית.</w:t>
      </w:r>
      <w:r w:rsidR="00713CB8" w:rsidRPr="00231F7D">
        <w:rPr>
          <w:rFonts w:ascii="David" w:hAnsi="David" w:cs="David" w:hint="cs"/>
          <w:color w:val="000000" w:themeColor="text1"/>
          <w:rtl/>
        </w:rPr>
        <w:t xml:space="preserve"> </w:t>
      </w:r>
      <w:proofErr w:type="spellStart"/>
      <w:r w:rsidR="00713CB8" w:rsidRPr="00231F7D">
        <w:rPr>
          <w:rFonts w:ascii="David" w:hAnsi="David" w:cs="David" w:hint="cs"/>
          <w:color w:val="000000" w:themeColor="text1"/>
          <w:rtl/>
        </w:rPr>
        <w:t>השניה</w:t>
      </w:r>
      <w:proofErr w:type="spellEnd"/>
      <w:r w:rsidR="00713CB8" w:rsidRPr="00231F7D">
        <w:rPr>
          <w:rFonts w:ascii="David" w:hAnsi="David" w:cs="David" w:hint="cs"/>
          <w:color w:val="000000" w:themeColor="text1"/>
          <w:rtl/>
        </w:rPr>
        <w:t xml:space="preserve">, </w:t>
      </w:r>
      <w:r w:rsidRPr="00231F7D">
        <w:rPr>
          <w:rFonts w:ascii="David" w:hAnsi="David" w:cs="David" w:hint="cs"/>
          <w:color w:val="000000" w:themeColor="text1"/>
          <w:rtl/>
        </w:rPr>
        <w:t xml:space="preserve">תקופה נוספת הקודמת להליך הערר </w:t>
      </w:r>
      <w:r w:rsidRPr="00231F7D">
        <w:rPr>
          <w:rFonts w:ascii="David" w:hAnsi="David" w:cs="David"/>
          <w:color w:val="000000" w:themeColor="text1"/>
          <w:rtl/>
        </w:rPr>
        <w:t>–</w:t>
      </w:r>
      <w:r w:rsidRPr="00231F7D">
        <w:rPr>
          <w:rFonts w:ascii="David" w:hAnsi="David" w:cs="David" w:hint="cs"/>
          <w:color w:val="000000" w:themeColor="text1"/>
          <w:rtl/>
        </w:rPr>
        <w:t xml:space="preserve"> ניתן להפחית ריבית פיגורים מנימוקים מיוחדים שייר</w:t>
      </w:r>
      <w:r w:rsidR="00546A25" w:rsidRPr="00231F7D">
        <w:rPr>
          <w:rFonts w:ascii="David" w:hAnsi="David" w:cs="David" w:hint="cs"/>
          <w:color w:val="000000" w:themeColor="text1"/>
          <w:rtl/>
        </w:rPr>
        <w:t xml:space="preserve">שמו. </w:t>
      </w:r>
    </w:p>
    <w:p w:rsidR="00713CB8" w:rsidRPr="002A5269" w:rsidRDefault="00546A25" w:rsidP="002A5269">
      <w:pPr>
        <w:pStyle w:val="a9"/>
        <w:numPr>
          <w:ilvl w:val="0"/>
          <w:numId w:val="1"/>
        </w:numPr>
        <w:tabs>
          <w:tab w:val="left" w:pos="425"/>
          <w:tab w:val="left" w:pos="567"/>
        </w:tabs>
        <w:spacing w:line="360" w:lineRule="auto"/>
        <w:ind w:left="357" w:hanging="357"/>
        <w:contextualSpacing w:val="0"/>
        <w:jc w:val="both"/>
        <w:rPr>
          <w:rFonts w:ascii="David" w:hAnsi="David" w:cs="David"/>
          <w:b/>
          <w:bCs/>
          <w:color w:val="000000" w:themeColor="text1"/>
          <w:u w:val="thick"/>
          <w:rtl/>
        </w:rPr>
      </w:pPr>
      <w:r w:rsidRPr="00231F7D">
        <w:rPr>
          <w:rFonts w:ascii="David" w:hAnsi="David" w:cs="David" w:hint="cs"/>
          <w:color w:val="000000" w:themeColor="text1"/>
          <w:rtl/>
        </w:rPr>
        <w:t xml:space="preserve">במסגרת הפעלת שיקול דעתה של ועדת הערר יש מקום ליתן משקל מכריע לעובדה שכל הפחתה בתקופה הקודמת להליך הערר חייבת להיעשות מנימוקים מיוחדים שיירשמו, דהיינו מתוך ראיית ההפחתה המבוקשת כחריג ולא ככלל. </w:t>
      </w:r>
    </w:p>
    <w:p w:rsidR="00C56AB4" w:rsidRPr="00231F7D" w:rsidRDefault="00332D35" w:rsidP="003B5FC3">
      <w:pPr>
        <w:widowControl w:val="0"/>
        <w:spacing w:line="360" w:lineRule="auto"/>
        <w:jc w:val="both"/>
        <w:rPr>
          <w:rFonts w:ascii="David" w:hAnsi="David" w:cs="David"/>
          <w:b/>
          <w:bCs/>
          <w:color w:val="000000" w:themeColor="text1"/>
          <w:sz w:val="28"/>
          <w:szCs w:val="28"/>
          <w:rtl/>
        </w:rPr>
      </w:pPr>
      <w:r w:rsidRPr="00231F7D">
        <w:rPr>
          <w:rFonts w:ascii="David" w:hAnsi="David" w:cs="David"/>
          <w:b/>
          <w:bCs/>
          <w:color w:val="000000" w:themeColor="text1"/>
          <w:u w:val="thick"/>
          <w:rtl/>
        </w:rPr>
        <w:t xml:space="preserve">דיון והכרעה </w:t>
      </w:r>
    </w:p>
    <w:p w:rsidR="007C6AA0" w:rsidRPr="00231F7D" w:rsidRDefault="008C536B" w:rsidP="00FB74E0">
      <w:pPr>
        <w:pStyle w:val="a9"/>
        <w:widowControl w:val="0"/>
        <w:numPr>
          <w:ilvl w:val="0"/>
          <w:numId w:val="1"/>
        </w:numPr>
        <w:tabs>
          <w:tab w:val="left" w:pos="0"/>
          <w:tab w:val="left" w:pos="142"/>
          <w:tab w:val="left" w:pos="425"/>
        </w:tabs>
        <w:spacing w:line="360" w:lineRule="auto"/>
        <w:jc w:val="both"/>
        <w:rPr>
          <w:rFonts w:ascii="David" w:hAnsi="David" w:cs="David"/>
          <w:color w:val="000000" w:themeColor="text1"/>
        </w:rPr>
      </w:pPr>
      <w:hyperlink r:id="rId69" w:history="1">
        <w:r w:rsidR="007C6AA0" w:rsidRPr="00231F7D">
          <w:rPr>
            <w:rStyle w:val="Hyperlink"/>
            <w:rFonts w:ascii="David" w:hAnsi="David" w:cs="David"/>
            <w:color w:val="000000" w:themeColor="text1"/>
            <w:rtl/>
          </w:rPr>
          <w:t>סעיף 16</w:t>
        </w:r>
      </w:hyperlink>
      <w:r w:rsidR="007C6AA0" w:rsidRPr="00231F7D">
        <w:rPr>
          <w:rFonts w:ascii="David" w:hAnsi="David" w:cs="David"/>
          <w:color w:val="000000" w:themeColor="text1"/>
          <w:rtl/>
        </w:rPr>
        <w:t xml:space="preserve"> לתוספת השלישית קובע כך:</w:t>
      </w:r>
    </w:p>
    <w:p w:rsidR="007C6AA0" w:rsidRPr="00231F7D" w:rsidRDefault="007C6AA0" w:rsidP="00FB74E0">
      <w:pPr>
        <w:pStyle w:val="a7"/>
        <w:spacing w:before="0" w:line="360" w:lineRule="auto"/>
        <w:ind w:left="992" w:right="1560"/>
        <w:contextualSpacing/>
        <w:jc w:val="both"/>
        <w:rPr>
          <w:rFonts w:ascii="David" w:hAnsi="David" w:cs="David"/>
          <w:color w:val="000000" w:themeColor="text1"/>
          <w:rtl/>
        </w:rPr>
      </w:pPr>
      <w:r w:rsidRPr="00231F7D">
        <w:rPr>
          <w:rFonts w:ascii="David" w:hAnsi="David" w:cs="David"/>
          <w:color w:val="000000" w:themeColor="text1"/>
          <w:rtl/>
        </w:rPr>
        <w:t xml:space="preserve">בית משפט לעניינים </w:t>
      </w:r>
      <w:proofErr w:type="spellStart"/>
      <w:r w:rsidRPr="00231F7D">
        <w:rPr>
          <w:rFonts w:ascii="David" w:hAnsi="David" w:cs="David"/>
          <w:color w:val="000000" w:themeColor="text1"/>
          <w:rtl/>
        </w:rPr>
        <w:t>מינהליים</w:t>
      </w:r>
      <w:proofErr w:type="spellEnd"/>
      <w:r w:rsidRPr="00231F7D">
        <w:rPr>
          <w:rFonts w:ascii="David" w:hAnsi="David" w:cs="David"/>
          <w:color w:val="000000" w:themeColor="text1"/>
          <w:rtl/>
        </w:rPr>
        <w:t xml:space="preserve"> או ועדת ערר לפיצויים ולהיטל השבחה הדנים בערעור או בערר בעניין היטל השבחה, או שמאי מכריע בהחלטתו בעניין כאמור, רשאים להפחית את תשלומי הפיגורים שבעל המקרקעין חייב בהם לפי הוראות חוק ההצמדה, בשל התקופה שבה התנהל ההליך לפניהם; וכן רשאים הם, מנימוקים מיוחדים שיירשמו, להפחית תשלומי פיגורים שבעל המקרקעין חייב בהם לפי הוראות חוק ההצמדה, כולם או חלקם, בשל תקופה נוספת.</w:t>
      </w:r>
    </w:p>
    <w:p w:rsidR="00FB74E0" w:rsidRPr="00231F7D" w:rsidRDefault="00FB74E0" w:rsidP="00FB74E0">
      <w:pPr>
        <w:pStyle w:val="a9"/>
        <w:widowControl w:val="0"/>
        <w:numPr>
          <w:ilvl w:val="0"/>
          <w:numId w:val="1"/>
        </w:numPr>
        <w:tabs>
          <w:tab w:val="left" w:pos="0"/>
          <w:tab w:val="left" w:pos="142"/>
          <w:tab w:val="left" w:pos="425"/>
        </w:tabs>
        <w:spacing w:line="360" w:lineRule="auto"/>
        <w:jc w:val="both"/>
        <w:rPr>
          <w:rFonts w:ascii="David" w:hAnsi="David" w:cs="David"/>
          <w:color w:val="000000" w:themeColor="text1"/>
        </w:rPr>
      </w:pPr>
      <w:r w:rsidRPr="00231F7D">
        <w:rPr>
          <w:rFonts w:ascii="David" w:hAnsi="David" w:cs="David"/>
          <w:color w:val="000000" w:themeColor="text1"/>
          <w:rtl/>
        </w:rPr>
        <w:t xml:space="preserve">שני דברי חקיקה ראשית חלים על נושא השערוך של היטל השבחה: התוספת </w:t>
      </w:r>
      <w:r w:rsidR="001215CD">
        <w:rPr>
          <w:rFonts w:ascii="David" w:hAnsi="David" w:cs="David" w:hint="cs"/>
          <w:color w:val="000000" w:themeColor="text1"/>
          <w:rtl/>
        </w:rPr>
        <w:t>ה</w:t>
      </w:r>
      <w:r w:rsidRPr="00231F7D">
        <w:rPr>
          <w:rFonts w:ascii="David" w:hAnsi="David" w:cs="David"/>
          <w:color w:val="000000" w:themeColor="text1"/>
          <w:rtl/>
        </w:rPr>
        <w:t>שלישית לחוק התכנון והבניה, תשכ"ה-1965; וחוק הרשויות המקומיות (ריבית והפרשי הצמדה על תשלומי חובה), תש"ם-1980 (להלן "</w:t>
      </w:r>
      <w:r w:rsidRPr="00231F7D">
        <w:rPr>
          <w:rFonts w:ascii="David" w:hAnsi="David" w:cs="David"/>
          <w:b/>
          <w:bCs/>
          <w:color w:val="000000" w:themeColor="text1"/>
          <w:rtl/>
        </w:rPr>
        <w:t>חוק ההצמדה</w:t>
      </w:r>
      <w:r w:rsidRPr="00231F7D">
        <w:rPr>
          <w:rFonts w:ascii="David" w:hAnsi="David" w:cs="David"/>
          <w:color w:val="000000" w:themeColor="text1"/>
          <w:rtl/>
        </w:rPr>
        <w:t>").</w:t>
      </w:r>
    </w:p>
    <w:p w:rsidR="00FB74E0" w:rsidRPr="00231F7D" w:rsidRDefault="00FB74E0" w:rsidP="00FB74E0">
      <w:pPr>
        <w:pStyle w:val="a9"/>
        <w:widowControl w:val="0"/>
        <w:tabs>
          <w:tab w:val="left" w:pos="0"/>
          <w:tab w:val="left" w:pos="142"/>
          <w:tab w:val="left" w:pos="425"/>
        </w:tabs>
        <w:spacing w:line="360" w:lineRule="auto"/>
        <w:ind w:left="360"/>
        <w:jc w:val="both"/>
        <w:rPr>
          <w:rFonts w:ascii="David" w:hAnsi="David" w:cs="David"/>
          <w:color w:val="000000" w:themeColor="text1"/>
        </w:rPr>
      </w:pPr>
    </w:p>
    <w:p w:rsidR="007C6AA0" w:rsidRPr="00231F7D" w:rsidRDefault="007C6AA0" w:rsidP="00FB74E0">
      <w:pPr>
        <w:pStyle w:val="a9"/>
        <w:widowControl w:val="0"/>
        <w:numPr>
          <w:ilvl w:val="0"/>
          <w:numId w:val="1"/>
        </w:numPr>
        <w:tabs>
          <w:tab w:val="left" w:pos="0"/>
          <w:tab w:val="left" w:pos="142"/>
          <w:tab w:val="left" w:pos="425"/>
        </w:tabs>
        <w:spacing w:line="360" w:lineRule="auto"/>
        <w:jc w:val="both"/>
        <w:rPr>
          <w:rFonts w:ascii="David" w:hAnsi="David" w:cs="David"/>
          <w:color w:val="000000" w:themeColor="text1"/>
        </w:rPr>
      </w:pPr>
      <w:r w:rsidRPr="00231F7D">
        <w:rPr>
          <w:rFonts w:ascii="David" w:hAnsi="David" w:cs="David"/>
          <w:color w:val="000000" w:themeColor="text1"/>
          <w:rtl/>
        </w:rPr>
        <w:t xml:space="preserve">בע"א (ראשון לציון) 154-06 </w:t>
      </w:r>
      <w:r w:rsidRPr="00231F7D">
        <w:rPr>
          <w:rFonts w:ascii="David" w:hAnsi="David" w:cs="David"/>
          <w:b/>
          <w:bCs/>
          <w:color w:val="000000" w:themeColor="text1"/>
          <w:u w:val="single"/>
          <w:rtl/>
        </w:rPr>
        <w:t xml:space="preserve">ד"ר </w:t>
      </w:r>
      <w:proofErr w:type="spellStart"/>
      <w:r w:rsidRPr="00231F7D">
        <w:rPr>
          <w:rFonts w:ascii="David" w:hAnsi="David" w:cs="David"/>
          <w:b/>
          <w:bCs/>
          <w:color w:val="000000" w:themeColor="text1"/>
          <w:u w:val="single"/>
          <w:rtl/>
        </w:rPr>
        <w:t>גרינשטיין</w:t>
      </w:r>
      <w:proofErr w:type="spellEnd"/>
      <w:r w:rsidRPr="00231F7D">
        <w:rPr>
          <w:rFonts w:ascii="David" w:hAnsi="David" w:cs="David"/>
          <w:b/>
          <w:bCs/>
          <w:color w:val="000000" w:themeColor="text1"/>
          <w:u w:val="single"/>
          <w:rtl/>
        </w:rPr>
        <w:t xml:space="preserve"> ראובן נ' ועדה מקומית לתכנון ולבניה נתניה</w:t>
      </w:r>
      <w:r w:rsidRPr="00231F7D">
        <w:rPr>
          <w:rFonts w:ascii="David" w:hAnsi="David" w:cs="David"/>
          <w:color w:val="000000" w:themeColor="text1"/>
          <w:rtl/>
        </w:rPr>
        <w:t xml:space="preserve"> (נבו 30.7.2007) קבע כב' </w:t>
      </w:r>
      <w:proofErr w:type="spellStart"/>
      <w:r w:rsidRPr="00231F7D">
        <w:rPr>
          <w:rFonts w:ascii="David" w:hAnsi="David" w:cs="David"/>
          <w:color w:val="000000" w:themeColor="text1"/>
          <w:rtl/>
        </w:rPr>
        <w:t>הש</w:t>
      </w:r>
      <w:proofErr w:type="spellEnd"/>
      <w:r w:rsidRPr="00231F7D">
        <w:rPr>
          <w:rFonts w:ascii="David" w:hAnsi="David" w:cs="David"/>
          <w:color w:val="000000" w:themeColor="text1"/>
          <w:rtl/>
        </w:rPr>
        <w:t xml:space="preserve">' ש' מנהיים </w:t>
      </w:r>
      <w:r w:rsidR="006A431B">
        <w:rPr>
          <w:rFonts w:ascii="David" w:hAnsi="David" w:cs="David" w:hint="cs"/>
          <w:color w:val="000000" w:themeColor="text1"/>
          <w:rtl/>
        </w:rPr>
        <w:t>ב</w:t>
      </w:r>
      <w:r w:rsidRPr="00231F7D">
        <w:rPr>
          <w:rFonts w:ascii="David" w:hAnsi="David" w:cs="David"/>
          <w:color w:val="000000" w:themeColor="text1"/>
          <w:rtl/>
        </w:rPr>
        <w:t>ין היתר כי תכלית ריבית הפיגורים הקבוע</w:t>
      </w:r>
      <w:r w:rsidR="001819B2" w:rsidRPr="00231F7D">
        <w:rPr>
          <w:rFonts w:ascii="David" w:hAnsi="David" w:cs="David" w:hint="cs"/>
          <w:color w:val="000000" w:themeColor="text1"/>
          <w:rtl/>
        </w:rPr>
        <w:t>ה</w:t>
      </w:r>
      <w:r w:rsidRPr="00231F7D">
        <w:rPr>
          <w:rFonts w:ascii="David" w:hAnsi="David" w:cs="David"/>
          <w:color w:val="000000" w:themeColor="text1"/>
          <w:rtl/>
        </w:rPr>
        <w:t xml:space="preserve"> </w:t>
      </w:r>
      <w:r w:rsidR="00FB74E0" w:rsidRPr="00231F7D">
        <w:rPr>
          <w:rFonts w:ascii="David" w:hAnsi="David" w:cs="David"/>
          <w:color w:val="000000" w:themeColor="text1"/>
          <w:rtl/>
        </w:rPr>
        <w:t xml:space="preserve">בחוק ההצמדה היא </w:t>
      </w:r>
      <w:r w:rsidR="00FB74E0" w:rsidRPr="00231F7D">
        <w:rPr>
          <w:rFonts w:ascii="David" w:hAnsi="David" w:cs="David"/>
          <w:b/>
          <w:bCs/>
          <w:color w:val="000000" w:themeColor="text1"/>
          <w:rtl/>
        </w:rPr>
        <w:t xml:space="preserve">ריבית </w:t>
      </w:r>
      <w:proofErr w:type="spellStart"/>
      <w:r w:rsidR="00FB74E0" w:rsidRPr="00231F7D">
        <w:rPr>
          <w:rFonts w:ascii="David" w:hAnsi="David" w:cs="David"/>
          <w:b/>
          <w:bCs/>
          <w:color w:val="000000" w:themeColor="text1"/>
          <w:rtl/>
        </w:rPr>
        <w:t>עונשית</w:t>
      </w:r>
      <w:proofErr w:type="spellEnd"/>
      <w:r w:rsidR="00FB74E0" w:rsidRPr="00231F7D">
        <w:rPr>
          <w:rFonts w:ascii="David" w:hAnsi="David" w:cs="David"/>
          <w:b/>
          <w:bCs/>
          <w:color w:val="000000" w:themeColor="text1"/>
          <w:rtl/>
        </w:rPr>
        <w:t xml:space="preserve"> מובהקת</w:t>
      </w:r>
      <w:r w:rsidR="00FB74E0" w:rsidRPr="00231F7D">
        <w:rPr>
          <w:rFonts w:ascii="David" w:hAnsi="David" w:cs="David"/>
          <w:color w:val="000000" w:themeColor="text1"/>
          <w:rtl/>
        </w:rPr>
        <w:t xml:space="preserve">, שאמורה לחול רק לגבי התקופה שמיום בו </w:t>
      </w:r>
      <w:r w:rsidR="006A431B">
        <w:rPr>
          <w:rFonts w:ascii="David" w:hAnsi="David" w:cs="David" w:hint="cs"/>
          <w:color w:val="000000" w:themeColor="text1"/>
          <w:rtl/>
        </w:rPr>
        <w:t>נודע</w:t>
      </w:r>
      <w:r w:rsidR="006A431B" w:rsidRPr="00231F7D">
        <w:rPr>
          <w:rFonts w:ascii="David" w:hAnsi="David" w:cs="David"/>
          <w:color w:val="000000" w:themeColor="text1"/>
          <w:rtl/>
        </w:rPr>
        <w:t xml:space="preserve"> </w:t>
      </w:r>
      <w:r w:rsidR="006A431B">
        <w:rPr>
          <w:rFonts w:ascii="David" w:hAnsi="David" w:cs="David" w:hint="cs"/>
          <w:color w:val="000000" w:themeColor="text1"/>
          <w:rtl/>
        </w:rPr>
        <w:t xml:space="preserve">על </w:t>
      </w:r>
      <w:r w:rsidR="00FB74E0" w:rsidRPr="00231F7D">
        <w:rPr>
          <w:rFonts w:ascii="David" w:hAnsi="David" w:cs="David"/>
          <w:color w:val="000000" w:themeColor="text1"/>
          <w:rtl/>
        </w:rPr>
        <w:t>סכום ההיטל ש</w:t>
      </w:r>
      <w:r w:rsidR="006A431B">
        <w:rPr>
          <w:rFonts w:ascii="David" w:hAnsi="David" w:cs="David" w:hint="cs"/>
          <w:color w:val="000000" w:themeColor="text1"/>
          <w:rtl/>
        </w:rPr>
        <w:t xml:space="preserve">נדרש </w:t>
      </w:r>
      <w:r w:rsidR="00FB74E0" w:rsidRPr="00231F7D">
        <w:rPr>
          <w:rFonts w:ascii="David" w:hAnsi="David" w:cs="David"/>
          <w:color w:val="000000" w:themeColor="text1"/>
          <w:rtl/>
        </w:rPr>
        <w:t xml:space="preserve">לשלם </w:t>
      </w:r>
      <w:r w:rsidR="006A431B">
        <w:rPr>
          <w:rFonts w:ascii="David" w:hAnsi="David" w:cs="David" w:hint="cs"/>
          <w:color w:val="000000" w:themeColor="text1"/>
          <w:rtl/>
        </w:rPr>
        <w:t xml:space="preserve">אך </w:t>
      </w:r>
      <w:r w:rsidR="00FB74E0" w:rsidRPr="00231F7D">
        <w:rPr>
          <w:rFonts w:ascii="David" w:hAnsi="David" w:cs="David"/>
          <w:color w:val="000000" w:themeColor="text1"/>
          <w:rtl/>
        </w:rPr>
        <w:t xml:space="preserve">נמנע מלעשות כן. וכך נקבע בין השאר: </w:t>
      </w:r>
    </w:p>
    <w:p w:rsidR="007C6AA0" w:rsidRPr="00231F7D" w:rsidRDefault="007C6AA0" w:rsidP="00FB74E0">
      <w:pPr>
        <w:pStyle w:val="a9"/>
        <w:widowControl w:val="0"/>
        <w:tabs>
          <w:tab w:val="left" w:pos="0"/>
          <w:tab w:val="left" w:pos="142"/>
          <w:tab w:val="left" w:pos="1417"/>
        </w:tabs>
        <w:spacing w:line="360" w:lineRule="auto"/>
        <w:ind w:left="1134" w:right="1134"/>
        <w:jc w:val="both"/>
        <w:rPr>
          <w:rFonts w:ascii="David" w:hAnsi="David" w:cs="David"/>
          <w:color w:val="000000" w:themeColor="text1"/>
          <w:rtl/>
        </w:rPr>
      </w:pPr>
      <w:r w:rsidRPr="00231F7D">
        <w:rPr>
          <w:rFonts w:ascii="David" w:hAnsi="David" w:cs="David"/>
          <w:color w:val="000000" w:themeColor="text1"/>
          <w:rtl/>
        </w:rPr>
        <w:t>"</w:t>
      </w:r>
      <w:r w:rsidRPr="00231F7D">
        <w:rPr>
          <w:rFonts w:ascii="David" w:hAnsi="David" w:cs="David"/>
          <w:i/>
          <w:iCs/>
          <w:color w:val="000000" w:themeColor="text1"/>
          <w:rtl/>
        </w:rPr>
        <w:t xml:space="preserve">ללא ספק, תכליתו של חוק ההצמדה (אליו מפנה </w:t>
      </w:r>
      <w:hyperlink r:id="rId70" w:history="1">
        <w:r w:rsidRPr="00231F7D">
          <w:rPr>
            <w:rFonts w:ascii="David" w:hAnsi="David" w:cs="David"/>
            <w:i/>
            <w:iCs/>
            <w:color w:val="000000" w:themeColor="text1"/>
            <w:u w:val="single"/>
            <w:rtl/>
          </w:rPr>
          <w:t>התוספת השלישית</w:t>
        </w:r>
      </w:hyperlink>
      <w:r w:rsidRPr="00231F7D">
        <w:rPr>
          <w:rFonts w:ascii="David" w:hAnsi="David" w:cs="David"/>
          <w:i/>
          <w:iCs/>
          <w:color w:val="000000" w:themeColor="text1"/>
          <w:rtl/>
        </w:rPr>
        <w:t xml:space="preserve"> לגבי התקופה שמיום "המימוש", שהוא המועד לתשלום ההיטל) היא להקל על הג</w:t>
      </w:r>
      <w:r w:rsidR="001819B2" w:rsidRPr="00231F7D">
        <w:rPr>
          <w:rFonts w:ascii="David" w:hAnsi="David" w:cs="David" w:hint="cs"/>
          <w:i/>
          <w:iCs/>
          <w:color w:val="000000" w:themeColor="text1"/>
          <w:rtl/>
        </w:rPr>
        <w:t>י</w:t>
      </w:r>
      <w:r w:rsidRPr="00231F7D">
        <w:rPr>
          <w:rFonts w:ascii="David" w:hAnsi="David" w:cs="David"/>
          <w:i/>
          <w:iCs/>
          <w:color w:val="000000" w:themeColor="text1"/>
          <w:rtl/>
        </w:rPr>
        <w:t xml:space="preserve">רעונות הנגרמים לרשויות המקומיות כתוצאה מאיחורים בביצוע תשלומי חובה. הכוונה </w:t>
      </w:r>
      <w:proofErr w:type="spellStart"/>
      <w:r w:rsidRPr="00231F7D">
        <w:rPr>
          <w:rFonts w:ascii="David" w:hAnsi="David" w:cs="David"/>
          <w:i/>
          <w:iCs/>
          <w:color w:val="000000" w:themeColor="text1"/>
          <w:rtl/>
        </w:rPr>
        <w:t>היתה</w:t>
      </w:r>
      <w:proofErr w:type="spellEnd"/>
      <w:r w:rsidRPr="00231F7D">
        <w:rPr>
          <w:rFonts w:ascii="David" w:hAnsi="David" w:cs="David"/>
          <w:i/>
          <w:iCs/>
          <w:color w:val="000000" w:themeColor="text1"/>
          <w:rtl/>
        </w:rPr>
        <w:t xml:space="preserve"> ליצור תמריץ שלילי מפני איחור בתשלום, על יד הטלת ריבית גבוהה מעבר להצמדה. זוהי ריבית </w:t>
      </w:r>
      <w:proofErr w:type="spellStart"/>
      <w:r w:rsidRPr="00231F7D">
        <w:rPr>
          <w:rFonts w:ascii="David" w:hAnsi="David" w:cs="David"/>
          <w:i/>
          <w:iCs/>
          <w:color w:val="000000" w:themeColor="text1"/>
          <w:rtl/>
        </w:rPr>
        <w:t>עונשית</w:t>
      </w:r>
      <w:proofErr w:type="spellEnd"/>
      <w:r w:rsidRPr="00231F7D">
        <w:rPr>
          <w:rFonts w:ascii="David" w:hAnsi="David" w:cs="David"/>
          <w:i/>
          <w:iCs/>
          <w:color w:val="000000" w:themeColor="text1"/>
          <w:rtl/>
        </w:rPr>
        <w:t xml:space="preserve"> מובהקת (וראה ת. אז. (מחוזי ת"א) 2983/00 אילן ואח' נגד הועדה המקומית ראשון לציון</w:t>
      </w:r>
      <w:r w:rsidRPr="00231F7D">
        <w:rPr>
          <w:rFonts w:ascii="David" w:hAnsi="David" w:cs="David"/>
          <w:color w:val="000000" w:themeColor="text1"/>
          <w:rtl/>
        </w:rPr>
        <w:t>)".</w:t>
      </w:r>
    </w:p>
    <w:p w:rsidR="00FB74E0" w:rsidRPr="00231F7D" w:rsidRDefault="00FB74E0" w:rsidP="002A5269">
      <w:pPr>
        <w:pStyle w:val="a9"/>
        <w:numPr>
          <w:ilvl w:val="0"/>
          <w:numId w:val="1"/>
        </w:numPr>
        <w:tabs>
          <w:tab w:val="left" w:pos="425"/>
        </w:tabs>
        <w:spacing w:line="360" w:lineRule="auto"/>
        <w:ind w:left="357" w:hanging="357"/>
        <w:contextualSpacing w:val="0"/>
        <w:jc w:val="both"/>
        <w:rPr>
          <w:rFonts w:ascii="David" w:hAnsi="David" w:cs="David"/>
          <w:color w:val="000000" w:themeColor="text1"/>
          <w:rtl/>
        </w:rPr>
      </w:pPr>
      <w:r w:rsidRPr="00231F7D">
        <w:rPr>
          <w:rFonts w:ascii="David" w:hAnsi="David" w:cs="David"/>
          <w:color w:val="000000" w:themeColor="text1"/>
          <w:rtl/>
        </w:rPr>
        <w:t>בעניינינו, לצורך קבלת היתרי בניה לפרויקט ובתיאום עם הועדה המקומית</w:t>
      </w:r>
      <w:r w:rsidR="001819B2" w:rsidRPr="00231F7D">
        <w:rPr>
          <w:rFonts w:ascii="David" w:hAnsi="David" w:cs="David" w:hint="cs"/>
          <w:color w:val="000000" w:themeColor="text1"/>
          <w:rtl/>
        </w:rPr>
        <w:t>,</w:t>
      </w:r>
      <w:r w:rsidRPr="00231F7D">
        <w:rPr>
          <w:rFonts w:ascii="David" w:hAnsi="David" w:cs="David"/>
          <w:color w:val="000000" w:themeColor="text1"/>
          <w:rtl/>
        </w:rPr>
        <w:t xml:space="preserve"> שילמה החברה </w:t>
      </w:r>
      <w:proofErr w:type="spellStart"/>
      <w:r w:rsidRPr="00231F7D">
        <w:rPr>
          <w:rFonts w:ascii="David" w:hAnsi="David" w:cs="David"/>
          <w:color w:val="000000" w:themeColor="text1"/>
          <w:rtl/>
        </w:rPr>
        <w:t>לועדה</w:t>
      </w:r>
      <w:proofErr w:type="spellEnd"/>
      <w:r w:rsidRPr="00231F7D">
        <w:rPr>
          <w:rFonts w:ascii="David" w:hAnsi="David" w:cs="David"/>
          <w:color w:val="000000" w:themeColor="text1"/>
          <w:rtl/>
        </w:rPr>
        <w:t xml:space="preserve"> המקומית ביום 31.12.2021</w:t>
      </w:r>
      <w:r w:rsidR="006A431B">
        <w:rPr>
          <w:rFonts w:ascii="David" w:hAnsi="David" w:cs="David" w:hint="cs"/>
          <w:color w:val="000000" w:themeColor="text1"/>
          <w:rtl/>
        </w:rPr>
        <w:t>,</w:t>
      </w:r>
      <w:r w:rsidRPr="00231F7D">
        <w:rPr>
          <w:rFonts w:ascii="David" w:hAnsi="David" w:cs="David"/>
          <w:color w:val="000000" w:themeColor="text1"/>
          <w:rtl/>
        </w:rPr>
        <w:t xml:space="preserve"> 50% מדרישות היטל ההשבחה בהתאם לשומות הועדה המקומית בסכום של 60,998,941 ₪. בנוסף הפקידה החברה בידי הועדה המקומית ערבות בנקאית אוטונומית בגובה זה (50% מדרישות היטל ההשבחה בהתאם לשומות הועדה המקומית).</w:t>
      </w:r>
    </w:p>
    <w:p w:rsidR="00FB74E0" w:rsidRPr="00231F7D" w:rsidRDefault="00FB74E0" w:rsidP="002A5269">
      <w:pPr>
        <w:pStyle w:val="a9"/>
        <w:widowControl w:val="0"/>
        <w:numPr>
          <w:ilvl w:val="0"/>
          <w:numId w:val="1"/>
        </w:numPr>
        <w:tabs>
          <w:tab w:val="left" w:pos="0"/>
          <w:tab w:val="left" w:pos="142"/>
          <w:tab w:val="left" w:pos="425"/>
        </w:tabs>
        <w:spacing w:line="360" w:lineRule="auto"/>
        <w:ind w:left="357" w:hanging="357"/>
        <w:contextualSpacing w:val="0"/>
        <w:jc w:val="both"/>
        <w:rPr>
          <w:rFonts w:ascii="David" w:hAnsi="David" w:cs="David"/>
          <w:color w:val="000000" w:themeColor="text1"/>
        </w:rPr>
      </w:pPr>
      <w:r w:rsidRPr="00231F7D">
        <w:rPr>
          <w:rFonts w:ascii="David" w:hAnsi="David" w:cs="David" w:hint="cs"/>
          <w:color w:val="000000" w:themeColor="text1"/>
          <w:rtl/>
        </w:rPr>
        <w:t>רוצה לומר</w:t>
      </w:r>
      <w:r w:rsidR="001819B2" w:rsidRPr="00231F7D">
        <w:rPr>
          <w:rFonts w:ascii="David" w:hAnsi="David" w:cs="David" w:hint="cs"/>
          <w:color w:val="000000" w:themeColor="text1"/>
          <w:rtl/>
        </w:rPr>
        <w:t xml:space="preserve">, </w:t>
      </w:r>
      <w:r w:rsidR="00841FB1" w:rsidRPr="00231F7D">
        <w:rPr>
          <w:rFonts w:ascii="David" w:hAnsi="David" w:cs="David"/>
          <w:color w:val="000000" w:themeColor="text1"/>
          <w:rtl/>
        </w:rPr>
        <w:t xml:space="preserve">החברה הסדירה את תשלום היטל </w:t>
      </w:r>
      <w:r w:rsidR="007C6AA0" w:rsidRPr="00231F7D">
        <w:rPr>
          <w:rFonts w:ascii="David" w:hAnsi="David" w:cs="David"/>
          <w:color w:val="000000" w:themeColor="text1"/>
          <w:rtl/>
        </w:rPr>
        <w:t xml:space="preserve">ההשבחה </w:t>
      </w:r>
      <w:r w:rsidRPr="00231F7D">
        <w:rPr>
          <w:rFonts w:ascii="David" w:hAnsi="David" w:cs="David"/>
          <w:color w:val="000000" w:themeColor="text1"/>
          <w:rtl/>
        </w:rPr>
        <w:t>במועד בו קבלה את שומות הועדה המ</w:t>
      </w:r>
      <w:r w:rsidRPr="00231F7D">
        <w:rPr>
          <w:rFonts w:ascii="David" w:hAnsi="David" w:cs="David" w:hint="cs"/>
          <w:color w:val="000000" w:themeColor="text1"/>
          <w:rtl/>
        </w:rPr>
        <w:t>קו</w:t>
      </w:r>
      <w:r w:rsidRPr="00231F7D">
        <w:rPr>
          <w:rFonts w:ascii="David" w:hAnsi="David" w:cs="David"/>
          <w:color w:val="000000" w:themeColor="text1"/>
          <w:rtl/>
        </w:rPr>
        <w:t xml:space="preserve">מית, </w:t>
      </w:r>
      <w:r w:rsidRPr="00231F7D">
        <w:rPr>
          <w:rFonts w:ascii="David" w:hAnsi="David" w:cs="David" w:hint="cs"/>
          <w:color w:val="000000" w:themeColor="text1"/>
          <w:rtl/>
        </w:rPr>
        <w:t>ולכן</w:t>
      </w:r>
      <w:r w:rsidRPr="00231F7D">
        <w:rPr>
          <w:rFonts w:ascii="David" w:hAnsi="David" w:cs="David"/>
          <w:color w:val="000000" w:themeColor="text1"/>
          <w:rtl/>
        </w:rPr>
        <w:t xml:space="preserve"> </w:t>
      </w:r>
      <w:r w:rsidR="00841FB1" w:rsidRPr="00231F7D">
        <w:rPr>
          <w:rFonts w:ascii="David" w:hAnsi="David" w:cs="David"/>
          <w:color w:val="000000" w:themeColor="text1"/>
          <w:rtl/>
        </w:rPr>
        <w:t xml:space="preserve">אין עסקינן במצב בו החברה ישבה </w:t>
      </w:r>
      <w:r w:rsidR="007C6AA0" w:rsidRPr="00231F7D">
        <w:rPr>
          <w:rFonts w:ascii="David" w:hAnsi="David" w:cs="David"/>
          <w:color w:val="000000" w:themeColor="text1"/>
          <w:rtl/>
        </w:rPr>
        <w:t>"</w:t>
      </w:r>
      <w:r w:rsidR="00841FB1" w:rsidRPr="00231F7D">
        <w:rPr>
          <w:rFonts w:ascii="David" w:hAnsi="David" w:cs="David"/>
          <w:color w:val="000000" w:themeColor="text1"/>
          <w:rtl/>
        </w:rPr>
        <w:t>בחיבוק ידיים</w:t>
      </w:r>
      <w:r w:rsidR="007C6AA0" w:rsidRPr="00231F7D">
        <w:rPr>
          <w:rFonts w:ascii="David" w:hAnsi="David" w:cs="David"/>
          <w:color w:val="000000" w:themeColor="text1"/>
          <w:rtl/>
        </w:rPr>
        <w:t>"</w:t>
      </w:r>
      <w:r w:rsidR="00841FB1" w:rsidRPr="00231F7D">
        <w:rPr>
          <w:rFonts w:ascii="David" w:hAnsi="David" w:cs="David"/>
          <w:color w:val="000000" w:themeColor="text1"/>
          <w:rtl/>
        </w:rPr>
        <w:t xml:space="preserve"> ונמנעה מלשאת בתשלום היטל </w:t>
      </w:r>
      <w:r w:rsidR="007C6AA0" w:rsidRPr="00231F7D">
        <w:rPr>
          <w:rFonts w:ascii="David" w:hAnsi="David" w:cs="David"/>
          <w:color w:val="000000" w:themeColor="text1"/>
          <w:rtl/>
        </w:rPr>
        <w:t xml:space="preserve">ההשבחה </w:t>
      </w:r>
      <w:r w:rsidR="00841FB1" w:rsidRPr="00231F7D">
        <w:rPr>
          <w:rFonts w:ascii="David" w:hAnsi="David" w:cs="David"/>
          <w:color w:val="000000" w:themeColor="text1"/>
          <w:rtl/>
        </w:rPr>
        <w:t>על פי שומת הועדה המקומית</w:t>
      </w:r>
      <w:r w:rsidRPr="00231F7D">
        <w:rPr>
          <w:rFonts w:ascii="David" w:hAnsi="David" w:cs="David" w:hint="cs"/>
          <w:color w:val="000000" w:themeColor="text1"/>
          <w:rtl/>
        </w:rPr>
        <w:t>,</w:t>
      </w:r>
      <w:r w:rsidR="00841FB1" w:rsidRPr="00231F7D">
        <w:rPr>
          <w:rFonts w:ascii="David" w:hAnsi="David" w:cs="David"/>
          <w:color w:val="000000" w:themeColor="text1"/>
          <w:rtl/>
        </w:rPr>
        <w:t xml:space="preserve"> בעוד התכלית העומדת בבסיס הריבית פיגורים הינה ריבית </w:t>
      </w:r>
      <w:proofErr w:type="spellStart"/>
      <w:r w:rsidR="00841FB1" w:rsidRPr="00231F7D">
        <w:rPr>
          <w:rFonts w:ascii="David" w:hAnsi="David" w:cs="David"/>
          <w:color w:val="000000" w:themeColor="text1"/>
          <w:rtl/>
        </w:rPr>
        <w:t>עונשית</w:t>
      </w:r>
      <w:proofErr w:type="spellEnd"/>
      <w:r w:rsidR="007C6AA0" w:rsidRPr="00231F7D">
        <w:rPr>
          <w:rFonts w:ascii="David" w:hAnsi="David" w:cs="David"/>
          <w:color w:val="000000" w:themeColor="text1"/>
          <w:rtl/>
        </w:rPr>
        <w:t xml:space="preserve"> </w:t>
      </w:r>
      <w:r w:rsidRPr="00231F7D">
        <w:rPr>
          <w:rFonts w:ascii="David" w:hAnsi="David" w:cs="David"/>
          <w:color w:val="000000" w:themeColor="text1"/>
          <w:rtl/>
        </w:rPr>
        <w:t>כאמור.</w:t>
      </w:r>
    </w:p>
    <w:p w:rsidR="001819B2" w:rsidRPr="000E6B10" w:rsidRDefault="00FB74E0" w:rsidP="002A5269">
      <w:pPr>
        <w:pStyle w:val="a9"/>
        <w:widowControl w:val="0"/>
        <w:numPr>
          <w:ilvl w:val="0"/>
          <w:numId w:val="1"/>
        </w:numPr>
        <w:tabs>
          <w:tab w:val="left" w:pos="0"/>
          <w:tab w:val="left" w:pos="142"/>
          <w:tab w:val="left" w:pos="425"/>
        </w:tabs>
        <w:spacing w:line="360" w:lineRule="auto"/>
        <w:ind w:left="357" w:hanging="357"/>
        <w:contextualSpacing w:val="0"/>
        <w:jc w:val="both"/>
        <w:rPr>
          <w:rFonts w:cs="David"/>
          <w:b/>
          <w:bCs/>
          <w:color w:val="000000" w:themeColor="text1"/>
          <w:sz w:val="28"/>
          <w:szCs w:val="28"/>
          <w:rtl/>
        </w:rPr>
      </w:pPr>
      <w:r w:rsidRPr="00231F7D">
        <w:rPr>
          <w:rFonts w:ascii="David" w:hAnsi="David" w:cs="David"/>
          <w:color w:val="000000" w:themeColor="text1"/>
          <w:rtl/>
        </w:rPr>
        <w:t>מעיון בשומות המכריעות עולה כי נקבע שתחול הצמדה בלבד</w:t>
      </w:r>
      <w:r w:rsidRPr="00231F7D">
        <w:rPr>
          <w:rFonts w:ascii="David" w:hAnsi="David" w:cs="David" w:hint="cs"/>
          <w:color w:val="000000" w:themeColor="text1"/>
          <w:rtl/>
        </w:rPr>
        <w:t xml:space="preserve">, </w:t>
      </w:r>
      <w:r w:rsidR="001819B2" w:rsidRPr="00231F7D">
        <w:rPr>
          <w:rFonts w:ascii="David" w:hAnsi="David" w:cs="David" w:hint="cs"/>
          <w:color w:val="000000" w:themeColor="text1"/>
          <w:rtl/>
        </w:rPr>
        <w:t>על  בסיס האמור אנו מקבלים את בקשת החברה להפחתת ריבית פיגורים ו</w:t>
      </w:r>
      <w:r w:rsidR="00841FB1" w:rsidRPr="00231F7D">
        <w:rPr>
          <w:rFonts w:ascii="David" w:hAnsi="David" w:cs="David"/>
          <w:color w:val="000000" w:themeColor="text1"/>
          <w:rtl/>
        </w:rPr>
        <w:t xml:space="preserve">קובעים </w:t>
      </w:r>
      <w:r w:rsidRPr="00231F7D">
        <w:rPr>
          <w:rFonts w:ascii="David" w:hAnsi="David" w:cs="David" w:hint="cs"/>
          <w:color w:val="000000" w:themeColor="text1"/>
          <w:rtl/>
        </w:rPr>
        <w:t xml:space="preserve">בהתאם כי </w:t>
      </w:r>
      <w:r w:rsidR="00841FB1" w:rsidRPr="00231F7D">
        <w:rPr>
          <w:rFonts w:ascii="David" w:hAnsi="David" w:cs="David"/>
          <w:color w:val="000000" w:themeColor="text1"/>
          <w:rtl/>
        </w:rPr>
        <w:t xml:space="preserve">בגין </w:t>
      </w:r>
      <w:r w:rsidRPr="00231F7D">
        <w:rPr>
          <w:rFonts w:ascii="David" w:hAnsi="David" w:cs="David"/>
          <w:color w:val="000000" w:themeColor="text1"/>
          <w:rtl/>
        </w:rPr>
        <w:t xml:space="preserve">יתר התקופות ממועד המימוש </w:t>
      </w:r>
      <w:r w:rsidRPr="00231F7D">
        <w:rPr>
          <w:rFonts w:ascii="David" w:hAnsi="David" w:cs="David" w:hint="cs"/>
          <w:color w:val="000000" w:themeColor="text1"/>
          <w:rtl/>
        </w:rPr>
        <w:t xml:space="preserve">לרבות ניהול ההליכים בפנינו </w:t>
      </w:r>
      <w:r w:rsidRPr="00231F7D">
        <w:rPr>
          <w:rFonts w:ascii="David" w:hAnsi="David" w:cs="David"/>
          <w:color w:val="000000" w:themeColor="text1"/>
          <w:rtl/>
        </w:rPr>
        <w:t xml:space="preserve">ועד הכרעתנו, </w:t>
      </w:r>
      <w:r w:rsidR="00841FB1" w:rsidRPr="00231F7D">
        <w:rPr>
          <w:rFonts w:ascii="David" w:hAnsi="David" w:cs="David"/>
          <w:color w:val="000000" w:themeColor="text1"/>
          <w:rtl/>
        </w:rPr>
        <w:t xml:space="preserve"> לא תחול חובת ריבית פיגורים אלא הצמדה בלבד. </w:t>
      </w:r>
    </w:p>
    <w:p w:rsidR="00AD148D" w:rsidRPr="00231F7D" w:rsidRDefault="002A5269" w:rsidP="002A5269">
      <w:pPr>
        <w:pStyle w:val="1"/>
        <w:rPr>
          <w:rtl/>
        </w:rPr>
      </w:pPr>
      <w:bookmarkStart w:id="50" w:name="_Toc204504406"/>
      <w:r>
        <w:rPr>
          <w:rFonts w:hint="cs"/>
          <w:rtl/>
        </w:rPr>
        <w:t>סוף דבר</w:t>
      </w:r>
      <w:bookmarkEnd w:id="50"/>
    </w:p>
    <w:p w:rsidR="00AD148D" w:rsidRPr="00231F7D" w:rsidRDefault="00AD148D" w:rsidP="00AD148D">
      <w:pPr>
        <w:pStyle w:val="a9"/>
        <w:numPr>
          <w:ilvl w:val="0"/>
          <w:numId w:val="1"/>
        </w:numPr>
        <w:tabs>
          <w:tab w:val="left" w:pos="425"/>
        </w:tabs>
        <w:spacing w:line="360" w:lineRule="auto"/>
        <w:contextualSpacing w:val="0"/>
        <w:rPr>
          <w:rFonts w:ascii="David" w:hAnsi="David" w:cs="David"/>
          <w:color w:val="000000" w:themeColor="text1"/>
        </w:rPr>
      </w:pPr>
      <w:r w:rsidRPr="00231F7D">
        <w:rPr>
          <w:rFonts w:ascii="David" w:hAnsi="David" w:cs="David"/>
          <w:color w:val="000000" w:themeColor="text1"/>
          <w:rtl/>
        </w:rPr>
        <w:t>נוכח האמור לעיל, עררי הצדדים מתקבלים באופן חלקי</w:t>
      </w:r>
      <w:r w:rsidRPr="00231F7D">
        <w:rPr>
          <w:rFonts w:ascii="David" w:hAnsi="David" w:cs="David" w:hint="cs"/>
          <w:color w:val="000000" w:themeColor="text1"/>
          <w:rtl/>
        </w:rPr>
        <w:t xml:space="preserve"> בלבד</w:t>
      </w:r>
      <w:r w:rsidR="006A431B">
        <w:rPr>
          <w:rFonts w:ascii="David" w:hAnsi="David" w:cs="David" w:hint="cs"/>
          <w:color w:val="000000" w:themeColor="text1"/>
          <w:rtl/>
        </w:rPr>
        <w:t>,</w:t>
      </w:r>
      <w:r w:rsidRPr="00231F7D">
        <w:rPr>
          <w:rFonts w:ascii="David" w:hAnsi="David" w:cs="David"/>
          <w:color w:val="000000" w:themeColor="text1"/>
          <w:rtl/>
        </w:rPr>
        <w:t xml:space="preserve"> כמפורט לעיל</w:t>
      </w:r>
      <w:r w:rsidRPr="00231F7D">
        <w:rPr>
          <w:rFonts w:ascii="David" w:hAnsi="David" w:cs="David" w:hint="cs"/>
          <w:color w:val="000000" w:themeColor="text1"/>
          <w:rtl/>
        </w:rPr>
        <w:t xml:space="preserve">. </w:t>
      </w:r>
    </w:p>
    <w:p w:rsidR="00AD148D" w:rsidRPr="00231F7D" w:rsidRDefault="00AD148D" w:rsidP="00AD148D">
      <w:pPr>
        <w:pStyle w:val="a9"/>
        <w:numPr>
          <w:ilvl w:val="0"/>
          <w:numId w:val="1"/>
        </w:numPr>
        <w:tabs>
          <w:tab w:val="left" w:pos="425"/>
        </w:tabs>
        <w:spacing w:line="360" w:lineRule="auto"/>
        <w:contextualSpacing w:val="0"/>
        <w:rPr>
          <w:rFonts w:ascii="David" w:hAnsi="David" w:cs="David"/>
          <w:color w:val="000000" w:themeColor="text1"/>
          <w:rtl/>
        </w:rPr>
      </w:pPr>
      <w:r w:rsidRPr="00231F7D">
        <w:rPr>
          <w:rFonts w:ascii="David" w:hAnsi="David" w:cs="David" w:hint="cs"/>
          <w:color w:val="000000" w:themeColor="text1"/>
          <w:rtl/>
        </w:rPr>
        <w:t xml:space="preserve">נוכח הכרעותינו לעיל להלן קביעותנו האופרטיביות לגבי העניינים אשר מצריכים קביעות ביחס לשומות המכריעות ולהשלכותיהן: </w:t>
      </w:r>
    </w:p>
    <w:p w:rsidR="001819B2" w:rsidRPr="00231F7D" w:rsidRDefault="001819B2" w:rsidP="00AD148D">
      <w:pPr>
        <w:pStyle w:val="a9"/>
        <w:widowControl w:val="0"/>
        <w:numPr>
          <w:ilvl w:val="0"/>
          <w:numId w:val="1"/>
        </w:numPr>
        <w:tabs>
          <w:tab w:val="left" w:pos="425"/>
        </w:tabs>
        <w:spacing w:line="360" w:lineRule="auto"/>
        <w:ind w:left="357" w:hanging="357"/>
        <w:contextualSpacing w:val="0"/>
        <w:jc w:val="both"/>
        <w:rPr>
          <w:rFonts w:ascii="David" w:hAnsi="David" w:cs="David"/>
          <w:color w:val="000000" w:themeColor="text1"/>
        </w:rPr>
      </w:pPr>
      <w:r w:rsidRPr="00231F7D">
        <w:rPr>
          <w:rFonts w:ascii="David" w:hAnsi="David" w:cs="David" w:hint="cs"/>
          <w:b/>
          <w:bCs/>
          <w:color w:val="000000" w:themeColor="text1"/>
          <w:rtl/>
        </w:rPr>
        <w:t>סוגיית פטור בגין ממ"דים</w:t>
      </w:r>
      <w:r w:rsidRPr="00231F7D">
        <w:rPr>
          <w:rFonts w:ascii="David" w:hAnsi="David" w:cs="David" w:hint="cs"/>
          <w:color w:val="000000" w:themeColor="text1"/>
          <w:rtl/>
        </w:rPr>
        <w:t xml:space="preserve"> </w:t>
      </w:r>
      <w:r w:rsidR="003B5FC3" w:rsidRPr="00231F7D">
        <w:rPr>
          <w:rFonts w:ascii="David" w:hAnsi="David" w:cs="David"/>
          <w:color w:val="000000" w:themeColor="text1"/>
          <w:rtl/>
        </w:rPr>
        <w:t>–</w:t>
      </w:r>
      <w:r w:rsidRPr="00231F7D">
        <w:rPr>
          <w:rFonts w:ascii="David" w:hAnsi="David" w:cs="David" w:hint="cs"/>
          <w:color w:val="000000" w:themeColor="text1"/>
          <w:rtl/>
        </w:rPr>
        <w:t xml:space="preserve"> </w:t>
      </w:r>
      <w:r w:rsidR="003B5FC3" w:rsidRPr="00231F7D">
        <w:rPr>
          <w:rFonts w:ascii="David" w:hAnsi="David" w:cs="David" w:hint="cs"/>
          <w:color w:val="000000" w:themeColor="text1"/>
          <w:rtl/>
        </w:rPr>
        <w:t xml:space="preserve">הואיל ובשומות המכריעות נתנו שתי חלופות אחת עם פטור ואחת ללא פטור, יש לקבוע כי החלופות הקובעת פטור בגין הממ"דים היא החלופה הנכונה </w:t>
      </w:r>
      <w:r w:rsidR="003B5FC3" w:rsidRPr="00231F7D">
        <w:rPr>
          <w:rFonts w:ascii="David" w:hAnsi="David" w:cs="David" w:hint="cs"/>
          <w:color w:val="000000" w:themeColor="text1"/>
          <w:u w:val="single"/>
          <w:rtl/>
        </w:rPr>
        <w:t>זאת</w:t>
      </w:r>
      <w:r w:rsidR="006846D7" w:rsidRPr="00231F7D">
        <w:rPr>
          <w:rFonts w:ascii="David" w:hAnsi="David" w:cs="David" w:hint="cs"/>
          <w:color w:val="000000" w:themeColor="text1"/>
          <w:u w:val="single"/>
          <w:rtl/>
        </w:rPr>
        <w:t xml:space="preserve"> למעט</w:t>
      </w:r>
      <w:r w:rsidR="006846D7" w:rsidRPr="00231F7D">
        <w:rPr>
          <w:rFonts w:ascii="David" w:hAnsi="David" w:cs="David" w:hint="cs"/>
          <w:color w:val="000000" w:themeColor="text1"/>
          <w:rtl/>
        </w:rPr>
        <w:t xml:space="preserve"> תיקון הפטור ביחס להסכמי הפינוי בינוי שנחתמו על ידי בעלי זכויות </w:t>
      </w:r>
      <w:r w:rsidR="006846D7" w:rsidRPr="00231F7D">
        <w:rPr>
          <w:rFonts w:ascii="David" w:hAnsi="David" w:cs="David" w:hint="cs"/>
          <w:color w:val="000000" w:themeColor="text1"/>
          <w:u w:val="single"/>
          <w:rtl/>
        </w:rPr>
        <w:t>לאחר</w:t>
      </w:r>
      <w:r w:rsidR="006846D7" w:rsidRPr="005F3F1F">
        <w:rPr>
          <w:rFonts w:ascii="David" w:hAnsi="David" w:cs="David" w:hint="cs"/>
          <w:color w:val="000000" w:themeColor="text1"/>
          <w:rtl/>
        </w:rPr>
        <w:t xml:space="preserve"> </w:t>
      </w:r>
      <w:r w:rsidR="006846D7" w:rsidRPr="00231F7D">
        <w:rPr>
          <w:rFonts w:ascii="David" w:hAnsi="David" w:cs="David" w:hint="cs"/>
          <w:color w:val="000000" w:themeColor="text1"/>
          <w:rtl/>
        </w:rPr>
        <w:t>אישור תכנית בי/517.</w:t>
      </w:r>
      <w:r w:rsidRPr="00231F7D">
        <w:rPr>
          <w:rFonts w:ascii="David" w:hAnsi="David" w:cs="David" w:hint="cs"/>
          <w:color w:val="000000" w:themeColor="text1"/>
          <w:rtl/>
        </w:rPr>
        <w:t xml:space="preserve"> לגביהן לא יחול הפטור</w:t>
      </w:r>
      <w:r w:rsidR="00C01B4C">
        <w:rPr>
          <w:rFonts w:ascii="David" w:hAnsi="David" w:cs="David" w:hint="cs"/>
          <w:color w:val="000000" w:themeColor="text1"/>
          <w:rtl/>
        </w:rPr>
        <w:t xml:space="preserve"> והשמאית המכריעה מתבקש לעדכן תחשיבה בהתאם. </w:t>
      </w:r>
    </w:p>
    <w:p w:rsidR="003D697B" w:rsidRPr="00231F7D" w:rsidRDefault="001819B2" w:rsidP="003D697B">
      <w:pPr>
        <w:pStyle w:val="a9"/>
        <w:widowControl w:val="0"/>
        <w:tabs>
          <w:tab w:val="left" w:pos="425"/>
        </w:tabs>
        <w:spacing w:line="360" w:lineRule="auto"/>
        <w:ind w:left="357"/>
        <w:contextualSpacing w:val="0"/>
        <w:jc w:val="both"/>
        <w:rPr>
          <w:rFonts w:ascii="David" w:hAnsi="David" w:cs="David"/>
          <w:color w:val="000000" w:themeColor="text1"/>
          <w:u w:val="single"/>
          <w:rtl/>
        </w:rPr>
      </w:pPr>
      <w:r w:rsidRPr="00231F7D">
        <w:rPr>
          <w:rFonts w:ascii="David" w:hAnsi="David" w:cs="David" w:hint="cs"/>
          <w:color w:val="000000" w:themeColor="text1"/>
          <w:rtl/>
        </w:rPr>
        <w:t xml:space="preserve">בעניין זה החברה טענה בפנינו כי כ-94% חתמו בטרם אישור התכנית והיתרה לאחר אישור התכנית ואנו קבענו בהחלטתנו ביום 12.6.2025 בין היתר כי </w:t>
      </w:r>
      <w:r w:rsidRPr="00231F7D">
        <w:rPr>
          <w:rFonts w:ascii="David" w:hAnsi="David" w:cs="David"/>
          <w:color w:val="000000" w:themeColor="text1"/>
          <w:rtl/>
        </w:rPr>
        <w:t>במסגרת ההתחשבנות מול הועדה המקומית, יהא על החברה להציג בפניה את פירוט חתימת כל בעלי הזכויות והמועדים בהם נחתם כל הסכ</w:t>
      </w:r>
      <w:r w:rsidRPr="00231F7D">
        <w:rPr>
          <w:rFonts w:ascii="David" w:hAnsi="David" w:cs="David" w:hint="cs"/>
          <w:color w:val="000000" w:themeColor="text1"/>
          <w:rtl/>
        </w:rPr>
        <w:t>ם</w:t>
      </w:r>
      <w:r w:rsidR="003D697B" w:rsidRPr="00231F7D">
        <w:rPr>
          <w:rFonts w:ascii="David" w:hAnsi="David" w:cs="David" w:hint="cs"/>
          <w:color w:val="000000" w:themeColor="text1"/>
          <w:rtl/>
        </w:rPr>
        <w:t xml:space="preserve">, ברם </w:t>
      </w:r>
      <w:bookmarkStart w:id="51" w:name="_Hlk202106133"/>
      <w:r w:rsidR="003D697B" w:rsidRPr="00231F7D">
        <w:rPr>
          <w:rFonts w:ascii="David" w:hAnsi="David" w:cs="David" w:hint="cs"/>
          <w:color w:val="000000" w:themeColor="text1"/>
          <w:rtl/>
        </w:rPr>
        <w:t>נוכח בקשת החברה מיום 29.6.2025</w:t>
      </w:r>
      <w:r w:rsidR="00426B96" w:rsidRPr="00231F7D">
        <w:rPr>
          <w:rFonts w:ascii="David" w:hAnsi="David" w:cs="David" w:hint="cs"/>
          <w:color w:val="000000" w:themeColor="text1"/>
          <w:rtl/>
        </w:rPr>
        <w:t xml:space="preserve"> שלא להתנהל ישירות מול הועדה המקומית בעניין זה,</w:t>
      </w:r>
      <w:r w:rsidR="003D697B" w:rsidRPr="00231F7D">
        <w:rPr>
          <w:rFonts w:ascii="David" w:hAnsi="David" w:cs="David" w:hint="cs"/>
          <w:color w:val="000000" w:themeColor="text1"/>
          <w:rtl/>
        </w:rPr>
        <w:t xml:space="preserve"> </w:t>
      </w:r>
      <w:r w:rsidR="003D697B" w:rsidRPr="00231F7D">
        <w:rPr>
          <w:rFonts w:ascii="David" w:hAnsi="David" w:cs="David" w:hint="cs"/>
          <w:color w:val="000000" w:themeColor="text1"/>
          <w:u w:val="single"/>
          <w:rtl/>
        </w:rPr>
        <w:t>אנו מורים על השבת התיק לשמאית המכריעה בסוגיה זאת</w:t>
      </w:r>
      <w:r w:rsidR="000D3D18" w:rsidRPr="00231F7D">
        <w:rPr>
          <w:rFonts w:ascii="David" w:hAnsi="David" w:cs="David" w:hint="cs"/>
          <w:color w:val="000000" w:themeColor="text1"/>
          <w:u w:val="single"/>
          <w:rtl/>
        </w:rPr>
        <w:t>,</w:t>
      </w:r>
      <w:r w:rsidR="003D697B" w:rsidRPr="00231F7D">
        <w:rPr>
          <w:rFonts w:ascii="David" w:hAnsi="David" w:cs="David" w:hint="cs"/>
          <w:color w:val="000000" w:themeColor="text1"/>
          <w:u w:val="single"/>
          <w:rtl/>
        </w:rPr>
        <w:t xml:space="preserve"> על מנת שהחברה תדאג להמציא לה העתק מההסכמים שנחתמו בטרם אישור תכנית בי/517 </w:t>
      </w:r>
      <w:r w:rsidR="000D3D18" w:rsidRPr="00231F7D">
        <w:rPr>
          <w:rFonts w:ascii="David" w:hAnsi="David" w:cs="David" w:hint="cs"/>
          <w:color w:val="000000" w:themeColor="text1"/>
          <w:u w:val="single"/>
          <w:rtl/>
        </w:rPr>
        <w:t xml:space="preserve">בתוך 30 יום מהיום </w:t>
      </w:r>
      <w:r w:rsidR="003D697B" w:rsidRPr="00231F7D">
        <w:rPr>
          <w:rFonts w:ascii="David" w:hAnsi="David" w:cs="David" w:hint="cs"/>
          <w:color w:val="000000" w:themeColor="text1"/>
          <w:u w:val="single"/>
          <w:rtl/>
        </w:rPr>
        <w:t xml:space="preserve">ובגין הסכמים אלה </w:t>
      </w:r>
      <w:r w:rsidR="00426B96" w:rsidRPr="00231F7D">
        <w:rPr>
          <w:rFonts w:ascii="David" w:hAnsi="David" w:cs="David" w:hint="cs"/>
          <w:color w:val="000000" w:themeColor="text1"/>
          <w:u w:val="single"/>
          <w:rtl/>
        </w:rPr>
        <w:t xml:space="preserve">בלבד </w:t>
      </w:r>
      <w:proofErr w:type="spellStart"/>
      <w:r w:rsidR="003D697B" w:rsidRPr="00231F7D">
        <w:rPr>
          <w:rFonts w:ascii="David" w:hAnsi="David" w:cs="David" w:hint="cs"/>
          <w:color w:val="000000" w:themeColor="text1"/>
          <w:u w:val="single"/>
          <w:rtl/>
        </w:rPr>
        <w:t>ינת</w:t>
      </w:r>
      <w:r w:rsidR="00426B96" w:rsidRPr="00231F7D">
        <w:rPr>
          <w:rFonts w:ascii="David" w:hAnsi="David" w:cs="David" w:hint="cs"/>
          <w:color w:val="000000" w:themeColor="text1"/>
          <w:u w:val="single"/>
          <w:rtl/>
        </w:rPr>
        <w:t>ן</w:t>
      </w:r>
      <w:proofErr w:type="spellEnd"/>
      <w:r w:rsidR="003D697B" w:rsidRPr="00231F7D">
        <w:rPr>
          <w:rFonts w:ascii="David" w:hAnsi="David" w:cs="David" w:hint="cs"/>
          <w:color w:val="000000" w:themeColor="text1"/>
          <w:u w:val="single"/>
          <w:rtl/>
        </w:rPr>
        <w:t xml:space="preserve"> הפטור לממ"דים ובהתאם תתקן </w:t>
      </w:r>
      <w:r w:rsidR="00FE1F09" w:rsidRPr="00231F7D">
        <w:rPr>
          <w:rFonts w:ascii="David" w:hAnsi="David" w:cs="David" w:hint="cs"/>
          <w:color w:val="000000" w:themeColor="text1"/>
          <w:u w:val="single"/>
          <w:rtl/>
        </w:rPr>
        <w:t xml:space="preserve">השמאית המכריעה </w:t>
      </w:r>
      <w:r w:rsidR="00426B96" w:rsidRPr="00231F7D">
        <w:rPr>
          <w:rFonts w:ascii="David" w:hAnsi="David" w:cs="David" w:hint="cs"/>
          <w:color w:val="000000" w:themeColor="text1"/>
          <w:u w:val="single"/>
          <w:rtl/>
        </w:rPr>
        <w:t xml:space="preserve">את </w:t>
      </w:r>
      <w:r w:rsidR="00FE1F09" w:rsidRPr="00231F7D">
        <w:rPr>
          <w:rFonts w:ascii="David" w:hAnsi="David" w:cs="David" w:hint="cs"/>
          <w:color w:val="000000" w:themeColor="text1"/>
          <w:u w:val="single"/>
          <w:rtl/>
        </w:rPr>
        <w:t>תחשיבה ב</w:t>
      </w:r>
      <w:r w:rsidR="003D697B" w:rsidRPr="00231F7D">
        <w:rPr>
          <w:rFonts w:ascii="David" w:hAnsi="David" w:cs="David" w:hint="cs"/>
          <w:color w:val="000000" w:themeColor="text1"/>
          <w:u w:val="single"/>
          <w:rtl/>
        </w:rPr>
        <w:t xml:space="preserve">הכרעתה בעניין. </w:t>
      </w:r>
    </w:p>
    <w:bookmarkEnd w:id="51"/>
    <w:p w:rsidR="001819B2" w:rsidRPr="00231F7D" w:rsidRDefault="001819B2" w:rsidP="001819B2">
      <w:pPr>
        <w:pStyle w:val="a9"/>
        <w:numPr>
          <w:ilvl w:val="0"/>
          <w:numId w:val="1"/>
        </w:numPr>
        <w:tabs>
          <w:tab w:val="left" w:pos="425"/>
        </w:tabs>
        <w:spacing w:line="360" w:lineRule="auto"/>
        <w:contextualSpacing w:val="0"/>
        <w:jc w:val="both"/>
        <w:rPr>
          <w:rFonts w:ascii="David" w:hAnsi="David" w:cs="David"/>
          <w:color w:val="000000" w:themeColor="text1"/>
          <w:u w:val="single"/>
        </w:rPr>
      </w:pPr>
      <w:r w:rsidRPr="00231F7D">
        <w:rPr>
          <w:rFonts w:ascii="David" w:hAnsi="David" w:cs="David"/>
          <w:b/>
          <w:bCs/>
          <w:color w:val="000000" w:themeColor="text1"/>
          <w:rtl/>
        </w:rPr>
        <w:t>קיזוז החלק היחסי שמומש בעבר בדרך של מכר</w:t>
      </w:r>
      <w:r w:rsidRPr="00231F7D">
        <w:rPr>
          <w:rFonts w:ascii="David" w:hAnsi="David" w:cs="David" w:hint="cs"/>
          <w:color w:val="000000" w:themeColor="text1"/>
          <w:rtl/>
        </w:rPr>
        <w:t xml:space="preserve"> -</w:t>
      </w:r>
      <w:r w:rsidRPr="00231F7D">
        <w:rPr>
          <w:rFonts w:ascii="David" w:hAnsi="David" w:cs="David"/>
          <w:color w:val="000000" w:themeColor="text1"/>
          <w:rtl/>
        </w:rPr>
        <w:t xml:space="preserve"> </w:t>
      </w:r>
      <w:r w:rsidRPr="00231F7D">
        <w:rPr>
          <w:rFonts w:ascii="David" w:hAnsi="David" w:cs="David"/>
          <w:color w:val="000000" w:themeColor="text1"/>
          <w:u w:val="single"/>
          <w:rtl/>
        </w:rPr>
        <w:t xml:space="preserve">אנו מורים </w:t>
      </w:r>
      <w:r w:rsidR="006A431B">
        <w:rPr>
          <w:rFonts w:ascii="David" w:hAnsi="David" w:cs="David" w:hint="cs"/>
          <w:color w:val="000000" w:themeColor="text1"/>
          <w:u w:val="single"/>
          <w:rtl/>
        </w:rPr>
        <w:t>ל</w:t>
      </w:r>
      <w:r w:rsidRPr="00231F7D">
        <w:rPr>
          <w:rFonts w:ascii="David" w:hAnsi="David" w:cs="David"/>
          <w:color w:val="000000" w:themeColor="text1"/>
          <w:u w:val="single"/>
          <w:rtl/>
        </w:rPr>
        <w:t xml:space="preserve">וועדה המקומית להמציא את מלוא הנתונים בנושא לידי </w:t>
      </w:r>
      <w:r w:rsidR="000D3D18" w:rsidRPr="00231F7D">
        <w:rPr>
          <w:rFonts w:ascii="David" w:hAnsi="David" w:cs="David" w:hint="cs"/>
          <w:color w:val="000000" w:themeColor="text1"/>
          <w:u w:val="single"/>
          <w:rtl/>
        </w:rPr>
        <w:t xml:space="preserve">השמאית המכריעה </w:t>
      </w:r>
      <w:r w:rsidR="000D7C1C" w:rsidRPr="00231F7D">
        <w:rPr>
          <w:rFonts w:ascii="David" w:hAnsi="David" w:cs="David" w:hint="cs"/>
          <w:color w:val="000000" w:themeColor="text1"/>
          <w:u w:val="single"/>
          <w:rtl/>
        </w:rPr>
        <w:t>בתוך 30 יום</w:t>
      </w:r>
      <w:r w:rsidR="000D3D18" w:rsidRPr="00231F7D">
        <w:rPr>
          <w:rFonts w:ascii="David" w:hAnsi="David" w:cs="David" w:hint="cs"/>
          <w:color w:val="000000" w:themeColor="text1"/>
          <w:u w:val="single"/>
          <w:rtl/>
        </w:rPr>
        <w:t xml:space="preserve"> מהיום</w:t>
      </w:r>
      <w:r w:rsidRPr="00231F7D">
        <w:rPr>
          <w:rFonts w:ascii="David" w:hAnsi="David" w:cs="David"/>
          <w:color w:val="000000" w:themeColor="text1"/>
          <w:u w:val="single"/>
          <w:rtl/>
        </w:rPr>
        <w:t xml:space="preserve"> ובהתאם </w:t>
      </w:r>
      <w:r w:rsidR="000D3D18" w:rsidRPr="00231F7D">
        <w:rPr>
          <w:rFonts w:ascii="David" w:hAnsi="David" w:cs="David" w:hint="cs"/>
          <w:color w:val="000000" w:themeColor="text1"/>
          <w:u w:val="single"/>
          <w:rtl/>
        </w:rPr>
        <w:t xml:space="preserve">מתבקשת השמאית המכריעה </w:t>
      </w:r>
      <w:r w:rsidRPr="00231F7D">
        <w:rPr>
          <w:rFonts w:ascii="David" w:hAnsi="David" w:cs="David"/>
          <w:color w:val="000000" w:themeColor="text1"/>
          <w:u w:val="single"/>
          <w:rtl/>
        </w:rPr>
        <w:t>לקזז את מימוש העבר בגין החלק היחסי של מכירת דירות אלו מהיטל ההשבחה מושא העררים</w:t>
      </w:r>
      <w:r w:rsidR="000D7C1C" w:rsidRPr="00231F7D">
        <w:rPr>
          <w:rFonts w:ascii="David" w:hAnsi="David" w:cs="David" w:hint="cs"/>
          <w:color w:val="000000" w:themeColor="text1"/>
          <w:u w:val="single"/>
          <w:rtl/>
        </w:rPr>
        <w:t xml:space="preserve"> </w:t>
      </w:r>
      <w:r w:rsidR="000D3D18" w:rsidRPr="00231F7D">
        <w:rPr>
          <w:rFonts w:ascii="David" w:hAnsi="David" w:cs="David" w:hint="cs"/>
          <w:color w:val="000000" w:themeColor="text1"/>
          <w:u w:val="single"/>
          <w:rtl/>
        </w:rPr>
        <w:t xml:space="preserve">ולתקן את התחשיב בהתאם. </w:t>
      </w:r>
    </w:p>
    <w:p w:rsidR="00CA0E5D" w:rsidRPr="00231F7D" w:rsidRDefault="000D7C1C" w:rsidP="00CA0E5D">
      <w:pPr>
        <w:pStyle w:val="a9"/>
        <w:numPr>
          <w:ilvl w:val="0"/>
          <w:numId w:val="1"/>
        </w:numPr>
        <w:tabs>
          <w:tab w:val="left" w:pos="425"/>
        </w:tabs>
        <w:spacing w:line="360" w:lineRule="auto"/>
        <w:ind w:right="-142"/>
        <w:contextualSpacing w:val="0"/>
        <w:jc w:val="both"/>
        <w:rPr>
          <w:rFonts w:ascii="David" w:hAnsi="David" w:cs="David"/>
          <w:b/>
          <w:bCs/>
          <w:color w:val="000000" w:themeColor="text1"/>
        </w:rPr>
      </w:pPr>
      <w:r w:rsidRPr="00231F7D">
        <w:rPr>
          <w:rFonts w:ascii="David" w:hAnsi="David" w:cs="David"/>
          <w:b/>
          <w:bCs/>
          <w:color w:val="000000" w:themeColor="text1"/>
          <w:rtl/>
        </w:rPr>
        <w:t>טעות בחישוב שווי הפטור בגין שיקום שכונות ללא מרכיב הממ"דים באומדן השבחה בגין תכניות בי/517, בי/1/517, והקלות</w:t>
      </w:r>
      <w:r w:rsidRPr="00231F7D">
        <w:rPr>
          <w:rFonts w:ascii="David" w:hAnsi="David" w:cs="David" w:hint="cs"/>
          <w:b/>
          <w:bCs/>
          <w:color w:val="000000" w:themeColor="text1"/>
          <w:rtl/>
        </w:rPr>
        <w:t xml:space="preserve"> </w:t>
      </w:r>
      <w:r w:rsidR="003B5FC3" w:rsidRPr="00231F7D">
        <w:rPr>
          <w:rFonts w:ascii="David" w:hAnsi="David" w:cs="David"/>
          <w:b/>
          <w:bCs/>
          <w:color w:val="000000" w:themeColor="text1"/>
          <w:rtl/>
        </w:rPr>
        <w:t>–</w:t>
      </w:r>
      <w:r w:rsidR="006A431B">
        <w:rPr>
          <w:rFonts w:ascii="David" w:hAnsi="David" w:cs="David" w:hint="cs"/>
          <w:b/>
          <w:bCs/>
          <w:color w:val="000000" w:themeColor="text1"/>
          <w:rtl/>
        </w:rPr>
        <w:t xml:space="preserve"> </w:t>
      </w:r>
      <w:r w:rsidR="00BA3FAE" w:rsidRPr="00231F7D">
        <w:rPr>
          <w:rFonts w:ascii="David" w:hAnsi="David" w:cs="David" w:hint="cs"/>
          <w:color w:val="000000" w:themeColor="text1"/>
          <w:rtl/>
        </w:rPr>
        <w:t>לעניין נספח 1 שצורף לתשובה להבהרות מיום 25.6.2025 יש לאמצו</w:t>
      </w:r>
      <w:r w:rsidR="00FE1F09" w:rsidRPr="00231F7D">
        <w:rPr>
          <w:rFonts w:ascii="David" w:hAnsi="David" w:cs="David" w:hint="cs"/>
          <w:color w:val="000000" w:themeColor="text1"/>
          <w:rtl/>
        </w:rPr>
        <w:t>,</w:t>
      </w:r>
      <w:r w:rsidR="00BA3FAE" w:rsidRPr="00231F7D">
        <w:rPr>
          <w:rFonts w:ascii="David" w:hAnsi="David" w:cs="David" w:hint="cs"/>
          <w:color w:val="000000" w:themeColor="text1"/>
          <w:rtl/>
        </w:rPr>
        <w:t xml:space="preserve"> למעט התיקונים הבאים אותם מתבקשת השמאית המכריעה לעשות כדלקמן:</w:t>
      </w:r>
    </w:p>
    <w:p w:rsidR="00BA3FAE" w:rsidRPr="00231F7D" w:rsidRDefault="00BA3FAE" w:rsidP="00073883">
      <w:pPr>
        <w:pStyle w:val="a9"/>
        <w:numPr>
          <w:ilvl w:val="0"/>
          <w:numId w:val="10"/>
        </w:numPr>
        <w:spacing w:line="360" w:lineRule="auto"/>
        <w:ind w:left="714" w:hanging="357"/>
        <w:contextualSpacing w:val="0"/>
        <w:jc w:val="both"/>
        <w:rPr>
          <w:rFonts w:ascii="David" w:hAnsi="David" w:cs="David"/>
          <w:color w:val="000000" w:themeColor="text1"/>
        </w:rPr>
      </w:pPr>
      <w:r w:rsidRPr="00231F7D">
        <w:rPr>
          <w:rFonts w:ascii="David" w:hAnsi="David" w:cs="David" w:hint="cs"/>
          <w:color w:val="000000" w:themeColor="text1"/>
          <w:rtl/>
        </w:rPr>
        <w:t xml:space="preserve">השמאית המכריעה </w:t>
      </w:r>
      <w:r w:rsidRPr="00231F7D">
        <w:rPr>
          <w:rFonts w:ascii="David" w:hAnsi="David" w:cs="David"/>
          <w:color w:val="000000" w:themeColor="text1"/>
          <w:rtl/>
        </w:rPr>
        <w:t>מתבקשת לבדוק את עניין שטחי הדירות בכל מדרגות ההשבחה, באופן שככל ויימצא כי אכן נפלה טעות בשטחי הדירות באיזו מדרגה ממדרג</w:t>
      </w:r>
      <w:r w:rsidR="00982692">
        <w:rPr>
          <w:rFonts w:ascii="David" w:hAnsi="David" w:cs="David" w:hint="cs"/>
          <w:color w:val="000000" w:themeColor="text1"/>
          <w:rtl/>
        </w:rPr>
        <w:t>ו</w:t>
      </w:r>
      <w:r w:rsidRPr="00231F7D">
        <w:rPr>
          <w:rFonts w:ascii="David" w:hAnsi="David" w:cs="David"/>
          <w:color w:val="000000" w:themeColor="text1"/>
          <w:rtl/>
        </w:rPr>
        <w:t>ת ההשבחה תתקנ</w:t>
      </w:r>
      <w:r w:rsidRPr="00231F7D">
        <w:rPr>
          <w:rFonts w:ascii="David" w:hAnsi="David" w:cs="David" w:hint="cs"/>
          <w:color w:val="000000" w:themeColor="text1"/>
          <w:rtl/>
        </w:rPr>
        <w:t>ה</w:t>
      </w:r>
      <w:r w:rsidRPr="00231F7D">
        <w:rPr>
          <w:rFonts w:ascii="David" w:hAnsi="David" w:cs="David"/>
          <w:color w:val="000000" w:themeColor="text1"/>
          <w:rtl/>
        </w:rPr>
        <w:t xml:space="preserve"> בהתאם</w:t>
      </w:r>
      <w:r w:rsidR="00982692">
        <w:rPr>
          <w:rFonts w:ascii="David" w:hAnsi="David" w:cs="David" w:hint="cs"/>
          <w:color w:val="000000" w:themeColor="text1"/>
          <w:rtl/>
        </w:rPr>
        <w:t>,</w:t>
      </w:r>
      <w:r w:rsidRPr="00231F7D">
        <w:rPr>
          <w:rFonts w:ascii="David" w:hAnsi="David" w:cs="David"/>
          <w:color w:val="000000" w:themeColor="text1"/>
          <w:rtl/>
        </w:rPr>
        <w:t xml:space="preserve"> וככל ולא תסביר את הסיבות לפער בין שטחי הדירות כאמור.  </w:t>
      </w:r>
    </w:p>
    <w:p w:rsidR="00BA3FAE" w:rsidRPr="00231F7D" w:rsidRDefault="00BA3FAE" w:rsidP="00073883">
      <w:pPr>
        <w:pStyle w:val="a9"/>
        <w:numPr>
          <w:ilvl w:val="0"/>
          <w:numId w:val="10"/>
        </w:numPr>
        <w:spacing w:line="360" w:lineRule="auto"/>
        <w:ind w:left="714" w:hanging="357"/>
        <w:contextualSpacing w:val="0"/>
        <w:jc w:val="both"/>
        <w:rPr>
          <w:rFonts w:ascii="David" w:hAnsi="David" w:cs="David"/>
          <w:color w:val="000000" w:themeColor="text1"/>
          <w:rtl/>
        </w:rPr>
      </w:pPr>
      <w:r w:rsidRPr="00231F7D">
        <w:rPr>
          <w:rFonts w:ascii="David" w:hAnsi="David" w:cs="David" w:hint="cs"/>
          <w:color w:val="000000" w:themeColor="text1"/>
          <w:rtl/>
        </w:rPr>
        <w:t>לעניין חישוב יחס השווי של רכיב הקרקע לדירות הדיירים מתוך רכיב הקרקע לכלל הדירות -  הואיל ו</w:t>
      </w:r>
      <w:r w:rsidRPr="00231F7D">
        <w:rPr>
          <w:rFonts w:ascii="David" w:hAnsi="David" w:cs="David"/>
          <w:color w:val="000000" w:themeColor="text1"/>
          <w:rtl/>
        </w:rPr>
        <w:t xml:space="preserve">בחלופה 1 הכוללת ממ"דים ישנו שוני בין המונה למכנה בעניין הבאת </w:t>
      </w:r>
      <w:r w:rsidRPr="00231F7D">
        <w:rPr>
          <w:rFonts w:ascii="David" w:hAnsi="David" w:cs="David" w:hint="cs"/>
          <w:color w:val="000000" w:themeColor="text1"/>
          <w:rtl/>
        </w:rPr>
        <w:t xml:space="preserve">/ אי הבאת </w:t>
      </w:r>
      <w:r w:rsidRPr="00231F7D">
        <w:rPr>
          <w:rFonts w:ascii="David" w:hAnsi="David" w:cs="David"/>
          <w:color w:val="000000" w:themeColor="text1"/>
          <w:rtl/>
        </w:rPr>
        <w:t>הממ</w:t>
      </w:r>
      <w:r w:rsidRPr="00231F7D">
        <w:rPr>
          <w:rFonts w:ascii="David" w:hAnsi="David" w:cs="David" w:hint="cs"/>
          <w:color w:val="000000" w:themeColor="text1"/>
          <w:rtl/>
        </w:rPr>
        <w:t>"</w:t>
      </w:r>
      <w:r w:rsidRPr="00231F7D">
        <w:rPr>
          <w:rFonts w:ascii="David" w:hAnsi="David" w:cs="David"/>
          <w:color w:val="000000" w:themeColor="text1"/>
          <w:rtl/>
        </w:rPr>
        <w:t xml:space="preserve">דים, מתבקשת השמאית המכריעה לתקן את התחשיב ולהביא בחשבון את הממ"דים הן במונה והן במכנה ביחס לכלל הדירות.  </w:t>
      </w:r>
    </w:p>
    <w:p w:rsidR="00F962C4" w:rsidRPr="00231F7D" w:rsidRDefault="00CA0E5D" w:rsidP="002A5269">
      <w:pPr>
        <w:pStyle w:val="a9"/>
        <w:numPr>
          <w:ilvl w:val="0"/>
          <w:numId w:val="1"/>
        </w:numPr>
        <w:tabs>
          <w:tab w:val="left" w:pos="425"/>
        </w:tabs>
        <w:spacing w:line="360" w:lineRule="auto"/>
        <w:ind w:left="357" w:right="-142"/>
        <w:contextualSpacing w:val="0"/>
        <w:jc w:val="both"/>
        <w:rPr>
          <w:rFonts w:ascii="David" w:hAnsi="David" w:cs="David"/>
          <w:color w:val="000000" w:themeColor="text1"/>
          <w:rtl/>
        </w:rPr>
      </w:pPr>
      <w:r w:rsidRPr="00231F7D">
        <w:rPr>
          <w:rFonts w:ascii="David" w:hAnsi="David" w:cs="David" w:hint="cs"/>
          <w:b/>
          <w:bCs/>
          <w:color w:val="000000" w:themeColor="text1"/>
          <w:rtl/>
        </w:rPr>
        <w:t xml:space="preserve">תמ"א 38 </w:t>
      </w:r>
      <w:r w:rsidR="00F962C4" w:rsidRPr="00231F7D">
        <w:rPr>
          <w:rFonts w:ascii="David" w:hAnsi="David" w:cs="David"/>
          <w:b/>
          <w:bCs/>
          <w:color w:val="000000" w:themeColor="text1"/>
          <w:rtl/>
        </w:rPr>
        <w:t>–</w:t>
      </w:r>
      <w:r w:rsidRPr="00231F7D">
        <w:rPr>
          <w:rFonts w:ascii="David" w:hAnsi="David" w:cs="David" w:hint="cs"/>
          <w:b/>
          <w:bCs/>
          <w:color w:val="000000" w:themeColor="text1"/>
          <w:rtl/>
        </w:rPr>
        <w:t xml:space="preserve"> </w:t>
      </w:r>
      <w:r w:rsidR="00F962C4" w:rsidRPr="00231F7D">
        <w:rPr>
          <w:rFonts w:ascii="David" w:hAnsi="David" w:cs="David" w:hint="cs"/>
          <w:color w:val="000000" w:themeColor="text1"/>
          <w:rtl/>
        </w:rPr>
        <w:t xml:space="preserve">אנו מורים על השבת התיק </w:t>
      </w:r>
      <w:r w:rsidR="00FE1F09" w:rsidRPr="00231F7D">
        <w:rPr>
          <w:rFonts w:ascii="David" w:hAnsi="David" w:cs="David" w:hint="cs"/>
          <w:color w:val="000000" w:themeColor="text1"/>
          <w:rtl/>
        </w:rPr>
        <w:t xml:space="preserve">גם </w:t>
      </w:r>
      <w:r w:rsidR="00F962C4" w:rsidRPr="00231F7D">
        <w:rPr>
          <w:rFonts w:ascii="David" w:hAnsi="David" w:cs="David" w:hint="cs"/>
          <w:color w:val="000000" w:themeColor="text1"/>
          <w:rtl/>
        </w:rPr>
        <w:t>בנקודה זו לשמאית המכריעה על מנת שתיתן</w:t>
      </w:r>
      <w:r w:rsidR="00F962C4" w:rsidRPr="00231F7D">
        <w:rPr>
          <w:rFonts w:ascii="David" w:hAnsi="David" w:cs="David"/>
          <w:color w:val="000000" w:themeColor="text1"/>
          <w:rtl/>
        </w:rPr>
        <w:t xml:space="preserve"> דעתה בעניין בצורה מפורטת ומנומקת ותתקן את תחשיביה אך ורק במידת הצורך, באופן שבסופו של דבר תפעל בהתאם לעמדת היועמ"ש</w:t>
      </w:r>
      <w:r w:rsidR="00F962C4" w:rsidRPr="00231F7D">
        <w:rPr>
          <w:rFonts w:ascii="David" w:hAnsi="David" w:cs="David" w:hint="cs"/>
          <w:color w:val="000000" w:themeColor="text1"/>
          <w:rtl/>
        </w:rPr>
        <w:t>,</w:t>
      </w:r>
      <w:r w:rsidR="00F962C4" w:rsidRPr="00231F7D">
        <w:rPr>
          <w:rFonts w:ascii="David" w:hAnsi="David" w:cs="David"/>
          <w:color w:val="000000" w:themeColor="text1"/>
          <w:rtl/>
        </w:rPr>
        <w:t xml:space="preserve"> כך שאם יסתבר בסופו של יום כי הפוטנציאל שנוטרל משקף פוטנציאל קונקרטי - אזי התחשיב המופיע בשומות המכריעות בנקודה זו יוותר בעינו, ואילו אם יימצא כי אכן מדובר בפוטנציאל כללי</w:t>
      </w:r>
      <w:r w:rsidR="00F962C4" w:rsidRPr="00231F7D">
        <w:rPr>
          <w:rFonts w:ascii="David" w:hAnsi="David" w:cs="David" w:hint="cs"/>
          <w:color w:val="000000" w:themeColor="text1"/>
          <w:rtl/>
        </w:rPr>
        <w:t xml:space="preserve">, </w:t>
      </w:r>
      <w:r w:rsidR="00F962C4" w:rsidRPr="00231F7D">
        <w:rPr>
          <w:rFonts w:ascii="David" w:hAnsi="David" w:cs="David"/>
          <w:color w:val="000000" w:themeColor="text1"/>
          <w:rtl/>
        </w:rPr>
        <w:t xml:space="preserve">הרי שאין לנטרלו ויש לתקן התחשיב בהתאם. </w:t>
      </w:r>
    </w:p>
    <w:p w:rsidR="00F962C4" w:rsidRPr="00231F7D" w:rsidRDefault="00F962C4" w:rsidP="002A5269">
      <w:pPr>
        <w:pStyle w:val="a9"/>
        <w:tabs>
          <w:tab w:val="left" w:pos="425"/>
        </w:tabs>
        <w:spacing w:line="360" w:lineRule="auto"/>
        <w:ind w:left="357" w:right="-142"/>
        <w:contextualSpacing w:val="0"/>
        <w:jc w:val="both"/>
        <w:rPr>
          <w:rFonts w:ascii="David" w:hAnsi="David" w:cs="David"/>
          <w:color w:val="000000" w:themeColor="text1"/>
          <w:rtl/>
        </w:rPr>
      </w:pPr>
      <w:r w:rsidRPr="00231F7D">
        <w:rPr>
          <w:rFonts w:ascii="David" w:hAnsi="David" w:cs="David"/>
          <w:color w:val="000000" w:themeColor="text1"/>
          <w:rtl/>
        </w:rPr>
        <w:t>מיותר לציין למען הזהירות, כי במידה ויינתן פסק דין בביהמ"ש העליון בהליך התלוי ועומד בעניין "</w:t>
      </w:r>
      <w:proofErr w:type="spellStart"/>
      <w:r w:rsidRPr="00231F7D">
        <w:rPr>
          <w:rFonts w:ascii="David" w:hAnsi="David" w:cs="David"/>
          <w:color w:val="000000" w:themeColor="text1"/>
          <w:rtl/>
        </w:rPr>
        <w:t>לויתן</w:t>
      </w:r>
      <w:proofErr w:type="spellEnd"/>
      <w:r w:rsidRPr="00231F7D">
        <w:rPr>
          <w:rFonts w:ascii="David" w:hAnsi="David" w:cs="David"/>
          <w:color w:val="000000" w:themeColor="text1"/>
          <w:rtl/>
        </w:rPr>
        <w:t xml:space="preserve">" ובטרם תינתן התייחסות השמאית המכריעה תפעל היא בהתאם לפסק דינו של בית המשפט העליון. </w:t>
      </w:r>
    </w:p>
    <w:p w:rsidR="000D3D18" w:rsidRPr="00231F7D" w:rsidRDefault="00AD148D" w:rsidP="002A5269">
      <w:pPr>
        <w:pStyle w:val="a9"/>
        <w:numPr>
          <w:ilvl w:val="0"/>
          <w:numId w:val="1"/>
        </w:numPr>
        <w:tabs>
          <w:tab w:val="left" w:pos="425"/>
        </w:tabs>
        <w:spacing w:line="360" w:lineRule="auto"/>
        <w:ind w:left="357" w:right="-142"/>
        <w:contextualSpacing w:val="0"/>
        <w:jc w:val="both"/>
        <w:rPr>
          <w:rFonts w:ascii="David" w:hAnsi="David" w:cs="David"/>
          <w:color w:val="000000" w:themeColor="text1"/>
        </w:rPr>
      </w:pPr>
      <w:r w:rsidRPr="00231F7D">
        <w:rPr>
          <w:rFonts w:ascii="David" w:hAnsi="David" w:cs="David" w:hint="cs"/>
          <w:b/>
          <w:bCs/>
          <w:color w:val="000000" w:themeColor="text1"/>
          <w:rtl/>
        </w:rPr>
        <w:t>השבת ערבות בנקאית</w:t>
      </w:r>
      <w:r w:rsidRPr="00231F7D">
        <w:rPr>
          <w:rFonts w:ascii="David" w:hAnsi="David" w:cs="David" w:hint="cs"/>
          <w:color w:val="000000" w:themeColor="text1"/>
          <w:rtl/>
        </w:rPr>
        <w:t xml:space="preserve"> - כאמור לעיל </w:t>
      </w:r>
      <w:r w:rsidR="008D5F08" w:rsidRPr="00231F7D">
        <w:rPr>
          <w:rFonts w:ascii="David" w:hAnsi="David" w:cs="David"/>
          <w:color w:val="000000" w:themeColor="text1"/>
          <w:rtl/>
        </w:rPr>
        <w:t xml:space="preserve">ביום 29.12.2025 החברה הגישה בקשה לשחרור ערבות המוחזקת על ידי הועדה המקומית, לה הוגשה תגובת הועדה המקומית ביום 19.1.2025 במסגרתה הועדה המקומית התנגדה לשחרור הערבות בשלב </w:t>
      </w:r>
      <w:r w:rsidRPr="00231F7D">
        <w:rPr>
          <w:rFonts w:ascii="David" w:hAnsi="David" w:cs="David" w:hint="cs"/>
          <w:color w:val="000000" w:themeColor="text1"/>
          <w:rtl/>
        </w:rPr>
        <w:t xml:space="preserve"> בירור הערר על שלל הנימוקים אותם העלתה, אולם </w:t>
      </w:r>
      <w:r w:rsidR="008D5F08" w:rsidRPr="00231F7D">
        <w:rPr>
          <w:rFonts w:ascii="David" w:hAnsi="David" w:cs="David"/>
          <w:b/>
          <w:bCs/>
          <w:color w:val="000000" w:themeColor="text1"/>
          <w:rtl/>
        </w:rPr>
        <w:t>נתנה הסכמתה כי זו תשוחרר לאחר הכרעת ועדת הערר בעררים שבנדון</w:t>
      </w:r>
      <w:r w:rsidR="00DF266B" w:rsidRPr="00231F7D">
        <w:rPr>
          <w:rFonts w:ascii="David" w:hAnsi="David" w:cs="David" w:hint="cs"/>
          <w:color w:val="000000" w:themeColor="text1"/>
          <w:rtl/>
        </w:rPr>
        <w:t xml:space="preserve">. </w:t>
      </w:r>
    </w:p>
    <w:p w:rsidR="000D3D18" w:rsidRPr="00231F7D" w:rsidRDefault="00DF266B" w:rsidP="000D3D18">
      <w:pPr>
        <w:pStyle w:val="a9"/>
        <w:tabs>
          <w:tab w:val="left" w:pos="425"/>
        </w:tabs>
        <w:spacing w:line="360" w:lineRule="auto"/>
        <w:ind w:left="360" w:right="-142"/>
        <w:contextualSpacing w:val="0"/>
        <w:jc w:val="both"/>
        <w:rPr>
          <w:rFonts w:ascii="David" w:hAnsi="David" w:cs="David"/>
          <w:color w:val="000000" w:themeColor="text1"/>
        </w:rPr>
      </w:pPr>
      <w:r w:rsidRPr="00231F7D">
        <w:rPr>
          <w:rFonts w:ascii="David" w:hAnsi="David" w:cs="David" w:hint="cs"/>
          <w:color w:val="000000" w:themeColor="text1"/>
          <w:rtl/>
        </w:rPr>
        <w:t>בהחלטת הביניי</w:t>
      </w:r>
      <w:r w:rsidR="000D3D18" w:rsidRPr="00231F7D">
        <w:rPr>
          <w:rFonts w:ascii="David" w:hAnsi="David" w:cs="David" w:hint="cs"/>
          <w:color w:val="000000" w:themeColor="text1"/>
          <w:rtl/>
        </w:rPr>
        <w:t>ם מיום 8.6.2025 נתבקשה הועדה המקומית לבחון את האפשרות לשחרר את הערבות הבנקאית ולקבל סך של 17 מיליון ש"ח בכפוף להתחייבות החבר</w:t>
      </w:r>
      <w:r w:rsidR="00982692">
        <w:rPr>
          <w:rFonts w:ascii="David" w:hAnsi="David" w:cs="David" w:hint="cs"/>
          <w:color w:val="000000" w:themeColor="text1"/>
          <w:rtl/>
        </w:rPr>
        <w:t>ה</w:t>
      </w:r>
      <w:r w:rsidR="000D3D18" w:rsidRPr="00231F7D">
        <w:rPr>
          <w:rFonts w:ascii="David" w:hAnsi="David" w:cs="David" w:hint="cs"/>
          <w:color w:val="000000" w:themeColor="text1"/>
          <w:rtl/>
        </w:rPr>
        <w:t>,</w:t>
      </w:r>
      <w:r w:rsidR="00982692">
        <w:rPr>
          <w:rFonts w:ascii="David" w:hAnsi="David" w:cs="David" w:hint="cs"/>
          <w:color w:val="000000" w:themeColor="text1"/>
          <w:rtl/>
        </w:rPr>
        <w:t xml:space="preserve"> </w:t>
      </w:r>
      <w:r w:rsidR="000D3D18" w:rsidRPr="00231F7D">
        <w:rPr>
          <w:rFonts w:ascii="David" w:hAnsi="David" w:cs="David" w:hint="cs"/>
          <w:color w:val="000000" w:themeColor="text1"/>
          <w:rtl/>
        </w:rPr>
        <w:t xml:space="preserve">לבצע השלמה של הפער ככל שיהיה בתוך 30 יום לאחר קבלת החלטתה הסופית של ועדת הערר. </w:t>
      </w:r>
    </w:p>
    <w:p w:rsidR="000D3D18" w:rsidRPr="00231F7D" w:rsidRDefault="000D3D18" w:rsidP="000D3D18">
      <w:pPr>
        <w:pStyle w:val="a9"/>
        <w:tabs>
          <w:tab w:val="left" w:pos="425"/>
        </w:tabs>
        <w:spacing w:line="360" w:lineRule="auto"/>
        <w:ind w:left="360" w:right="-142"/>
        <w:contextualSpacing w:val="0"/>
        <w:jc w:val="both"/>
        <w:rPr>
          <w:rFonts w:ascii="David" w:hAnsi="David" w:cs="David"/>
          <w:color w:val="000000" w:themeColor="text1"/>
          <w:rtl/>
        </w:rPr>
      </w:pPr>
      <w:r w:rsidRPr="00231F7D">
        <w:rPr>
          <w:rFonts w:ascii="David" w:hAnsi="David" w:cs="David" w:hint="cs"/>
          <w:color w:val="000000" w:themeColor="text1"/>
          <w:rtl/>
        </w:rPr>
        <w:t xml:space="preserve">ביום 29.6.2025 נמסרה הודעת הועדה המקומית לפיה לא ניתן לשחרר את הערבות במלואה מהנימוקים שפורטו על ידה אולם נתנה הסכמתה להפחית את סכום הערבות על ידי החברה. ברם החברה התנגדה לכך. </w:t>
      </w:r>
    </w:p>
    <w:p w:rsidR="000D3D18" w:rsidRPr="00231F7D" w:rsidRDefault="000D3D18" w:rsidP="000D3D18">
      <w:pPr>
        <w:pStyle w:val="a9"/>
        <w:tabs>
          <w:tab w:val="left" w:pos="425"/>
        </w:tabs>
        <w:spacing w:line="360" w:lineRule="auto"/>
        <w:ind w:left="360" w:right="-142"/>
        <w:contextualSpacing w:val="0"/>
        <w:jc w:val="both"/>
        <w:rPr>
          <w:rFonts w:ascii="David" w:hAnsi="David" w:cs="David"/>
          <w:color w:val="000000" w:themeColor="text1"/>
          <w:rtl/>
        </w:rPr>
      </w:pPr>
      <w:r w:rsidRPr="00231F7D">
        <w:rPr>
          <w:rFonts w:ascii="David" w:hAnsi="David" w:cs="David" w:hint="cs"/>
          <w:color w:val="000000" w:themeColor="text1"/>
          <w:rtl/>
        </w:rPr>
        <w:t xml:space="preserve">על כן ביום 29.6.2025 נתנה החלטתנו לפיה נקבע בין היתר כי הואיל והערבות הבנקאית לא משוחררת בשלב זה, ההחלטה בעררים שבנדון תינתן בהקדם הניתן ותכלול הכרעה גם לגבי שחרור הערבות.  </w:t>
      </w:r>
    </w:p>
    <w:p w:rsidR="00AD148D" w:rsidRPr="00231F7D" w:rsidRDefault="000D3D18" w:rsidP="000D3D18">
      <w:pPr>
        <w:pStyle w:val="a9"/>
        <w:tabs>
          <w:tab w:val="left" w:pos="425"/>
        </w:tabs>
        <w:spacing w:line="360" w:lineRule="auto"/>
        <w:ind w:left="360" w:right="-142"/>
        <w:contextualSpacing w:val="0"/>
        <w:jc w:val="both"/>
        <w:rPr>
          <w:rFonts w:ascii="David" w:hAnsi="David" w:cs="David"/>
          <w:color w:val="000000" w:themeColor="text1"/>
          <w:u w:val="single"/>
        </w:rPr>
      </w:pPr>
      <w:r w:rsidRPr="00231F7D">
        <w:rPr>
          <w:rFonts w:ascii="David" w:hAnsi="David" w:cs="David" w:hint="cs"/>
          <w:color w:val="000000" w:themeColor="text1"/>
          <w:rtl/>
        </w:rPr>
        <w:t xml:space="preserve">משכך, </w:t>
      </w:r>
      <w:r w:rsidR="00AD148D" w:rsidRPr="00231F7D">
        <w:rPr>
          <w:rFonts w:ascii="David" w:hAnsi="David" w:cs="David" w:hint="cs"/>
          <w:color w:val="000000" w:themeColor="text1"/>
          <w:rtl/>
        </w:rPr>
        <w:t>לאור התוצאות אליהן הגענו בהחלטה זו</w:t>
      </w:r>
      <w:r w:rsidRPr="00231F7D">
        <w:rPr>
          <w:rFonts w:ascii="David" w:hAnsi="David" w:cs="David" w:hint="cs"/>
          <w:color w:val="000000" w:themeColor="text1"/>
          <w:rtl/>
        </w:rPr>
        <w:t xml:space="preserve">, </w:t>
      </w:r>
      <w:r w:rsidR="00AD148D" w:rsidRPr="00231F7D">
        <w:rPr>
          <w:rFonts w:ascii="David" w:hAnsi="David" w:cs="David" w:hint="cs"/>
          <w:color w:val="000000" w:themeColor="text1"/>
          <w:u w:val="single"/>
          <w:rtl/>
        </w:rPr>
        <w:t>אנו מורים על השבת הערבות לידי החברה כנגד ביצוע תשלום יתרת ההיטל בהתאם לקביעותנו</w:t>
      </w:r>
      <w:r w:rsidRPr="00231F7D">
        <w:rPr>
          <w:rFonts w:ascii="David" w:hAnsi="David" w:cs="David" w:hint="cs"/>
          <w:color w:val="000000" w:themeColor="text1"/>
          <w:u w:val="single"/>
          <w:rtl/>
        </w:rPr>
        <w:t xml:space="preserve"> לאחר תיקון השומות על ידי השמאית המכריעה כאמור לעיל.</w:t>
      </w:r>
    </w:p>
    <w:p w:rsidR="001819B2" w:rsidRPr="00231F7D" w:rsidRDefault="000D7C1C" w:rsidP="00DF266B">
      <w:pPr>
        <w:pStyle w:val="a9"/>
        <w:widowControl w:val="0"/>
        <w:numPr>
          <w:ilvl w:val="0"/>
          <w:numId w:val="1"/>
        </w:numPr>
        <w:tabs>
          <w:tab w:val="left" w:pos="425"/>
        </w:tabs>
        <w:spacing w:line="360" w:lineRule="auto"/>
        <w:ind w:left="357" w:hanging="357"/>
        <w:contextualSpacing w:val="0"/>
        <w:jc w:val="both"/>
        <w:rPr>
          <w:rFonts w:ascii="David" w:hAnsi="David" w:cs="David"/>
          <w:color w:val="000000" w:themeColor="text1"/>
        </w:rPr>
      </w:pPr>
      <w:r w:rsidRPr="00231F7D">
        <w:rPr>
          <w:rFonts w:ascii="David" w:hAnsi="David" w:cs="David" w:hint="cs"/>
          <w:color w:val="000000" w:themeColor="text1"/>
          <w:rtl/>
        </w:rPr>
        <w:t>יתר טיעוני הצדדים שהועלו נדחו</w:t>
      </w:r>
      <w:r w:rsidR="003B5FC3" w:rsidRPr="00231F7D">
        <w:rPr>
          <w:rFonts w:ascii="David" w:hAnsi="David" w:cs="David" w:hint="cs"/>
          <w:color w:val="000000" w:themeColor="text1"/>
          <w:rtl/>
        </w:rPr>
        <w:t>,</w:t>
      </w:r>
      <w:r w:rsidRPr="00231F7D">
        <w:rPr>
          <w:rFonts w:ascii="David" w:hAnsi="David" w:cs="David" w:hint="cs"/>
          <w:color w:val="000000" w:themeColor="text1"/>
          <w:rtl/>
        </w:rPr>
        <w:t xml:space="preserve"> ונוכח ריבוי</w:t>
      </w:r>
      <w:r w:rsidR="003B5FC3" w:rsidRPr="00231F7D">
        <w:rPr>
          <w:rFonts w:ascii="David" w:hAnsi="David" w:cs="David" w:hint="cs"/>
          <w:color w:val="000000" w:themeColor="text1"/>
          <w:rtl/>
        </w:rPr>
        <w:t xml:space="preserve"> הטענות</w:t>
      </w:r>
      <w:r w:rsidRPr="00231F7D">
        <w:rPr>
          <w:rFonts w:ascii="David" w:hAnsi="David" w:cs="David" w:hint="cs"/>
          <w:color w:val="000000" w:themeColor="text1"/>
          <w:rtl/>
        </w:rPr>
        <w:t xml:space="preserve"> מטעם שני הצדדים, לא מצאנו להשית הוצאות על מי מהצדדים.  </w:t>
      </w:r>
    </w:p>
    <w:p w:rsidR="003B5FC3" w:rsidRPr="00231F7D" w:rsidRDefault="003B5FC3" w:rsidP="00AD148D">
      <w:pPr>
        <w:pStyle w:val="a9"/>
        <w:widowControl w:val="0"/>
        <w:numPr>
          <w:ilvl w:val="0"/>
          <w:numId w:val="1"/>
        </w:numPr>
        <w:tabs>
          <w:tab w:val="left" w:pos="425"/>
        </w:tabs>
        <w:spacing w:line="360" w:lineRule="auto"/>
        <w:ind w:left="357" w:hanging="357"/>
        <w:contextualSpacing w:val="0"/>
        <w:rPr>
          <w:rFonts w:ascii="David" w:hAnsi="David" w:cs="David"/>
          <w:color w:val="000000" w:themeColor="text1"/>
          <w:rtl/>
        </w:rPr>
      </w:pPr>
      <w:r w:rsidRPr="00231F7D">
        <w:rPr>
          <w:rFonts w:ascii="David" w:hAnsi="David" w:cs="David" w:hint="cs"/>
          <w:color w:val="000000" w:themeColor="text1"/>
          <w:rtl/>
        </w:rPr>
        <w:t xml:space="preserve">ההחלטה נתנה פה אחד. </w:t>
      </w:r>
    </w:p>
    <w:p w:rsidR="004F29FC" w:rsidRDefault="004F29FC" w:rsidP="00C56AB4">
      <w:pPr>
        <w:pStyle w:val="a9"/>
        <w:widowControl w:val="0"/>
        <w:ind w:left="360"/>
        <w:rPr>
          <w:rFonts w:cs="David"/>
          <w:b/>
          <w:bCs/>
          <w:sz w:val="28"/>
          <w:szCs w:val="28"/>
          <w:rtl/>
        </w:rPr>
      </w:pPr>
    </w:p>
    <w:p w:rsidR="00C56AB4" w:rsidRDefault="00DC56F4" w:rsidP="00C56AB4">
      <w:pPr>
        <w:pStyle w:val="a9"/>
        <w:widowControl w:val="0"/>
        <w:ind w:left="360"/>
        <w:rPr>
          <w:rFonts w:cs="David"/>
          <w:b/>
          <w:bCs/>
          <w:sz w:val="28"/>
          <w:szCs w:val="28"/>
          <w:rtl/>
        </w:rPr>
      </w:pPr>
      <w:r>
        <w:rPr>
          <w:rFonts w:cs="David" w:hint="cs"/>
          <w:b/>
          <w:bCs/>
          <w:sz w:val="28"/>
          <w:szCs w:val="28"/>
          <w:rtl/>
        </w:rPr>
        <w:t xml:space="preserve">ניתנה </w:t>
      </w:r>
      <w:r w:rsidR="00C56AB4" w:rsidRPr="00F0067D">
        <w:rPr>
          <w:rFonts w:cs="David"/>
          <w:b/>
          <w:bCs/>
          <w:sz w:val="28"/>
          <w:szCs w:val="28"/>
          <w:rtl/>
        </w:rPr>
        <w:t>היום</w:t>
      </w:r>
      <w:r w:rsidR="00C56AB4">
        <w:rPr>
          <w:rFonts w:cs="David" w:hint="cs"/>
          <w:b/>
          <w:bCs/>
          <w:sz w:val="28"/>
          <w:szCs w:val="28"/>
          <w:rtl/>
        </w:rPr>
        <w:t>,</w:t>
      </w:r>
      <w:r w:rsidR="00C56AB4" w:rsidRPr="00F0067D">
        <w:rPr>
          <w:rFonts w:cs="David"/>
          <w:b/>
          <w:bCs/>
          <w:sz w:val="28"/>
          <w:szCs w:val="28"/>
          <w:rtl/>
        </w:rPr>
        <w:t xml:space="preserve"> ‏‏‏‏‏‏‏</w:t>
      </w:r>
      <w:r w:rsidR="00C56AB4">
        <w:rPr>
          <w:rFonts w:cs="David" w:hint="cs"/>
          <w:b/>
          <w:bCs/>
          <w:sz w:val="28"/>
          <w:szCs w:val="28"/>
          <w:rtl/>
        </w:rPr>
        <w:t>יום</w:t>
      </w:r>
      <w:r w:rsidR="00710D0D">
        <w:rPr>
          <w:rFonts w:cs="David" w:hint="cs"/>
          <w:b/>
          <w:bCs/>
          <w:sz w:val="28"/>
          <w:szCs w:val="28"/>
          <w:rtl/>
        </w:rPr>
        <w:t xml:space="preserve"> ראשון ב' באב </w:t>
      </w:r>
      <w:r w:rsidR="00C56AB4">
        <w:rPr>
          <w:rFonts w:cs="David" w:hint="cs"/>
          <w:b/>
          <w:bCs/>
          <w:sz w:val="28"/>
          <w:szCs w:val="28"/>
          <w:rtl/>
        </w:rPr>
        <w:t>התשפ"ה</w:t>
      </w:r>
      <w:r w:rsidR="00C56AB4" w:rsidRPr="00F0067D">
        <w:rPr>
          <w:rFonts w:cs="David"/>
          <w:b/>
          <w:bCs/>
          <w:sz w:val="28"/>
          <w:szCs w:val="28"/>
          <w:rtl/>
        </w:rPr>
        <w:t>,</w:t>
      </w:r>
      <w:r w:rsidR="00710D0D">
        <w:rPr>
          <w:rFonts w:cs="David" w:hint="cs"/>
          <w:b/>
          <w:bCs/>
          <w:sz w:val="28"/>
          <w:szCs w:val="28"/>
          <w:rtl/>
        </w:rPr>
        <w:t xml:space="preserve"> 27 לחודש</w:t>
      </w:r>
      <w:r w:rsidR="00C56AB4" w:rsidRPr="00F0067D">
        <w:rPr>
          <w:rFonts w:cs="David" w:hint="cs"/>
          <w:b/>
          <w:bCs/>
          <w:sz w:val="28"/>
          <w:szCs w:val="28"/>
          <w:rtl/>
        </w:rPr>
        <w:t xml:space="preserve"> </w:t>
      </w:r>
      <w:r w:rsidR="00221D4D">
        <w:rPr>
          <w:rFonts w:cs="David" w:hint="eastAsia"/>
          <w:b/>
          <w:bCs/>
          <w:sz w:val="28"/>
          <w:szCs w:val="28"/>
          <w:rtl/>
        </w:rPr>
        <w:t>יולי</w:t>
      </w:r>
      <w:r w:rsidR="00221D4D">
        <w:rPr>
          <w:rFonts w:cs="David"/>
          <w:b/>
          <w:bCs/>
          <w:sz w:val="28"/>
          <w:szCs w:val="28"/>
          <w:rtl/>
        </w:rPr>
        <w:t xml:space="preserve"> </w:t>
      </w:r>
      <w:r w:rsidR="00221D4D" w:rsidRPr="00F0067D">
        <w:rPr>
          <w:rFonts w:cs="David"/>
          <w:b/>
          <w:bCs/>
          <w:sz w:val="28"/>
          <w:szCs w:val="28"/>
          <w:rtl/>
        </w:rPr>
        <w:t>2025</w:t>
      </w:r>
      <w:r w:rsidR="00C56AB4" w:rsidRPr="00F0067D">
        <w:rPr>
          <w:rFonts w:cs="David" w:hint="cs"/>
          <w:b/>
          <w:bCs/>
          <w:sz w:val="28"/>
          <w:szCs w:val="28"/>
          <w:rtl/>
        </w:rPr>
        <w:t xml:space="preserve">. </w:t>
      </w:r>
    </w:p>
    <w:p w:rsidR="004F29FC" w:rsidRDefault="004F29FC" w:rsidP="00575F25">
      <w:pPr>
        <w:spacing w:after="120" w:line="240" w:lineRule="auto"/>
        <w:rPr>
          <w:rFonts w:ascii="David" w:hAnsi="David" w:cs="David"/>
          <w:sz w:val="28"/>
          <w:szCs w:val="28"/>
          <w:rtl/>
        </w:rPr>
      </w:pPr>
    </w:p>
    <w:p w:rsidR="00785478" w:rsidRDefault="00785478" w:rsidP="00575F25">
      <w:pPr>
        <w:spacing w:after="120" w:line="240" w:lineRule="auto"/>
        <w:rPr>
          <w:rFonts w:ascii="David" w:hAnsi="David" w:cs="David"/>
          <w:sz w:val="28"/>
          <w:szCs w:val="28"/>
          <w:rtl/>
        </w:rPr>
      </w:pPr>
    </w:p>
    <w:p w:rsidR="00C56AB4" w:rsidRPr="0097078F" w:rsidRDefault="00C56AB4" w:rsidP="00575F25">
      <w:pPr>
        <w:spacing w:after="120" w:line="240" w:lineRule="auto"/>
        <w:rPr>
          <w:rFonts w:ascii="David" w:hAnsi="David" w:cs="David"/>
          <w:sz w:val="28"/>
          <w:szCs w:val="28"/>
          <w:rtl/>
        </w:rPr>
      </w:pPr>
      <w:r>
        <w:rPr>
          <w:rFonts w:ascii="David" w:hAnsi="David" w:cs="David" w:hint="cs"/>
          <w:sz w:val="28"/>
          <w:szCs w:val="28"/>
          <w:rtl/>
        </w:rPr>
        <w:t xml:space="preserve">    </w:t>
      </w:r>
      <w:r w:rsidRPr="0097078F">
        <w:rPr>
          <w:rFonts w:ascii="David" w:hAnsi="David" w:cs="David" w:hint="cs"/>
          <w:sz w:val="28"/>
          <w:szCs w:val="28"/>
          <w:rtl/>
        </w:rPr>
        <w:t>_</w:t>
      </w:r>
      <w:r w:rsidRPr="0097078F">
        <w:rPr>
          <w:rFonts w:ascii="David" w:hAnsi="David" w:cs="David"/>
          <w:sz w:val="28"/>
          <w:szCs w:val="28"/>
          <w:rtl/>
        </w:rPr>
        <w:t>____________________</w:t>
      </w:r>
      <w:r w:rsidRPr="0097078F">
        <w:rPr>
          <w:rFonts w:ascii="David" w:hAnsi="David" w:cs="David"/>
          <w:sz w:val="28"/>
          <w:szCs w:val="28"/>
          <w:rtl/>
        </w:rPr>
        <w:tab/>
      </w:r>
      <w:r w:rsidRPr="0097078F">
        <w:rPr>
          <w:rFonts w:ascii="David" w:hAnsi="David" w:cs="David"/>
          <w:sz w:val="28"/>
          <w:szCs w:val="28"/>
          <w:rtl/>
        </w:rPr>
        <w:tab/>
      </w:r>
      <w:r w:rsidRPr="0097078F">
        <w:rPr>
          <w:rFonts w:ascii="David" w:hAnsi="David" w:cs="David" w:hint="cs"/>
          <w:sz w:val="28"/>
          <w:szCs w:val="28"/>
          <w:rtl/>
        </w:rPr>
        <w:t xml:space="preserve">   </w:t>
      </w:r>
      <w:r>
        <w:rPr>
          <w:rFonts w:ascii="David" w:hAnsi="David" w:cs="David" w:hint="cs"/>
          <w:sz w:val="28"/>
          <w:szCs w:val="28"/>
          <w:rtl/>
        </w:rPr>
        <w:t xml:space="preserve">          </w:t>
      </w:r>
      <w:r w:rsidRPr="0097078F">
        <w:rPr>
          <w:rFonts w:ascii="David" w:hAnsi="David" w:cs="David" w:hint="cs"/>
          <w:sz w:val="28"/>
          <w:szCs w:val="28"/>
          <w:rtl/>
        </w:rPr>
        <w:t>__</w:t>
      </w:r>
      <w:r w:rsidRPr="0097078F">
        <w:rPr>
          <w:rFonts w:ascii="David" w:hAnsi="David" w:cs="David"/>
          <w:sz w:val="28"/>
          <w:szCs w:val="28"/>
          <w:rtl/>
        </w:rPr>
        <w:t>____________________</w:t>
      </w:r>
    </w:p>
    <w:p w:rsidR="00C56AB4" w:rsidRPr="0097078F" w:rsidRDefault="00575F25" w:rsidP="00575F25">
      <w:pPr>
        <w:spacing w:after="120" w:line="240" w:lineRule="auto"/>
        <w:rPr>
          <w:rFonts w:ascii="David" w:hAnsi="David" w:cs="David"/>
          <w:b/>
          <w:bCs/>
          <w:sz w:val="28"/>
          <w:szCs w:val="28"/>
          <w:rtl/>
        </w:rPr>
      </w:pPr>
      <w:r>
        <w:rPr>
          <w:rFonts w:ascii="David" w:hAnsi="David" w:cs="David" w:hint="cs"/>
          <w:b/>
          <w:bCs/>
          <w:sz w:val="28"/>
          <w:szCs w:val="28"/>
          <w:rtl/>
        </w:rPr>
        <w:t xml:space="preserve">        </w:t>
      </w:r>
      <w:r w:rsidR="00C56AB4" w:rsidRPr="0097078F">
        <w:rPr>
          <w:rFonts w:ascii="David" w:hAnsi="David" w:cs="David" w:hint="cs"/>
          <w:b/>
          <w:bCs/>
          <w:sz w:val="28"/>
          <w:szCs w:val="28"/>
          <w:rtl/>
        </w:rPr>
        <w:t xml:space="preserve"> דינה בסירטמן</w:t>
      </w:r>
      <w:r w:rsidR="00C56AB4" w:rsidRPr="0097078F">
        <w:rPr>
          <w:rFonts w:ascii="David" w:hAnsi="David" w:cs="David"/>
          <w:b/>
          <w:bCs/>
          <w:sz w:val="28"/>
          <w:szCs w:val="28"/>
          <w:rtl/>
        </w:rPr>
        <w:t xml:space="preserve"> </w:t>
      </w:r>
      <w:r w:rsidR="00C56AB4" w:rsidRPr="0097078F">
        <w:rPr>
          <w:rFonts w:ascii="David" w:hAnsi="David" w:cs="David"/>
          <w:b/>
          <w:bCs/>
          <w:sz w:val="28"/>
          <w:szCs w:val="28"/>
          <w:rtl/>
        </w:rPr>
        <w:tab/>
      </w:r>
      <w:r w:rsidR="00C56AB4" w:rsidRPr="0097078F">
        <w:rPr>
          <w:rFonts w:ascii="David" w:hAnsi="David" w:cs="David"/>
          <w:b/>
          <w:bCs/>
          <w:sz w:val="28"/>
          <w:szCs w:val="28"/>
          <w:rtl/>
        </w:rPr>
        <w:tab/>
      </w:r>
      <w:r w:rsidR="00C56AB4" w:rsidRPr="0097078F">
        <w:rPr>
          <w:rFonts w:ascii="David" w:hAnsi="David" w:cs="David"/>
          <w:b/>
          <w:bCs/>
          <w:sz w:val="28"/>
          <w:szCs w:val="28"/>
          <w:rtl/>
        </w:rPr>
        <w:tab/>
      </w:r>
      <w:r w:rsidR="00C56AB4">
        <w:rPr>
          <w:rFonts w:ascii="David" w:hAnsi="David" w:cs="David" w:hint="cs"/>
          <w:b/>
          <w:bCs/>
          <w:sz w:val="28"/>
          <w:szCs w:val="28"/>
          <w:rtl/>
        </w:rPr>
        <w:t xml:space="preserve">         </w:t>
      </w:r>
      <w:r w:rsidR="00C56AB4">
        <w:rPr>
          <w:rFonts w:ascii="David" w:hAnsi="David" w:cs="David"/>
          <w:b/>
          <w:bCs/>
          <w:sz w:val="28"/>
          <w:szCs w:val="28"/>
          <w:rtl/>
        </w:rPr>
        <w:tab/>
      </w:r>
      <w:r w:rsidR="00C56AB4">
        <w:rPr>
          <w:rFonts w:ascii="David" w:hAnsi="David" w:cs="David" w:hint="cs"/>
          <w:b/>
          <w:bCs/>
          <w:sz w:val="28"/>
          <w:szCs w:val="28"/>
          <w:rtl/>
        </w:rPr>
        <w:t xml:space="preserve">           </w:t>
      </w:r>
      <w:r w:rsidR="00C56AB4" w:rsidRPr="0097078F">
        <w:rPr>
          <w:rFonts w:ascii="David" w:hAnsi="David" w:cs="David" w:hint="cs"/>
          <w:b/>
          <w:bCs/>
          <w:sz w:val="28"/>
          <w:szCs w:val="28"/>
          <w:rtl/>
        </w:rPr>
        <w:t xml:space="preserve"> יפעת בן אריה שטיינברג</w:t>
      </w:r>
      <w:r w:rsidR="00C56AB4" w:rsidRPr="0097078F">
        <w:rPr>
          <w:rFonts w:ascii="David" w:hAnsi="David" w:cs="David"/>
          <w:b/>
          <w:bCs/>
          <w:sz w:val="28"/>
          <w:szCs w:val="28"/>
          <w:rtl/>
        </w:rPr>
        <w:t>, עו"ד</w:t>
      </w:r>
    </w:p>
    <w:p w:rsidR="00C56AB4" w:rsidRPr="0097078F" w:rsidRDefault="00C56AB4" w:rsidP="00575F25">
      <w:pPr>
        <w:spacing w:after="120" w:line="240" w:lineRule="auto"/>
        <w:rPr>
          <w:rFonts w:ascii="David" w:hAnsi="David" w:cs="David"/>
          <w:b/>
          <w:bCs/>
          <w:sz w:val="28"/>
          <w:szCs w:val="28"/>
          <w:rtl/>
        </w:rPr>
      </w:pPr>
      <w:r w:rsidRPr="0097078F">
        <w:rPr>
          <w:rFonts w:ascii="David" w:hAnsi="David" w:cs="David" w:hint="cs"/>
          <w:b/>
          <w:bCs/>
          <w:sz w:val="28"/>
          <w:szCs w:val="28"/>
          <w:rtl/>
        </w:rPr>
        <w:t xml:space="preserve">        </w:t>
      </w:r>
      <w:r>
        <w:rPr>
          <w:rFonts w:ascii="David" w:hAnsi="David" w:cs="David" w:hint="cs"/>
          <w:b/>
          <w:bCs/>
          <w:sz w:val="28"/>
          <w:szCs w:val="28"/>
          <w:rtl/>
        </w:rPr>
        <w:t>מ</w:t>
      </w:r>
      <w:r w:rsidRPr="0097078F">
        <w:rPr>
          <w:rFonts w:ascii="David" w:hAnsi="David" w:cs="David"/>
          <w:b/>
          <w:bCs/>
          <w:sz w:val="28"/>
          <w:szCs w:val="28"/>
          <w:rtl/>
        </w:rPr>
        <w:t>זכיר</w:t>
      </w:r>
      <w:r w:rsidRPr="0097078F">
        <w:rPr>
          <w:rFonts w:ascii="David" w:hAnsi="David" w:cs="David" w:hint="cs"/>
          <w:b/>
          <w:bCs/>
          <w:sz w:val="28"/>
          <w:szCs w:val="28"/>
          <w:rtl/>
        </w:rPr>
        <w:t>ת</w:t>
      </w:r>
      <w:r w:rsidRPr="0097078F">
        <w:rPr>
          <w:rFonts w:ascii="David" w:hAnsi="David" w:cs="David"/>
          <w:b/>
          <w:bCs/>
          <w:sz w:val="28"/>
          <w:szCs w:val="28"/>
          <w:rtl/>
        </w:rPr>
        <w:t xml:space="preserve"> ועדת ערר</w:t>
      </w:r>
      <w:r w:rsidRPr="0097078F">
        <w:rPr>
          <w:rFonts w:ascii="David" w:hAnsi="David" w:cs="David"/>
          <w:b/>
          <w:bCs/>
          <w:sz w:val="28"/>
          <w:szCs w:val="28"/>
          <w:rtl/>
        </w:rPr>
        <w:tab/>
      </w:r>
      <w:r w:rsidRPr="0097078F">
        <w:rPr>
          <w:rFonts w:ascii="David" w:hAnsi="David" w:cs="David"/>
          <w:b/>
          <w:bCs/>
          <w:sz w:val="28"/>
          <w:szCs w:val="28"/>
          <w:rtl/>
        </w:rPr>
        <w:tab/>
      </w:r>
      <w:r w:rsidRPr="0097078F">
        <w:rPr>
          <w:rFonts w:ascii="David" w:hAnsi="David" w:cs="David"/>
          <w:b/>
          <w:bCs/>
          <w:sz w:val="28"/>
          <w:szCs w:val="28"/>
          <w:rtl/>
        </w:rPr>
        <w:tab/>
      </w:r>
      <w:r w:rsidRPr="0097078F">
        <w:rPr>
          <w:rFonts w:ascii="David" w:hAnsi="David" w:cs="David"/>
          <w:b/>
          <w:bCs/>
          <w:sz w:val="28"/>
          <w:szCs w:val="28"/>
          <w:rtl/>
        </w:rPr>
        <w:tab/>
      </w:r>
      <w:r w:rsidRPr="0097078F">
        <w:rPr>
          <w:rFonts w:ascii="David" w:hAnsi="David" w:cs="David" w:hint="cs"/>
          <w:b/>
          <w:bCs/>
          <w:sz w:val="28"/>
          <w:szCs w:val="28"/>
          <w:rtl/>
        </w:rPr>
        <w:t xml:space="preserve">   </w:t>
      </w:r>
      <w:r>
        <w:rPr>
          <w:rFonts w:ascii="David" w:hAnsi="David" w:cs="David" w:hint="cs"/>
          <w:b/>
          <w:bCs/>
          <w:sz w:val="28"/>
          <w:szCs w:val="28"/>
          <w:rtl/>
        </w:rPr>
        <w:t xml:space="preserve">        </w:t>
      </w:r>
      <w:r w:rsidRPr="0097078F">
        <w:rPr>
          <w:rFonts w:ascii="David" w:hAnsi="David" w:cs="David" w:hint="cs"/>
          <w:b/>
          <w:bCs/>
          <w:sz w:val="28"/>
          <w:szCs w:val="28"/>
          <w:rtl/>
        </w:rPr>
        <w:t xml:space="preserve">     </w:t>
      </w:r>
      <w:r>
        <w:rPr>
          <w:rFonts w:ascii="David" w:hAnsi="David" w:cs="David" w:hint="cs"/>
          <w:b/>
          <w:bCs/>
          <w:sz w:val="28"/>
          <w:szCs w:val="28"/>
          <w:rtl/>
        </w:rPr>
        <w:t>יו"ר</w:t>
      </w:r>
      <w:r w:rsidRPr="0097078F">
        <w:rPr>
          <w:rFonts w:ascii="David" w:hAnsi="David" w:cs="David"/>
          <w:b/>
          <w:bCs/>
          <w:sz w:val="28"/>
          <w:szCs w:val="28"/>
          <w:rtl/>
        </w:rPr>
        <w:t xml:space="preserve"> ועדת ערר</w:t>
      </w:r>
    </w:p>
    <w:p w:rsidR="00C56AB4" w:rsidRPr="0097078F" w:rsidRDefault="00C56AB4" w:rsidP="00575F25">
      <w:pPr>
        <w:spacing w:after="120" w:line="240" w:lineRule="auto"/>
        <w:rPr>
          <w:rFonts w:ascii="David" w:hAnsi="David" w:cs="David"/>
          <w:b/>
          <w:bCs/>
          <w:sz w:val="28"/>
          <w:szCs w:val="28"/>
          <w:rtl/>
        </w:rPr>
      </w:pPr>
      <w:r w:rsidRPr="0097078F">
        <w:rPr>
          <w:rFonts w:ascii="David" w:hAnsi="David" w:cs="David" w:hint="cs"/>
          <w:b/>
          <w:bCs/>
          <w:sz w:val="28"/>
          <w:szCs w:val="28"/>
          <w:rtl/>
        </w:rPr>
        <w:t xml:space="preserve">          מחוז תל אביב</w:t>
      </w:r>
      <w:r w:rsidRPr="0097078F">
        <w:rPr>
          <w:rFonts w:ascii="David" w:hAnsi="David" w:cs="David"/>
          <w:b/>
          <w:bCs/>
          <w:sz w:val="28"/>
          <w:szCs w:val="28"/>
          <w:rtl/>
        </w:rPr>
        <w:tab/>
      </w:r>
      <w:r w:rsidRPr="0097078F">
        <w:rPr>
          <w:rFonts w:ascii="David" w:hAnsi="David" w:cs="David"/>
          <w:b/>
          <w:bCs/>
          <w:sz w:val="28"/>
          <w:szCs w:val="28"/>
          <w:rtl/>
        </w:rPr>
        <w:tab/>
      </w:r>
      <w:r>
        <w:rPr>
          <w:rFonts w:ascii="David" w:hAnsi="David" w:cs="David"/>
          <w:b/>
          <w:bCs/>
          <w:sz w:val="28"/>
          <w:szCs w:val="28"/>
          <w:rtl/>
        </w:rPr>
        <w:tab/>
      </w:r>
      <w:r>
        <w:rPr>
          <w:rFonts w:ascii="David" w:hAnsi="David" w:cs="David"/>
          <w:b/>
          <w:bCs/>
          <w:sz w:val="28"/>
          <w:szCs w:val="28"/>
          <w:rtl/>
        </w:rPr>
        <w:tab/>
      </w:r>
      <w:r>
        <w:rPr>
          <w:rFonts w:ascii="David" w:hAnsi="David" w:cs="David" w:hint="cs"/>
          <w:b/>
          <w:bCs/>
          <w:sz w:val="28"/>
          <w:szCs w:val="28"/>
          <w:rtl/>
        </w:rPr>
        <w:t xml:space="preserve">                           </w:t>
      </w:r>
      <w:r w:rsidRPr="0097078F">
        <w:rPr>
          <w:rFonts w:ascii="David" w:hAnsi="David" w:cs="David" w:hint="cs"/>
          <w:b/>
          <w:bCs/>
          <w:sz w:val="28"/>
          <w:szCs w:val="28"/>
          <w:rtl/>
        </w:rPr>
        <w:t>מחוז תל אביב</w:t>
      </w:r>
    </w:p>
    <w:p w:rsidR="00C56AB4" w:rsidRDefault="00C56AB4" w:rsidP="00C56AB4">
      <w:pPr>
        <w:pStyle w:val="a9"/>
        <w:widowControl w:val="0"/>
        <w:ind w:left="360"/>
        <w:rPr>
          <w:rFonts w:cs="David"/>
          <w:b/>
          <w:bCs/>
          <w:sz w:val="28"/>
          <w:szCs w:val="28"/>
          <w:rtl/>
        </w:rPr>
      </w:pPr>
    </w:p>
    <w:sectPr w:rsidR="00C56AB4" w:rsidSect="00F9057D">
      <w:footerReference w:type="default" r:id="rId71"/>
      <w:pgSz w:w="11906" w:h="16838"/>
      <w:pgMar w:top="851" w:right="1274" w:bottom="851" w:left="1418" w:header="708" w:footer="708" w:gutter="0"/>
      <w:pgNumType w:start="1" w:chapStyle="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536B" w:rsidRDefault="008C536B" w:rsidP="001A19E2">
      <w:pPr>
        <w:spacing w:after="0" w:line="240" w:lineRule="auto"/>
      </w:pPr>
      <w:r>
        <w:separator/>
      </w:r>
    </w:p>
  </w:endnote>
  <w:endnote w:type="continuationSeparator" w:id="0">
    <w:p w:rsidR="008C536B" w:rsidRDefault="008C536B" w:rsidP="001A1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arkisim">
    <w:panose1 w:val="020E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9E2" w:rsidRDefault="00F9057D">
    <w:pPr>
      <w:pStyle w:val="af0"/>
    </w:pPr>
    <w:r w:rsidRPr="00F9057D">
      <w:rPr>
        <w:rFonts w:asciiTheme="majorHAnsi" w:eastAsiaTheme="majorEastAsia" w:hAnsiTheme="majorHAnsi" w:cstheme="majorBidi"/>
        <w:sz w:val="28"/>
        <w:szCs w:val="28"/>
        <w:rtl/>
        <w:lang w:val="he-IL"/>
      </w:rPr>
      <w:t xml:space="preserve">~ </w:t>
    </w:r>
    <w:r w:rsidRPr="00F9057D">
      <w:rPr>
        <w:rFonts w:eastAsiaTheme="minorEastAsia" w:cstheme="majorBidi"/>
        <w:sz w:val="22"/>
        <w:szCs w:val="22"/>
      </w:rPr>
      <w:fldChar w:fldCharType="begin"/>
    </w:r>
    <w:r>
      <w:instrText>PAGE    \* MERGEFORMAT</w:instrText>
    </w:r>
    <w:r w:rsidRPr="00F9057D">
      <w:rPr>
        <w:rFonts w:eastAsiaTheme="minorEastAsia"/>
        <w:sz w:val="22"/>
        <w:szCs w:val="22"/>
      </w:rPr>
      <w:fldChar w:fldCharType="separate"/>
    </w:r>
    <w:r w:rsidRPr="00F9057D">
      <w:rPr>
        <w:rFonts w:asciiTheme="majorHAnsi" w:eastAsiaTheme="majorEastAsia" w:hAnsiTheme="majorHAnsi" w:cstheme="majorBidi"/>
        <w:sz w:val="28"/>
        <w:szCs w:val="28"/>
        <w:lang w:val="he-IL"/>
      </w:rPr>
      <w:t>1</w:t>
    </w:r>
    <w:r w:rsidRPr="00F9057D">
      <w:rPr>
        <w:rFonts w:asciiTheme="majorHAnsi" w:eastAsiaTheme="majorEastAsia" w:hAnsiTheme="majorHAnsi" w:cstheme="majorBidi"/>
        <w:sz w:val="28"/>
        <w:szCs w:val="28"/>
      </w:rPr>
      <w:fldChar w:fldCharType="end"/>
    </w:r>
    <w:r w:rsidRPr="00F9057D">
      <w:rPr>
        <w:rFonts w:asciiTheme="majorHAnsi" w:eastAsiaTheme="majorEastAsia" w:hAnsiTheme="majorHAnsi" w:cstheme="majorBidi"/>
        <w:sz w:val="28"/>
        <w:szCs w:val="28"/>
        <w:rtl/>
        <w:lang w:val="he-I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536B" w:rsidRDefault="008C536B" w:rsidP="001A19E2">
      <w:pPr>
        <w:spacing w:after="0" w:line="240" w:lineRule="auto"/>
      </w:pPr>
      <w:r>
        <w:separator/>
      </w:r>
    </w:p>
  </w:footnote>
  <w:footnote w:type="continuationSeparator" w:id="0">
    <w:p w:rsidR="008C536B" w:rsidRDefault="008C536B" w:rsidP="001A19E2">
      <w:pPr>
        <w:spacing w:after="0" w:line="240" w:lineRule="auto"/>
      </w:pPr>
      <w:r>
        <w:continuationSeparator/>
      </w:r>
    </w:p>
  </w:footnote>
  <w:footnote w:id="1">
    <w:p w:rsidR="005E4144" w:rsidRPr="00AC0CBF" w:rsidRDefault="005E4144" w:rsidP="009A01EA">
      <w:pPr>
        <w:pStyle w:val="af7"/>
        <w:rPr>
          <w:rtl/>
        </w:rPr>
      </w:pPr>
      <w:r>
        <w:rPr>
          <w:rStyle w:val="af9"/>
        </w:rPr>
        <w:footnoteRef/>
      </w:r>
      <w:r>
        <w:rPr>
          <w:rtl/>
        </w:rPr>
        <w:t xml:space="preserve"> </w:t>
      </w:r>
      <w:r w:rsidRPr="00AC0CBF">
        <w:rPr>
          <w:rFonts w:ascii="David" w:hAnsi="David" w:cs="David"/>
          <w:rtl/>
        </w:rPr>
        <w:t>בגין הליך זה תלוי ועומד ערעור מנהלי עמ"נ (תל אביב-יפו) 35610-03-25 </w:t>
      </w:r>
      <w:r w:rsidRPr="00AC0CBF">
        <w:rPr>
          <w:rFonts w:ascii="David" w:hAnsi="David" w:cs="David"/>
          <w:b/>
          <w:bCs/>
          <w:u w:val="single"/>
          <w:rtl/>
        </w:rPr>
        <w:t>ועדה מקומית לתכנון ובניה תל אבי</w:t>
      </w:r>
      <w:r w:rsidR="00A038F8">
        <w:rPr>
          <w:rFonts w:ascii="David" w:hAnsi="David" w:cs="David" w:hint="cs"/>
          <w:b/>
          <w:bCs/>
          <w:u w:val="single"/>
          <w:rtl/>
        </w:rPr>
        <w:t xml:space="preserve">ב נ' </w:t>
      </w:r>
      <w:r w:rsidRPr="00AC0CBF">
        <w:rPr>
          <w:rFonts w:ascii="David" w:hAnsi="David" w:cs="David"/>
          <w:b/>
          <w:bCs/>
          <w:u w:val="single"/>
          <w:rtl/>
        </w:rPr>
        <w:t xml:space="preserve">לוי </w:t>
      </w:r>
      <w:r w:rsidR="005C5148">
        <w:rPr>
          <w:rFonts w:ascii="David" w:hAnsi="David" w:cs="David" w:hint="cs"/>
          <w:b/>
          <w:bCs/>
          <w:u w:val="single"/>
          <w:rtl/>
        </w:rPr>
        <w:t xml:space="preserve"> ואח' </w:t>
      </w:r>
      <w:r w:rsidR="005C5148">
        <w:rPr>
          <w:rFonts w:ascii="David" w:hAnsi="David" w:cs="David"/>
          <w:b/>
          <w:bCs/>
          <w:u w:val="single"/>
          <w:rtl/>
        </w:rPr>
        <w:t>–</w:t>
      </w:r>
      <w:r w:rsidR="005C5148">
        <w:rPr>
          <w:rFonts w:ascii="David" w:hAnsi="David" w:cs="David" w:hint="cs"/>
          <w:b/>
          <w:bCs/>
          <w:u w:val="single"/>
          <w:rtl/>
        </w:rPr>
        <w:t xml:space="preserve"> </w:t>
      </w:r>
      <w:r w:rsidR="005C5148" w:rsidRPr="005C5148">
        <w:rPr>
          <w:rFonts w:ascii="David" w:hAnsi="David" w:cs="David" w:hint="cs"/>
          <w:rtl/>
        </w:rPr>
        <w:t xml:space="preserve">בתיק זה ניתן פסק דין ביום 22.7.2025 לגבי תחולת </w:t>
      </w:r>
      <w:r w:rsidR="005C5148">
        <w:rPr>
          <w:rFonts w:ascii="David" w:hAnsi="David" w:cs="David" w:hint="cs"/>
          <w:rtl/>
        </w:rPr>
        <w:t>הנוסחה שנקבעה ב</w:t>
      </w:r>
      <w:r w:rsidR="005C5148" w:rsidRPr="005C5148">
        <w:rPr>
          <w:rFonts w:ascii="David" w:hAnsi="David" w:cs="David" w:hint="cs"/>
          <w:rtl/>
        </w:rPr>
        <w:t>קבוצת הירדן</w:t>
      </w:r>
      <w:r w:rsidR="005C5148">
        <w:rPr>
          <w:rFonts w:ascii="David" w:hAnsi="David" w:cs="David" w:hint="cs"/>
          <w:rtl/>
        </w:rPr>
        <w:t>,</w:t>
      </w:r>
      <w:r w:rsidR="005C5148" w:rsidRPr="005C5148">
        <w:rPr>
          <w:rFonts w:ascii="David" w:hAnsi="David" w:cs="David" w:hint="cs"/>
          <w:rtl/>
        </w:rPr>
        <w:t xml:space="preserve"> אולם נושא פטור שכונות שיקום טרם נדון.</w:t>
      </w:r>
    </w:p>
  </w:footnote>
  <w:footnote w:id="2">
    <w:p w:rsidR="005E4144" w:rsidRDefault="005E4144" w:rsidP="005E4144">
      <w:pPr>
        <w:pStyle w:val="af7"/>
        <w:rPr>
          <w:rtl/>
        </w:rPr>
      </w:pPr>
      <w:r>
        <w:rPr>
          <w:rStyle w:val="af9"/>
        </w:rPr>
        <w:footnoteRef/>
      </w:r>
      <w:r>
        <w:rPr>
          <w:rtl/>
        </w:rPr>
        <w:t xml:space="preserve"> </w:t>
      </w:r>
      <w:r w:rsidRPr="00E15673">
        <w:rPr>
          <w:rFonts w:ascii="David" w:hAnsi="David" w:cs="David"/>
          <w:rtl/>
        </w:rPr>
        <w:t>2,640-1,712= 928 מ"ר</w:t>
      </w:r>
    </w:p>
  </w:footnote>
  <w:footnote w:id="3">
    <w:p w:rsidR="00C24538" w:rsidRDefault="00C24538" w:rsidP="00C24538">
      <w:pPr>
        <w:pStyle w:val="af7"/>
      </w:pPr>
      <w:r>
        <w:rPr>
          <w:rStyle w:val="af9"/>
        </w:rPr>
        <w:footnoteRef/>
      </w:r>
      <w:r>
        <w:rPr>
          <w:rtl/>
        </w:rPr>
        <w:t xml:space="preserve"> </w:t>
      </w:r>
      <w:r w:rsidRPr="00241889">
        <w:rPr>
          <w:rFonts w:ascii="David" w:hAnsi="David" w:cs="David"/>
          <w:rtl/>
        </w:rPr>
        <w:t>כך טענה החברה כאמור והיא תדרש להמציא העתקי הסכמים לשמאית המכריעה בעניין זה.</w:t>
      </w:r>
      <w:r>
        <w:rPr>
          <w:rFonts w:hint="cs"/>
          <w:rtl/>
        </w:rPr>
        <w:t xml:space="preserve"> </w:t>
      </w:r>
    </w:p>
  </w:footnote>
  <w:footnote w:id="4">
    <w:p w:rsidR="00C24538" w:rsidRDefault="00C24538" w:rsidP="00C24538">
      <w:pPr>
        <w:pStyle w:val="af7"/>
      </w:pPr>
      <w:r w:rsidRPr="006164BD">
        <w:rPr>
          <w:rStyle w:val="af9"/>
        </w:rPr>
        <w:footnoteRef/>
      </w:r>
      <w:r w:rsidRPr="006164BD">
        <w:rPr>
          <w:rtl/>
        </w:rPr>
        <w:t xml:space="preserve"> </w:t>
      </w:r>
      <w:r w:rsidRPr="006164BD">
        <w:rPr>
          <w:rFonts w:ascii="David" w:hAnsi="David" w:cs="David"/>
          <w:rtl/>
        </w:rPr>
        <w:t xml:space="preserve">על החלטה זו הוגש ערעור עמנ (ת"א) 79261-03-25 </w:t>
      </w:r>
      <w:r w:rsidRPr="006164BD">
        <w:rPr>
          <w:rFonts w:ascii="David" w:hAnsi="David" w:cs="David"/>
          <w:b/>
          <w:bCs/>
          <w:u w:val="single"/>
          <w:rtl/>
        </w:rPr>
        <w:t>הועדה המקומית לתכנון ולבניה בת ים נ' לבנה ואח'</w:t>
      </w:r>
      <w:r w:rsidRPr="006164BD">
        <w:rPr>
          <w:rFonts w:ascii="David" w:hAnsi="David" w:cs="David"/>
          <w:rtl/>
        </w:rPr>
        <w:t xml:space="preserve">. </w:t>
      </w:r>
      <w:r w:rsidRPr="006164BD">
        <w:rPr>
          <w:rFonts w:ascii="David" w:hAnsi="David" w:cs="David" w:hint="cs"/>
          <w:rtl/>
        </w:rPr>
        <w:t>שהינו תלוי ועומד.</w:t>
      </w:r>
    </w:p>
  </w:footnote>
  <w:footnote w:id="5">
    <w:p w:rsidR="00C24538" w:rsidRDefault="00C24538" w:rsidP="00C24538">
      <w:pPr>
        <w:pStyle w:val="af7"/>
      </w:pPr>
      <w:r>
        <w:rPr>
          <w:rStyle w:val="af9"/>
        </w:rPr>
        <w:footnoteRef/>
      </w:r>
      <w:r>
        <w:rPr>
          <w:rtl/>
        </w:rPr>
        <w:t xml:space="preserve"> </w:t>
      </w:r>
      <w:r w:rsidRPr="00C9126D">
        <w:rPr>
          <w:rFonts w:ascii="David" w:hAnsi="David" w:cs="David" w:hint="cs"/>
          <w:rtl/>
        </w:rPr>
        <w:t xml:space="preserve">ע"א 1321/02 </w:t>
      </w:r>
      <w:r w:rsidRPr="00C9126D">
        <w:rPr>
          <w:rFonts w:ascii="David" w:hAnsi="David" w:cs="David" w:hint="cs"/>
          <w:b/>
          <w:bCs/>
          <w:u w:val="single"/>
          <w:rtl/>
        </w:rPr>
        <w:t>נווה בניין ופיתוח בע"מ נ' הועדה לבניה למגורים ולתעשייה מחוז מרכז</w:t>
      </w:r>
      <w:r w:rsidRPr="00C9126D">
        <w:rPr>
          <w:rFonts w:ascii="David" w:hAnsi="David" w:cs="David" w:hint="cs"/>
          <w:rtl/>
        </w:rPr>
        <w:t>.(נבו 26.5.2023)</w:t>
      </w:r>
    </w:p>
  </w:footnote>
  <w:footnote w:id="6">
    <w:p w:rsidR="00C24538" w:rsidRPr="0062767B" w:rsidRDefault="00C24538" w:rsidP="00C24538">
      <w:pPr>
        <w:pStyle w:val="af7"/>
        <w:rPr>
          <w:rFonts w:ascii="David" w:hAnsi="David" w:cs="David"/>
        </w:rPr>
      </w:pPr>
      <w:r>
        <w:rPr>
          <w:rStyle w:val="af9"/>
        </w:rPr>
        <w:footnoteRef/>
      </w:r>
      <w:r>
        <w:rPr>
          <w:rtl/>
        </w:rPr>
        <w:t xml:space="preserve"> </w:t>
      </w:r>
      <w:r w:rsidRPr="00934D91">
        <w:rPr>
          <w:rFonts w:ascii="David" w:hAnsi="David" w:cs="David" w:hint="cs"/>
          <w:rtl/>
        </w:rPr>
        <w:t xml:space="preserve">ר' והשווה </w:t>
      </w:r>
      <w:r w:rsidRPr="00934D91">
        <w:rPr>
          <w:rFonts w:ascii="David" w:hAnsi="David" w:cs="David"/>
          <w:rtl/>
        </w:rPr>
        <w:t xml:space="preserve">ערר (צפון) 885/14 </w:t>
      </w:r>
      <w:r w:rsidRPr="00934D91">
        <w:rPr>
          <w:rFonts w:cs="Arial"/>
          <w:rtl/>
        </w:rPr>
        <w:t xml:space="preserve"> </w:t>
      </w:r>
      <w:r w:rsidRPr="00934D91">
        <w:rPr>
          <w:rFonts w:ascii="David" w:hAnsi="David" w:cs="David"/>
          <w:b/>
          <w:bCs/>
          <w:u w:val="single"/>
          <w:rtl/>
        </w:rPr>
        <w:t>עדירן פיורה השקעות (1996) בע"מ נ' הוועדה המקומית לתכנון ולבנייה נהריה</w:t>
      </w:r>
      <w:r>
        <w:rPr>
          <w:rFonts w:ascii="David" w:hAnsi="David" w:cs="David" w:hint="cs"/>
          <w:b/>
          <w:bCs/>
          <w:u w:val="single"/>
          <w:rtl/>
        </w:rPr>
        <w:t xml:space="preserve"> </w:t>
      </w:r>
      <w:r w:rsidRPr="0062767B">
        <w:rPr>
          <w:rFonts w:ascii="David" w:hAnsi="David" w:cs="David" w:hint="cs"/>
          <w:rtl/>
        </w:rPr>
        <w:t>(נבו</w:t>
      </w:r>
      <w:r>
        <w:rPr>
          <w:rFonts w:ascii="David" w:hAnsi="David" w:cs="David" w:hint="cs"/>
          <w:b/>
          <w:bCs/>
          <w:u w:val="single"/>
          <w:rtl/>
        </w:rPr>
        <w:t xml:space="preserve"> 19.5.05) </w:t>
      </w:r>
      <w:r>
        <w:rPr>
          <w:rFonts w:ascii="David" w:hAnsi="David" w:cs="David" w:hint="cs"/>
          <w:rtl/>
        </w:rPr>
        <w:t xml:space="preserve"> מפי כב' היו"ר דאז חגית דרורי גרנות</w:t>
      </w:r>
      <w:r w:rsidRPr="0062767B">
        <w:rPr>
          <w:rFonts w:ascii="David" w:hAnsi="David" w:cs="David" w:hint="cs"/>
          <w:rtl/>
        </w:rPr>
        <w:t>;</w:t>
      </w:r>
      <w:r>
        <w:rPr>
          <w:rFonts w:ascii="David" w:hAnsi="David" w:cs="David" w:hint="cs"/>
          <w:b/>
          <w:bCs/>
          <w:u w:val="single"/>
          <w:rtl/>
        </w:rPr>
        <w:t xml:space="preserve"> </w:t>
      </w:r>
      <w:r w:rsidRPr="0062767B">
        <w:rPr>
          <w:rFonts w:ascii="David" w:hAnsi="David" w:cs="David"/>
          <w:b/>
          <w:bCs/>
          <w:u w:val="single"/>
        </w:rPr>
        <w:t> </w:t>
      </w:r>
      <w:r w:rsidRPr="0062767B">
        <w:rPr>
          <w:rFonts w:ascii="David" w:hAnsi="David" w:cs="David"/>
          <w:b/>
          <w:bCs/>
          <w:u w:val="single"/>
          <w:rtl/>
        </w:rPr>
        <w:t>ערר (תל אביב-יפו) 81015-02-22 סיגייט נדל"ן בע"מ נ</w:t>
      </w:r>
      <w:r w:rsidRPr="0062767B">
        <w:rPr>
          <w:rFonts w:ascii="David" w:hAnsi="David" w:cs="David"/>
          <w:b/>
          <w:bCs/>
          <w:u w:val="single"/>
        </w:rPr>
        <w:t>' </w:t>
      </w:r>
      <w:r w:rsidRPr="0062767B">
        <w:rPr>
          <w:rFonts w:ascii="David" w:hAnsi="David" w:cs="David"/>
          <w:b/>
          <w:bCs/>
          <w:u w:val="single"/>
          <w:rtl/>
        </w:rPr>
        <w:t>הוועדה המקומית לתכנון ובניה תל אביב</w:t>
      </w:r>
      <w:r>
        <w:rPr>
          <w:rFonts w:ascii="David" w:hAnsi="David" w:cs="David" w:hint="cs"/>
          <w:b/>
          <w:bCs/>
          <w:u w:val="single"/>
          <w:rtl/>
        </w:rPr>
        <w:t xml:space="preserve"> </w:t>
      </w:r>
      <w:r w:rsidRPr="0062767B">
        <w:rPr>
          <w:rFonts w:ascii="David" w:hAnsi="David" w:cs="David" w:hint="cs"/>
          <w:rtl/>
        </w:rPr>
        <w:t>(נבו 5.6.2024)</w:t>
      </w:r>
      <w:r>
        <w:rPr>
          <w:rFonts w:ascii="David" w:hAnsi="David" w:cs="David" w:hint="cs"/>
          <w:b/>
          <w:bCs/>
          <w:u w:val="single"/>
          <w:rtl/>
        </w:rPr>
        <w:t xml:space="preserve"> </w:t>
      </w:r>
      <w:r w:rsidRPr="0062767B">
        <w:rPr>
          <w:rFonts w:ascii="David" w:hAnsi="David" w:cs="David" w:hint="cs"/>
          <w:rtl/>
        </w:rPr>
        <w:t>מפי כב' היו"ר</w:t>
      </w:r>
      <w:r w:rsidR="009C7B9F">
        <w:rPr>
          <w:rFonts w:ascii="David" w:hAnsi="David" w:cs="David" w:hint="cs"/>
          <w:rtl/>
        </w:rPr>
        <w:t xml:space="preserve"> כתוארה</w:t>
      </w:r>
      <w:r w:rsidRPr="0062767B">
        <w:rPr>
          <w:rFonts w:ascii="David" w:hAnsi="David" w:cs="David" w:hint="cs"/>
          <w:rtl/>
        </w:rPr>
        <w:t xml:space="preserve"> דאז נורית טביב מזרחי . על החלטה זו תלוי ועומד ערעור בפני בית המשפט המנהלי  בתל אביב עמ"נ 44759-09-24  </w:t>
      </w:r>
      <w:r w:rsidRPr="0062767B">
        <w:rPr>
          <w:rFonts w:ascii="David" w:hAnsi="David" w:cs="David" w:hint="cs"/>
          <w:b/>
          <w:bCs/>
          <w:u w:val="single"/>
          <w:rtl/>
        </w:rPr>
        <w:t>הועדה המקומית לתכנון ולבניה תל אביב נ' השער הישראלי</w:t>
      </w:r>
      <w:r w:rsidRPr="0062767B">
        <w:rPr>
          <w:rFonts w:ascii="David" w:hAnsi="David" w:cs="David" w:hint="cs"/>
          <w:rtl/>
        </w:rPr>
        <w:t xml:space="preserve">, בפני כב' הש' אילן צור. </w:t>
      </w:r>
      <w:r w:rsidR="009C7B9F">
        <w:rPr>
          <w:rFonts w:ascii="David" w:hAnsi="David" w:cs="David" w:hint="cs"/>
          <w:rtl/>
        </w:rPr>
        <w:t xml:space="preserve"> ערר 8107-11-22 </w:t>
      </w:r>
      <w:r w:rsidR="009C7B9F" w:rsidRPr="009C7B9F">
        <w:rPr>
          <w:rFonts w:ascii="David" w:hAnsi="David" w:cs="David" w:hint="cs"/>
          <w:b/>
          <w:bCs/>
          <w:u w:val="single"/>
          <w:rtl/>
        </w:rPr>
        <w:t>גבעת שמואל החדשה נ' הועדה המקומית לתכנון ולבניה גבעת שמואל</w:t>
      </w:r>
      <w:r w:rsidR="009C7B9F">
        <w:rPr>
          <w:rFonts w:ascii="David" w:hAnsi="David" w:cs="David" w:hint="cs"/>
          <w:rtl/>
        </w:rPr>
        <w:t xml:space="preserve"> (נבו 22.7.2024) מפי כב' היו"ר מאיה אשכנזי.</w:t>
      </w:r>
    </w:p>
    <w:p w:rsidR="00C24538" w:rsidRPr="0062767B" w:rsidRDefault="00C24538" w:rsidP="00C24538">
      <w:pPr>
        <w:pStyle w:val="af7"/>
        <w:rPr>
          <w:rFonts w:ascii="David" w:hAnsi="David" w:cs="David"/>
          <w:b/>
          <w:bCs/>
          <w:u w:val="single"/>
          <w:rtl/>
        </w:rPr>
      </w:pPr>
    </w:p>
  </w:footnote>
  <w:footnote w:id="7">
    <w:p w:rsidR="007E69B7" w:rsidRDefault="007E69B7">
      <w:pPr>
        <w:pStyle w:val="af7"/>
      </w:pPr>
      <w:r>
        <w:rPr>
          <w:rStyle w:val="af9"/>
        </w:rPr>
        <w:footnoteRef/>
      </w:r>
      <w:r>
        <w:rPr>
          <w:rtl/>
        </w:rPr>
        <w:t xml:space="preserve"> </w:t>
      </w:r>
      <w:r w:rsidRPr="00EF3FC6">
        <w:rPr>
          <w:rFonts w:ascii="David" w:hAnsi="David" w:cs="David"/>
          <w:rtl/>
        </w:rPr>
        <w:t>על פסק דין זה הוגש  בקשות רשות ערעור לבית המשפט העליון בר"מ 2013/24+ 1712/24 שנדחו על ידי כב' הש' סולברג מיום 30.9.2024</w:t>
      </w:r>
    </w:p>
  </w:footnote>
  <w:footnote w:id="8">
    <w:p w:rsidR="00060E4B" w:rsidRDefault="00060E4B">
      <w:pPr>
        <w:pStyle w:val="af7"/>
      </w:pPr>
      <w:r>
        <w:rPr>
          <w:rStyle w:val="af9"/>
        </w:rPr>
        <w:footnoteRef/>
      </w:r>
      <w:r>
        <w:rPr>
          <w:rtl/>
        </w:rPr>
        <w:t xml:space="preserve"> </w:t>
      </w:r>
      <w:r w:rsidRPr="00730E63">
        <w:rPr>
          <w:rFonts w:ascii="David" w:hAnsi="David" w:cs="David"/>
          <w:rtl/>
        </w:rPr>
        <w:t xml:space="preserve">על החלטה זו הוגש ערעור לבית המשפט המנהלי 42917-05-25 </w:t>
      </w:r>
      <w:r w:rsidRPr="00730E63">
        <w:rPr>
          <w:rFonts w:ascii="David" w:hAnsi="David" w:cs="David"/>
          <w:b/>
          <w:bCs/>
          <w:u w:val="single"/>
          <w:rtl/>
        </w:rPr>
        <w:t>עיריית בת ים נ' פ.פ אפריקה אינווסט (2010) בע"מ</w:t>
      </w:r>
      <w:r w:rsidRPr="00730E63">
        <w:rPr>
          <w:rFonts w:ascii="David" w:hAnsi="David" w:cs="David"/>
          <w:rtl/>
        </w:rPr>
        <w:t xml:space="preserve"> שהינו תלוי ועומד  ונקבע בו דיון ליום 13.1.26.</w:t>
      </w:r>
    </w:p>
  </w:footnote>
  <w:footnote w:id="9">
    <w:p w:rsidR="00D77C12" w:rsidRDefault="00D77C12">
      <w:pPr>
        <w:pStyle w:val="af7"/>
      </w:pPr>
      <w:r>
        <w:rPr>
          <w:rStyle w:val="af9"/>
        </w:rPr>
        <w:footnoteRef/>
      </w:r>
      <w:r>
        <w:rPr>
          <w:rtl/>
        </w:rPr>
        <w:t xml:space="preserve"> </w:t>
      </w:r>
      <w:r>
        <w:rPr>
          <w:rFonts w:ascii="David" w:hAnsi="David" w:cs="David" w:hint="cs"/>
          <w:rtl/>
        </w:rPr>
        <w:t xml:space="preserve">ערעור שהוגש על החלטה זו נדחה על ידי בית המשפט המחוזי  עמ"נ 24406-11-24 </w:t>
      </w:r>
      <w:r w:rsidRPr="00D77C12">
        <w:rPr>
          <w:rFonts w:ascii="David" w:hAnsi="David" w:cs="David" w:hint="cs"/>
          <w:b/>
          <w:bCs/>
          <w:u w:val="single"/>
          <w:rtl/>
        </w:rPr>
        <w:t>ועדה מקומית לתכנון ולבניה תל אביב נ' אברהם כספי ז"ל</w:t>
      </w:r>
      <w:r>
        <w:rPr>
          <w:rFonts w:ascii="David" w:hAnsi="David" w:cs="David" w:hint="cs"/>
          <w:rtl/>
        </w:rPr>
        <w:t xml:space="preserve"> (נבו 18.5.25) על ידי כב' הש' אילן צור</w:t>
      </w:r>
      <w:r w:rsidR="00FF2F2F">
        <w:rPr>
          <w:rFonts w:hint="cs"/>
          <w:rtl/>
        </w:rPr>
        <w:t>.</w:t>
      </w:r>
    </w:p>
  </w:footnote>
  <w:footnote w:id="10">
    <w:p w:rsidR="00044AE3" w:rsidRDefault="00044AE3" w:rsidP="00044AE3">
      <w:pPr>
        <w:pStyle w:val="af7"/>
      </w:pPr>
      <w:r>
        <w:rPr>
          <w:rStyle w:val="af9"/>
        </w:rPr>
        <w:footnoteRef/>
      </w:r>
      <w:r>
        <w:rPr>
          <w:rtl/>
        </w:rPr>
        <w:t xml:space="preserve"> ראו תקני שמאות 2.0, 3.0.</w:t>
      </w:r>
    </w:p>
  </w:footnote>
  <w:footnote w:id="11">
    <w:p w:rsidR="00044AE3" w:rsidRDefault="00044AE3" w:rsidP="00044AE3">
      <w:pPr>
        <w:pStyle w:val="af7"/>
      </w:pPr>
      <w:r>
        <w:rPr>
          <w:rStyle w:val="af9"/>
        </w:rPr>
        <w:footnoteRef/>
      </w:r>
      <w:r>
        <w:rPr>
          <w:rtl/>
        </w:rPr>
        <w:t xml:space="preserve"> </w:t>
      </w:r>
      <w:r w:rsidRPr="009C663B">
        <w:rPr>
          <w:rFonts w:ascii="David" w:hAnsi="David" w:cs="David"/>
          <w:rtl/>
        </w:rPr>
        <w:t>רגישות התחשיב - היא עוצמת השינוי בתוצאת תחשיב כתוצאה משינוי באחד או יותר ממרכיבי התחשיב שקיימת לגביו אי וודאות. רמת הרגישות של התחשיב היא שיקול בבחירת גישות השומה.</w:t>
      </w:r>
    </w:p>
  </w:footnote>
  <w:footnote w:id="12">
    <w:p w:rsidR="00044AE3" w:rsidRPr="00DC707C" w:rsidRDefault="00044AE3" w:rsidP="00044AE3">
      <w:pPr>
        <w:pStyle w:val="af7"/>
        <w:rPr>
          <w:rFonts w:ascii="David" w:hAnsi="David" w:cs="David"/>
        </w:rPr>
      </w:pPr>
      <w:r>
        <w:rPr>
          <w:rStyle w:val="af9"/>
        </w:rPr>
        <w:footnoteRef/>
      </w:r>
      <w:r>
        <w:rPr>
          <w:rtl/>
        </w:rPr>
        <w:t xml:space="preserve"> </w:t>
      </w:r>
      <w:r w:rsidRPr="00DC707C">
        <w:rPr>
          <w:rFonts w:ascii="David" w:hAnsi="David" w:cs="David"/>
          <w:rtl/>
        </w:rPr>
        <w:t xml:space="preserve">ראו </w:t>
      </w:r>
      <w:bookmarkStart w:id="41" w:name="SeifFN55"/>
      <w:r w:rsidRPr="00DC707C">
        <w:rPr>
          <w:rFonts w:ascii="David" w:hAnsi="David" w:cs="David"/>
          <w:rtl/>
        </w:rPr>
        <w:t xml:space="preserve">סעיף </w:t>
      </w:r>
      <w:bookmarkEnd w:id="41"/>
      <w:r w:rsidRPr="00DC707C">
        <w:rPr>
          <w:rFonts w:ascii="David" w:hAnsi="David" w:cs="David"/>
          <w:rtl/>
        </w:rPr>
        <w:t>3 בתקן 2.0 - יישום גישות השומה בשומות מקרקעין לנכסים בנויים למגורים, משרדים, תעשיה, מלאכה ומסחר, מרץ 2007.</w:t>
      </w:r>
    </w:p>
  </w:footnote>
  <w:footnote w:id="13">
    <w:p w:rsidR="00044AE3" w:rsidRPr="00DC707C" w:rsidRDefault="00044AE3" w:rsidP="00044AE3">
      <w:pPr>
        <w:pStyle w:val="af7"/>
        <w:rPr>
          <w:rFonts w:ascii="David" w:hAnsi="David" w:cs="David"/>
        </w:rPr>
      </w:pPr>
      <w:r w:rsidRPr="00DC707C">
        <w:rPr>
          <w:rStyle w:val="af9"/>
          <w:rFonts w:ascii="David" w:hAnsi="David" w:cs="David"/>
        </w:rPr>
        <w:footnoteRef/>
      </w:r>
      <w:r w:rsidRPr="00DC707C">
        <w:rPr>
          <w:rFonts w:ascii="David" w:hAnsi="David" w:cs="David"/>
          <w:rtl/>
        </w:rPr>
        <w:t xml:space="preserve"> תקן 3.0 - יישום גישות השומה בשומות מקרקעין לנכסים לא בנויים למגורים, משרדים, תעשיה, מלאכה, מסחר ולקרקע חקלאית., ספטמבר 2007.</w:t>
      </w:r>
    </w:p>
  </w:footnote>
  <w:footnote w:id="14">
    <w:p w:rsidR="00044AE3" w:rsidRDefault="00044AE3" w:rsidP="00044AE3">
      <w:pPr>
        <w:pStyle w:val="af7"/>
      </w:pPr>
      <w:r w:rsidRPr="00DC707C">
        <w:rPr>
          <w:rStyle w:val="af9"/>
          <w:rFonts w:ascii="David" w:hAnsi="David" w:cs="David"/>
        </w:rPr>
        <w:footnoteRef/>
      </w:r>
      <w:r w:rsidRPr="00DC707C">
        <w:rPr>
          <w:rFonts w:ascii="David" w:hAnsi="David" w:cs="David"/>
          <w:rtl/>
        </w:rPr>
        <w:t xml:space="preserve"> מילון מונחים מקצועי של הוועדה לתקינה שמאית, אוגוסט 2007.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67579"/>
    <w:multiLevelType w:val="multilevel"/>
    <w:tmpl w:val="6D1A0D28"/>
    <w:lvl w:ilvl="0">
      <w:start w:val="1"/>
      <w:numFmt w:val="decimal"/>
      <w:lvlText w:val="%1."/>
      <w:lvlJc w:val="left"/>
      <w:pPr>
        <w:ind w:left="360" w:hanging="360"/>
      </w:pPr>
      <w:rPr>
        <w:rFonts w:hint="default"/>
        <w:b w:val="0"/>
        <w:bCs w:val="0"/>
        <w:i w:val="0"/>
        <w:iCs w:val="0"/>
        <w:color w:val="auto"/>
        <w:sz w:val="24"/>
        <w:szCs w:val="24"/>
        <w:u w:val="none"/>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7206976"/>
    <w:multiLevelType w:val="hybridMultilevel"/>
    <w:tmpl w:val="58AAC766"/>
    <w:lvl w:ilvl="0" w:tplc="2C5C135A">
      <w:start w:val="126"/>
      <w:numFmt w:val="decimal"/>
      <w:lvlText w:val="%1."/>
      <w:lvlJc w:val="left"/>
      <w:pPr>
        <w:ind w:left="758" w:hanging="390"/>
      </w:pPr>
      <w:rPr>
        <w:rFonts w:hint="default"/>
        <w:b w:val="0"/>
        <w:bCs w:val="0"/>
      </w:rPr>
    </w:lvl>
    <w:lvl w:ilvl="1" w:tplc="04090019">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 w15:restartNumberingAfterBreak="0">
    <w:nsid w:val="1F10665E"/>
    <w:multiLevelType w:val="hybridMultilevel"/>
    <w:tmpl w:val="A554379E"/>
    <w:lvl w:ilvl="0" w:tplc="88FCBF3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BE2EE4"/>
    <w:multiLevelType w:val="multilevel"/>
    <w:tmpl w:val="FE3AA1B2"/>
    <w:lvl w:ilvl="0">
      <w:start w:val="108"/>
      <w:numFmt w:val="decimal"/>
      <w:lvlText w:val="%1."/>
      <w:lvlJc w:val="left"/>
      <w:pPr>
        <w:ind w:left="785" w:hanging="360"/>
      </w:pPr>
      <w:rPr>
        <w:rFonts w:ascii="David" w:hAnsi="David" w:cs="David" w:hint="default"/>
        <w:b w:val="0"/>
        <w:bCs w:val="0"/>
        <w:color w:val="auto"/>
        <w:lang w:bidi="he-IL"/>
      </w:rPr>
    </w:lvl>
    <w:lvl w:ilvl="1">
      <w:start w:val="1"/>
      <w:numFmt w:val="decimal"/>
      <w:lvlText w:val="%1.%2."/>
      <w:lvlJc w:val="left"/>
      <w:pPr>
        <w:ind w:left="1217" w:hanging="432"/>
      </w:pPr>
      <w:rPr>
        <w:rFonts w:hint="default"/>
        <w:b w:val="0"/>
        <w:bCs w:val="0"/>
      </w:rPr>
    </w:lvl>
    <w:lvl w:ilvl="2">
      <w:start w:val="1"/>
      <w:numFmt w:val="decimal"/>
      <w:lvlText w:val="%1.%2.%3."/>
      <w:lvlJc w:val="left"/>
      <w:pPr>
        <w:ind w:left="1649" w:hanging="504"/>
      </w:pPr>
      <w:rPr>
        <w:rFonts w:hint="default"/>
      </w:rPr>
    </w:lvl>
    <w:lvl w:ilvl="3">
      <w:start w:val="1"/>
      <w:numFmt w:val="decimal"/>
      <w:lvlText w:val="%1.%2.%3.%4."/>
      <w:lvlJc w:val="left"/>
      <w:pPr>
        <w:ind w:left="2153" w:hanging="648"/>
      </w:pPr>
      <w:rPr>
        <w:rFonts w:hint="default"/>
      </w:rPr>
    </w:lvl>
    <w:lvl w:ilvl="4">
      <w:start w:val="1"/>
      <w:numFmt w:val="decimal"/>
      <w:lvlText w:val="%1.%2.%3.%4.%5."/>
      <w:lvlJc w:val="left"/>
      <w:pPr>
        <w:ind w:left="2657" w:hanging="792"/>
      </w:pPr>
      <w:rPr>
        <w:rFonts w:hint="default"/>
      </w:rPr>
    </w:lvl>
    <w:lvl w:ilvl="5">
      <w:start w:val="1"/>
      <w:numFmt w:val="decimal"/>
      <w:lvlText w:val="%1.%2.%3.%4.%5.%6."/>
      <w:lvlJc w:val="left"/>
      <w:pPr>
        <w:ind w:left="3161" w:hanging="936"/>
      </w:pPr>
      <w:rPr>
        <w:rFonts w:hint="default"/>
      </w:rPr>
    </w:lvl>
    <w:lvl w:ilvl="6">
      <w:start w:val="1"/>
      <w:numFmt w:val="decimal"/>
      <w:lvlText w:val="%1.%2.%3.%4.%5.%6.%7."/>
      <w:lvlJc w:val="left"/>
      <w:pPr>
        <w:ind w:left="3665" w:hanging="1080"/>
      </w:pPr>
      <w:rPr>
        <w:rFonts w:hint="default"/>
      </w:rPr>
    </w:lvl>
    <w:lvl w:ilvl="7">
      <w:start w:val="1"/>
      <w:numFmt w:val="decimal"/>
      <w:lvlText w:val="%1.%2.%3.%4.%5.%6.%7.%8."/>
      <w:lvlJc w:val="left"/>
      <w:pPr>
        <w:ind w:left="4169" w:hanging="1224"/>
      </w:pPr>
      <w:rPr>
        <w:rFonts w:hint="default"/>
      </w:rPr>
    </w:lvl>
    <w:lvl w:ilvl="8">
      <w:start w:val="1"/>
      <w:numFmt w:val="decimal"/>
      <w:lvlText w:val="%1.%2.%3.%4.%5.%6.%7.%8.%9."/>
      <w:lvlJc w:val="left"/>
      <w:pPr>
        <w:ind w:left="4745" w:hanging="1440"/>
      </w:pPr>
      <w:rPr>
        <w:rFonts w:hint="default"/>
      </w:rPr>
    </w:lvl>
  </w:abstractNum>
  <w:abstractNum w:abstractNumId="4" w15:restartNumberingAfterBreak="0">
    <w:nsid w:val="381367D4"/>
    <w:multiLevelType w:val="hybridMultilevel"/>
    <w:tmpl w:val="77DEF49C"/>
    <w:lvl w:ilvl="0" w:tplc="E47E5E3C">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536AC0"/>
    <w:multiLevelType w:val="hybridMultilevel"/>
    <w:tmpl w:val="B62C464E"/>
    <w:lvl w:ilvl="0" w:tplc="874E28F6">
      <w:start w:val="1"/>
      <w:numFmt w:val="hebrew1"/>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6" w15:restartNumberingAfterBreak="0">
    <w:nsid w:val="4E943975"/>
    <w:multiLevelType w:val="hybridMultilevel"/>
    <w:tmpl w:val="8CFAE12A"/>
    <w:lvl w:ilvl="0" w:tplc="DC4263F0">
      <w:start w:val="1"/>
      <w:numFmt w:val="hebrew1"/>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7" w15:restartNumberingAfterBreak="0">
    <w:nsid w:val="66063373"/>
    <w:multiLevelType w:val="hybridMultilevel"/>
    <w:tmpl w:val="30C08BB6"/>
    <w:lvl w:ilvl="0" w:tplc="2BDAA61C">
      <w:start w:val="1"/>
      <w:numFmt w:val="hebrew1"/>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8" w15:restartNumberingAfterBreak="0">
    <w:nsid w:val="74983A25"/>
    <w:multiLevelType w:val="hybridMultilevel"/>
    <w:tmpl w:val="92C8A43A"/>
    <w:lvl w:ilvl="0" w:tplc="47C0126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80591A"/>
    <w:multiLevelType w:val="hybridMultilevel"/>
    <w:tmpl w:val="568C9774"/>
    <w:lvl w:ilvl="0" w:tplc="C1E6335A">
      <w:start w:val="1"/>
      <w:numFmt w:val="decimal"/>
      <w:lvlText w:val="(%1)"/>
      <w:lvlJc w:val="left"/>
      <w:pPr>
        <w:ind w:left="1310" w:hanging="5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F745233"/>
    <w:multiLevelType w:val="hybridMultilevel"/>
    <w:tmpl w:val="D24C4FA8"/>
    <w:lvl w:ilvl="0" w:tplc="C1C41950">
      <w:start w:val="1"/>
      <w:numFmt w:val="hebrew1"/>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num w:numId="1">
    <w:abstractNumId w:val="0"/>
  </w:num>
  <w:num w:numId="2">
    <w:abstractNumId w:val="2"/>
  </w:num>
  <w:num w:numId="3">
    <w:abstractNumId w:val="4"/>
  </w:num>
  <w:num w:numId="4">
    <w:abstractNumId w:val="5"/>
  </w:num>
  <w:num w:numId="5">
    <w:abstractNumId w:val="6"/>
  </w:num>
  <w:num w:numId="6">
    <w:abstractNumId w:val="7"/>
  </w:num>
  <w:num w:numId="7">
    <w:abstractNumId w:val="10"/>
  </w:num>
  <w:num w:numId="8">
    <w:abstractNumId w:val="3"/>
  </w:num>
  <w:num w:numId="9">
    <w:abstractNumId w:val="9"/>
  </w:num>
  <w:num w:numId="10">
    <w:abstractNumId w:val="8"/>
  </w:num>
  <w:num w:numId="1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B6B"/>
    <w:rsid w:val="0000093D"/>
    <w:rsid w:val="000075AD"/>
    <w:rsid w:val="00007835"/>
    <w:rsid w:val="00007A7F"/>
    <w:rsid w:val="00013DD7"/>
    <w:rsid w:val="00022351"/>
    <w:rsid w:val="00023581"/>
    <w:rsid w:val="00023F4C"/>
    <w:rsid w:val="000260D0"/>
    <w:rsid w:val="00031E93"/>
    <w:rsid w:val="0003258B"/>
    <w:rsid w:val="000334EC"/>
    <w:rsid w:val="00041345"/>
    <w:rsid w:val="00044AE3"/>
    <w:rsid w:val="000458FF"/>
    <w:rsid w:val="000504E4"/>
    <w:rsid w:val="000566B6"/>
    <w:rsid w:val="000575E4"/>
    <w:rsid w:val="0006047C"/>
    <w:rsid w:val="00060E4B"/>
    <w:rsid w:val="00061A9E"/>
    <w:rsid w:val="00073883"/>
    <w:rsid w:val="0007476E"/>
    <w:rsid w:val="00075A99"/>
    <w:rsid w:val="00076367"/>
    <w:rsid w:val="00077AA3"/>
    <w:rsid w:val="0008237A"/>
    <w:rsid w:val="00086C3C"/>
    <w:rsid w:val="00095A69"/>
    <w:rsid w:val="000A3EF9"/>
    <w:rsid w:val="000C0927"/>
    <w:rsid w:val="000D05A5"/>
    <w:rsid w:val="000D12FF"/>
    <w:rsid w:val="000D18FC"/>
    <w:rsid w:val="000D3D18"/>
    <w:rsid w:val="000D43AD"/>
    <w:rsid w:val="000D4B50"/>
    <w:rsid w:val="000D599B"/>
    <w:rsid w:val="000D7C1C"/>
    <w:rsid w:val="000E6B10"/>
    <w:rsid w:val="000F1F8D"/>
    <w:rsid w:val="000F230A"/>
    <w:rsid w:val="000F2753"/>
    <w:rsid w:val="000F3229"/>
    <w:rsid w:val="000F47B2"/>
    <w:rsid w:val="000F5AC2"/>
    <w:rsid w:val="001000F6"/>
    <w:rsid w:val="00103A0F"/>
    <w:rsid w:val="00106C49"/>
    <w:rsid w:val="0011283A"/>
    <w:rsid w:val="001215CD"/>
    <w:rsid w:val="00123511"/>
    <w:rsid w:val="001253AE"/>
    <w:rsid w:val="00141E48"/>
    <w:rsid w:val="00146016"/>
    <w:rsid w:val="00147A82"/>
    <w:rsid w:val="00152F10"/>
    <w:rsid w:val="00153ACD"/>
    <w:rsid w:val="00166C2D"/>
    <w:rsid w:val="001700BD"/>
    <w:rsid w:val="0017086E"/>
    <w:rsid w:val="001737BF"/>
    <w:rsid w:val="00173C2D"/>
    <w:rsid w:val="001819B2"/>
    <w:rsid w:val="00182C0F"/>
    <w:rsid w:val="00185263"/>
    <w:rsid w:val="00187C7B"/>
    <w:rsid w:val="00195208"/>
    <w:rsid w:val="00195DDE"/>
    <w:rsid w:val="001972A4"/>
    <w:rsid w:val="00197C1B"/>
    <w:rsid w:val="001A19E2"/>
    <w:rsid w:val="001A1A64"/>
    <w:rsid w:val="001A7F7F"/>
    <w:rsid w:val="001B015B"/>
    <w:rsid w:val="001B6FA1"/>
    <w:rsid w:val="001C52C1"/>
    <w:rsid w:val="001C78F9"/>
    <w:rsid w:val="001C7935"/>
    <w:rsid w:val="001D0313"/>
    <w:rsid w:val="001D084F"/>
    <w:rsid w:val="001D16E0"/>
    <w:rsid w:val="001D70B2"/>
    <w:rsid w:val="001D7A60"/>
    <w:rsid w:val="001D7BD0"/>
    <w:rsid w:val="001E0294"/>
    <w:rsid w:val="001E2A46"/>
    <w:rsid w:val="001E2F0B"/>
    <w:rsid w:val="001F2946"/>
    <w:rsid w:val="001F5A1D"/>
    <w:rsid w:val="002023D0"/>
    <w:rsid w:val="00203BBD"/>
    <w:rsid w:val="00203CBF"/>
    <w:rsid w:val="00205D4E"/>
    <w:rsid w:val="002110F7"/>
    <w:rsid w:val="00212234"/>
    <w:rsid w:val="00213251"/>
    <w:rsid w:val="00221D4D"/>
    <w:rsid w:val="00222847"/>
    <w:rsid w:val="00231F7D"/>
    <w:rsid w:val="00232DBC"/>
    <w:rsid w:val="00234C06"/>
    <w:rsid w:val="00236F3C"/>
    <w:rsid w:val="002410F3"/>
    <w:rsid w:val="00241889"/>
    <w:rsid w:val="00241F36"/>
    <w:rsid w:val="00244B5A"/>
    <w:rsid w:val="002524F2"/>
    <w:rsid w:val="00253AB8"/>
    <w:rsid w:val="002638D8"/>
    <w:rsid w:val="00263D6C"/>
    <w:rsid w:val="00265D8E"/>
    <w:rsid w:val="00265FE5"/>
    <w:rsid w:val="002733F0"/>
    <w:rsid w:val="00280687"/>
    <w:rsid w:val="00280BC5"/>
    <w:rsid w:val="00281005"/>
    <w:rsid w:val="0028510F"/>
    <w:rsid w:val="0029114E"/>
    <w:rsid w:val="00293B36"/>
    <w:rsid w:val="00294D71"/>
    <w:rsid w:val="00294D93"/>
    <w:rsid w:val="00294DDF"/>
    <w:rsid w:val="002A0751"/>
    <w:rsid w:val="002A1DB9"/>
    <w:rsid w:val="002A36FF"/>
    <w:rsid w:val="002A425B"/>
    <w:rsid w:val="002A5269"/>
    <w:rsid w:val="002C23D7"/>
    <w:rsid w:val="002C53A0"/>
    <w:rsid w:val="002D0C3F"/>
    <w:rsid w:val="002D3C2E"/>
    <w:rsid w:val="002D3F75"/>
    <w:rsid w:val="002D4B39"/>
    <w:rsid w:val="002D6968"/>
    <w:rsid w:val="002E01C9"/>
    <w:rsid w:val="002E0CF7"/>
    <w:rsid w:val="002E2FBF"/>
    <w:rsid w:val="002E36F3"/>
    <w:rsid w:val="002E4289"/>
    <w:rsid w:val="002E5893"/>
    <w:rsid w:val="002E7C09"/>
    <w:rsid w:val="002F21F1"/>
    <w:rsid w:val="002F62D4"/>
    <w:rsid w:val="00302E23"/>
    <w:rsid w:val="00306209"/>
    <w:rsid w:val="00306DC9"/>
    <w:rsid w:val="00310DD0"/>
    <w:rsid w:val="00311A6B"/>
    <w:rsid w:val="003140D3"/>
    <w:rsid w:val="003223CD"/>
    <w:rsid w:val="00323C4E"/>
    <w:rsid w:val="00325A54"/>
    <w:rsid w:val="0032773A"/>
    <w:rsid w:val="00332D35"/>
    <w:rsid w:val="003361D0"/>
    <w:rsid w:val="00340C57"/>
    <w:rsid w:val="003436DE"/>
    <w:rsid w:val="00343D32"/>
    <w:rsid w:val="0035149C"/>
    <w:rsid w:val="00357083"/>
    <w:rsid w:val="00365A97"/>
    <w:rsid w:val="003710D7"/>
    <w:rsid w:val="003716A3"/>
    <w:rsid w:val="00373FDB"/>
    <w:rsid w:val="00376110"/>
    <w:rsid w:val="00377025"/>
    <w:rsid w:val="00382528"/>
    <w:rsid w:val="003936EC"/>
    <w:rsid w:val="003A1155"/>
    <w:rsid w:val="003A50C5"/>
    <w:rsid w:val="003A5703"/>
    <w:rsid w:val="003B1D89"/>
    <w:rsid w:val="003B22D1"/>
    <w:rsid w:val="003B3858"/>
    <w:rsid w:val="003B3E9A"/>
    <w:rsid w:val="003B45AF"/>
    <w:rsid w:val="003B5FC3"/>
    <w:rsid w:val="003B60B5"/>
    <w:rsid w:val="003B7E91"/>
    <w:rsid w:val="003C370D"/>
    <w:rsid w:val="003C3D43"/>
    <w:rsid w:val="003C405E"/>
    <w:rsid w:val="003C435C"/>
    <w:rsid w:val="003C51E1"/>
    <w:rsid w:val="003D0997"/>
    <w:rsid w:val="003D4A43"/>
    <w:rsid w:val="003D697B"/>
    <w:rsid w:val="003E2242"/>
    <w:rsid w:val="003E27E4"/>
    <w:rsid w:val="003E35A1"/>
    <w:rsid w:val="003F3FC5"/>
    <w:rsid w:val="003F7870"/>
    <w:rsid w:val="0040265B"/>
    <w:rsid w:val="0040533A"/>
    <w:rsid w:val="004054D8"/>
    <w:rsid w:val="004068EA"/>
    <w:rsid w:val="00415A22"/>
    <w:rsid w:val="00421F27"/>
    <w:rsid w:val="004254F4"/>
    <w:rsid w:val="004258E6"/>
    <w:rsid w:val="00426B96"/>
    <w:rsid w:val="00430699"/>
    <w:rsid w:val="00431603"/>
    <w:rsid w:val="0043186C"/>
    <w:rsid w:val="00432209"/>
    <w:rsid w:val="004356AA"/>
    <w:rsid w:val="00436442"/>
    <w:rsid w:val="0044000D"/>
    <w:rsid w:val="00441CED"/>
    <w:rsid w:val="00443A31"/>
    <w:rsid w:val="00444585"/>
    <w:rsid w:val="00451B6E"/>
    <w:rsid w:val="004565D2"/>
    <w:rsid w:val="0046080C"/>
    <w:rsid w:val="0046740C"/>
    <w:rsid w:val="00467B6F"/>
    <w:rsid w:val="00467EFE"/>
    <w:rsid w:val="00471A3F"/>
    <w:rsid w:val="00472981"/>
    <w:rsid w:val="004757E2"/>
    <w:rsid w:val="00475EBF"/>
    <w:rsid w:val="00485777"/>
    <w:rsid w:val="004874AA"/>
    <w:rsid w:val="004942A8"/>
    <w:rsid w:val="0049478F"/>
    <w:rsid w:val="00495374"/>
    <w:rsid w:val="004A1859"/>
    <w:rsid w:val="004A7CDB"/>
    <w:rsid w:val="004B30C1"/>
    <w:rsid w:val="004B43EA"/>
    <w:rsid w:val="004C183F"/>
    <w:rsid w:val="004C49A5"/>
    <w:rsid w:val="004E149D"/>
    <w:rsid w:val="004E3885"/>
    <w:rsid w:val="004E3C6C"/>
    <w:rsid w:val="004E4D29"/>
    <w:rsid w:val="004E7F72"/>
    <w:rsid w:val="004F29FC"/>
    <w:rsid w:val="004F7331"/>
    <w:rsid w:val="004F7AEA"/>
    <w:rsid w:val="005012C1"/>
    <w:rsid w:val="00502BD0"/>
    <w:rsid w:val="005034CC"/>
    <w:rsid w:val="0051572E"/>
    <w:rsid w:val="00515D71"/>
    <w:rsid w:val="00517B3F"/>
    <w:rsid w:val="0052342E"/>
    <w:rsid w:val="00524E2E"/>
    <w:rsid w:val="00531D13"/>
    <w:rsid w:val="00537E96"/>
    <w:rsid w:val="005405C7"/>
    <w:rsid w:val="005433CD"/>
    <w:rsid w:val="00544105"/>
    <w:rsid w:val="00546A25"/>
    <w:rsid w:val="00553897"/>
    <w:rsid w:val="00553972"/>
    <w:rsid w:val="00555F13"/>
    <w:rsid w:val="00561C27"/>
    <w:rsid w:val="005660D7"/>
    <w:rsid w:val="00566BD9"/>
    <w:rsid w:val="005745AF"/>
    <w:rsid w:val="0057469A"/>
    <w:rsid w:val="005751FA"/>
    <w:rsid w:val="00575F25"/>
    <w:rsid w:val="00576BF1"/>
    <w:rsid w:val="00580950"/>
    <w:rsid w:val="00585A72"/>
    <w:rsid w:val="00586FA4"/>
    <w:rsid w:val="00590E2A"/>
    <w:rsid w:val="00590F0A"/>
    <w:rsid w:val="00592624"/>
    <w:rsid w:val="00597C03"/>
    <w:rsid w:val="005A38BB"/>
    <w:rsid w:val="005A3F73"/>
    <w:rsid w:val="005A639F"/>
    <w:rsid w:val="005A7521"/>
    <w:rsid w:val="005B78B0"/>
    <w:rsid w:val="005C3D5C"/>
    <w:rsid w:val="005C5148"/>
    <w:rsid w:val="005C5334"/>
    <w:rsid w:val="005D1D47"/>
    <w:rsid w:val="005D37A8"/>
    <w:rsid w:val="005E3BD5"/>
    <w:rsid w:val="005E4144"/>
    <w:rsid w:val="005E631A"/>
    <w:rsid w:val="005E64F7"/>
    <w:rsid w:val="005F3B87"/>
    <w:rsid w:val="005F3F1F"/>
    <w:rsid w:val="005F48DF"/>
    <w:rsid w:val="005F6214"/>
    <w:rsid w:val="00602635"/>
    <w:rsid w:val="006102C4"/>
    <w:rsid w:val="006130D1"/>
    <w:rsid w:val="006164BD"/>
    <w:rsid w:val="00622DF0"/>
    <w:rsid w:val="00633CDD"/>
    <w:rsid w:val="00633F0F"/>
    <w:rsid w:val="00634B92"/>
    <w:rsid w:val="006413FB"/>
    <w:rsid w:val="00641883"/>
    <w:rsid w:val="00645B0C"/>
    <w:rsid w:val="006471AA"/>
    <w:rsid w:val="00650035"/>
    <w:rsid w:val="00650BB2"/>
    <w:rsid w:val="00650D94"/>
    <w:rsid w:val="00652E42"/>
    <w:rsid w:val="0065542D"/>
    <w:rsid w:val="00657C40"/>
    <w:rsid w:val="00661129"/>
    <w:rsid w:val="006709A3"/>
    <w:rsid w:val="00672545"/>
    <w:rsid w:val="00672760"/>
    <w:rsid w:val="00680C7A"/>
    <w:rsid w:val="00682B2C"/>
    <w:rsid w:val="00683F08"/>
    <w:rsid w:val="006846D7"/>
    <w:rsid w:val="00685E62"/>
    <w:rsid w:val="00687112"/>
    <w:rsid w:val="0069788F"/>
    <w:rsid w:val="006A431B"/>
    <w:rsid w:val="006A4434"/>
    <w:rsid w:val="006A4CA0"/>
    <w:rsid w:val="006B5935"/>
    <w:rsid w:val="006C1C7F"/>
    <w:rsid w:val="006C64A1"/>
    <w:rsid w:val="006C7902"/>
    <w:rsid w:val="006D0D7C"/>
    <w:rsid w:val="006D23ED"/>
    <w:rsid w:val="006E1E86"/>
    <w:rsid w:val="006E435E"/>
    <w:rsid w:val="006E7D42"/>
    <w:rsid w:val="006F2530"/>
    <w:rsid w:val="006F500F"/>
    <w:rsid w:val="00710D0D"/>
    <w:rsid w:val="007110A4"/>
    <w:rsid w:val="00713CB8"/>
    <w:rsid w:val="00713F47"/>
    <w:rsid w:val="007175D8"/>
    <w:rsid w:val="007228D7"/>
    <w:rsid w:val="00723009"/>
    <w:rsid w:val="007242BD"/>
    <w:rsid w:val="00724561"/>
    <w:rsid w:val="00724D16"/>
    <w:rsid w:val="007307BF"/>
    <w:rsid w:val="00730E63"/>
    <w:rsid w:val="007320C8"/>
    <w:rsid w:val="007327BD"/>
    <w:rsid w:val="00735089"/>
    <w:rsid w:val="007364B2"/>
    <w:rsid w:val="00745205"/>
    <w:rsid w:val="00750DE2"/>
    <w:rsid w:val="00750E79"/>
    <w:rsid w:val="007510E4"/>
    <w:rsid w:val="007511A3"/>
    <w:rsid w:val="00756F8D"/>
    <w:rsid w:val="007628D6"/>
    <w:rsid w:val="007650E0"/>
    <w:rsid w:val="00766490"/>
    <w:rsid w:val="00772915"/>
    <w:rsid w:val="00776B5F"/>
    <w:rsid w:val="00781926"/>
    <w:rsid w:val="00782B02"/>
    <w:rsid w:val="00783D4F"/>
    <w:rsid w:val="00785478"/>
    <w:rsid w:val="007947CC"/>
    <w:rsid w:val="00795817"/>
    <w:rsid w:val="00795D7E"/>
    <w:rsid w:val="007A5ADA"/>
    <w:rsid w:val="007B3BD2"/>
    <w:rsid w:val="007B5E4B"/>
    <w:rsid w:val="007B6330"/>
    <w:rsid w:val="007B68D3"/>
    <w:rsid w:val="007C11FA"/>
    <w:rsid w:val="007C6AA0"/>
    <w:rsid w:val="007C6E1A"/>
    <w:rsid w:val="007D366A"/>
    <w:rsid w:val="007D45BA"/>
    <w:rsid w:val="007D4C79"/>
    <w:rsid w:val="007E21FB"/>
    <w:rsid w:val="007E5672"/>
    <w:rsid w:val="007E69B7"/>
    <w:rsid w:val="007E6E5A"/>
    <w:rsid w:val="007F2FE5"/>
    <w:rsid w:val="007F7700"/>
    <w:rsid w:val="008051A2"/>
    <w:rsid w:val="008056BF"/>
    <w:rsid w:val="00805988"/>
    <w:rsid w:val="00805CB1"/>
    <w:rsid w:val="00813E76"/>
    <w:rsid w:val="0082365D"/>
    <w:rsid w:val="00825F57"/>
    <w:rsid w:val="00830BE9"/>
    <w:rsid w:val="00834AF6"/>
    <w:rsid w:val="008410D7"/>
    <w:rsid w:val="00841FB1"/>
    <w:rsid w:val="008445A0"/>
    <w:rsid w:val="00845123"/>
    <w:rsid w:val="0084577E"/>
    <w:rsid w:val="00850B6B"/>
    <w:rsid w:val="008529B6"/>
    <w:rsid w:val="00856B4B"/>
    <w:rsid w:val="00863E8E"/>
    <w:rsid w:val="00864C76"/>
    <w:rsid w:val="00864DF3"/>
    <w:rsid w:val="00872A16"/>
    <w:rsid w:val="008732E4"/>
    <w:rsid w:val="008739D9"/>
    <w:rsid w:val="008744B9"/>
    <w:rsid w:val="00874DE2"/>
    <w:rsid w:val="008757F3"/>
    <w:rsid w:val="00877414"/>
    <w:rsid w:val="00883886"/>
    <w:rsid w:val="008873E8"/>
    <w:rsid w:val="00895D56"/>
    <w:rsid w:val="008A24B7"/>
    <w:rsid w:val="008B053E"/>
    <w:rsid w:val="008B0628"/>
    <w:rsid w:val="008B2ADB"/>
    <w:rsid w:val="008B7556"/>
    <w:rsid w:val="008C536B"/>
    <w:rsid w:val="008C6CED"/>
    <w:rsid w:val="008C72E7"/>
    <w:rsid w:val="008D5D29"/>
    <w:rsid w:val="008D5F08"/>
    <w:rsid w:val="008D6AA5"/>
    <w:rsid w:val="008E10DB"/>
    <w:rsid w:val="008E7406"/>
    <w:rsid w:val="008F2255"/>
    <w:rsid w:val="008F6871"/>
    <w:rsid w:val="00900F7B"/>
    <w:rsid w:val="00901044"/>
    <w:rsid w:val="0090208E"/>
    <w:rsid w:val="00907F58"/>
    <w:rsid w:val="00911D5F"/>
    <w:rsid w:val="0093008D"/>
    <w:rsid w:val="00944657"/>
    <w:rsid w:val="009470B0"/>
    <w:rsid w:val="0095160A"/>
    <w:rsid w:val="0095333A"/>
    <w:rsid w:val="00953818"/>
    <w:rsid w:val="00956BFC"/>
    <w:rsid w:val="00962482"/>
    <w:rsid w:val="0096270B"/>
    <w:rsid w:val="00962F77"/>
    <w:rsid w:val="00963497"/>
    <w:rsid w:val="009643E3"/>
    <w:rsid w:val="00964854"/>
    <w:rsid w:val="00964F0A"/>
    <w:rsid w:val="00977A47"/>
    <w:rsid w:val="009824A1"/>
    <w:rsid w:val="00982692"/>
    <w:rsid w:val="00984315"/>
    <w:rsid w:val="00986B7D"/>
    <w:rsid w:val="00987BC3"/>
    <w:rsid w:val="0099201F"/>
    <w:rsid w:val="00992D1F"/>
    <w:rsid w:val="009944E5"/>
    <w:rsid w:val="00994DB2"/>
    <w:rsid w:val="009A008F"/>
    <w:rsid w:val="009A01EA"/>
    <w:rsid w:val="009A727C"/>
    <w:rsid w:val="009A7980"/>
    <w:rsid w:val="009B00AA"/>
    <w:rsid w:val="009B2827"/>
    <w:rsid w:val="009B340F"/>
    <w:rsid w:val="009B4DE5"/>
    <w:rsid w:val="009C663B"/>
    <w:rsid w:val="009C7B9F"/>
    <w:rsid w:val="009D1D02"/>
    <w:rsid w:val="009D2FAC"/>
    <w:rsid w:val="009D3959"/>
    <w:rsid w:val="009D4A14"/>
    <w:rsid w:val="009E0DD4"/>
    <w:rsid w:val="009E278B"/>
    <w:rsid w:val="009E78DE"/>
    <w:rsid w:val="009F36F4"/>
    <w:rsid w:val="00A00434"/>
    <w:rsid w:val="00A01894"/>
    <w:rsid w:val="00A01905"/>
    <w:rsid w:val="00A038F8"/>
    <w:rsid w:val="00A03911"/>
    <w:rsid w:val="00A03BDC"/>
    <w:rsid w:val="00A135B0"/>
    <w:rsid w:val="00A152C4"/>
    <w:rsid w:val="00A229F3"/>
    <w:rsid w:val="00A2319A"/>
    <w:rsid w:val="00A2713B"/>
    <w:rsid w:val="00A301A6"/>
    <w:rsid w:val="00A31230"/>
    <w:rsid w:val="00A3450B"/>
    <w:rsid w:val="00A40142"/>
    <w:rsid w:val="00A412C7"/>
    <w:rsid w:val="00A426F0"/>
    <w:rsid w:val="00A47277"/>
    <w:rsid w:val="00A5179A"/>
    <w:rsid w:val="00A532E6"/>
    <w:rsid w:val="00A541A5"/>
    <w:rsid w:val="00A57B37"/>
    <w:rsid w:val="00A648B8"/>
    <w:rsid w:val="00A73591"/>
    <w:rsid w:val="00A73EDB"/>
    <w:rsid w:val="00A77661"/>
    <w:rsid w:val="00A80EBF"/>
    <w:rsid w:val="00A81A18"/>
    <w:rsid w:val="00A84857"/>
    <w:rsid w:val="00A86B7A"/>
    <w:rsid w:val="00A93A8F"/>
    <w:rsid w:val="00A94FF8"/>
    <w:rsid w:val="00AA3338"/>
    <w:rsid w:val="00AA5357"/>
    <w:rsid w:val="00AB3222"/>
    <w:rsid w:val="00AB5427"/>
    <w:rsid w:val="00AC0CBF"/>
    <w:rsid w:val="00AC2202"/>
    <w:rsid w:val="00AC2A76"/>
    <w:rsid w:val="00AC787C"/>
    <w:rsid w:val="00AC7F12"/>
    <w:rsid w:val="00AD0F23"/>
    <w:rsid w:val="00AD1462"/>
    <w:rsid w:val="00AD148D"/>
    <w:rsid w:val="00AD2AA9"/>
    <w:rsid w:val="00AD53B9"/>
    <w:rsid w:val="00AF191A"/>
    <w:rsid w:val="00AF5222"/>
    <w:rsid w:val="00B01FCB"/>
    <w:rsid w:val="00B04028"/>
    <w:rsid w:val="00B0421B"/>
    <w:rsid w:val="00B048EA"/>
    <w:rsid w:val="00B11176"/>
    <w:rsid w:val="00B11A57"/>
    <w:rsid w:val="00B125E8"/>
    <w:rsid w:val="00B22E45"/>
    <w:rsid w:val="00B30735"/>
    <w:rsid w:val="00B335EF"/>
    <w:rsid w:val="00B35FC3"/>
    <w:rsid w:val="00B401AE"/>
    <w:rsid w:val="00B471CE"/>
    <w:rsid w:val="00B56CE3"/>
    <w:rsid w:val="00B61EE0"/>
    <w:rsid w:val="00B721AD"/>
    <w:rsid w:val="00B729C7"/>
    <w:rsid w:val="00B8390D"/>
    <w:rsid w:val="00B868F2"/>
    <w:rsid w:val="00B87E1E"/>
    <w:rsid w:val="00B930FD"/>
    <w:rsid w:val="00B95D21"/>
    <w:rsid w:val="00B96FBC"/>
    <w:rsid w:val="00BA19AC"/>
    <w:rsid w:val="00BA1A29"/>
    <w:rsid w:val="00BA3FAE"/>
    <w:rsid w:val="00BA48B0"/>
    <w:rsid w:val="00BB11A9"/>
    <w:rsid w:val="00BB48B2"/>
    <w:rsid w:val="00BB49B9"/>
    <w:rsid w:val="00BB7381"/>
    <w:rsid w:val="00BC0070"/>
    <w:rsid w:val="00BC494D"/>
    <w:rsid w:val="00BC6983"/>
    <w:rsid w:val="00BD2338"/>
    <w:rsid w:val="00BE0AA6"/>
    <w:rsid w:val="00BE0DD4"/>
    <w:rsid w:val="00BE5C61"/>
    <w:rsid w:val="00BF1561"/>
    <w:rsid w:val="00BF3A2C"/>
    <w:rsid w:val="00BF4B95"/>
    <w:rsid w:val="00BF76C7"/>
    <w:rsid w:val="00C01B4C"/>
    <w:rsid w:val="00C01CE2"/>
    <w:rsid w:val="00C11B0F"/>
    <w:rsid w:val="00C1223C"/>
    <w:rsid w:val="00C162CE"/>
    <w:rsid w:val="00C234EC"/>
    <w:rsid w:val="00C24538"/>
    <w:rsid w:val="00C24550"/>
    <w:rsid w:val="00C24FD3"/>
    <w:rsid w:val="00C255EE"/>
    <w:rsid w:val="00C26755"/>
    <w:rsid w:val="00C27190"/>
    <w:rsid w:val="00C41CE0"/>
    <w:rsid w:val="00C53E5E"/>
    <w:rsid w:val="00C540E3"/>
    <w:rsid w:val="00C552F8"/>
    <w:rsid w:val="00C56AB4"/>
    <w:rsid w:val="00C6102C"/>
    <w:rsid w:val="00C654F6"/>
    <w:rsid w:val="00C657EF"/>
    <w:rsid w:val="00C66605"/>
    <w:rsid w:val="00C669AD"/>
    <w:rsid w:val="00C7284E"/>
    <w:rsid w:val="00C72F0C"/>
    <w:rsid w:val="00C73ED9"/>
    <w:rsid w:val="00C76473"/>
    <w:rsid w:val="00C76A81"/>
    <w:rsid w:val="00C81841"/>
    <w:rsid w:val="00C9126D"/>
    <w:rsid w:val="00C93A65"/>
    <w:rsid w:val="00CA0E5D"/>
    <w:rsid w:val="00CA7D34"/>
    <w:rsid w:val="00CB2E7C"/>
    <w:rsid w:val="00CB2F39"/>
    <w:rsid w:val="00CB4F25"/>
    <w:rsid w:val="00CB5868"/>
    <w:rsid w:val="00CB6E89"/>
    <w:rsid w:val="00CC2051"/>
    <w:rsid w:val="00CC26C3"/>
    <w:rsid w:val="00CD04EF"/>
    <w:rsid w:val="00CD0F24"/>
    <w:rsid w:val="00CD32A3"/>
    <w:rsid w:val="00CD4258"/>
    <w:rsid w:val="00CD4CCF"/>
    <w:rsid w:val="00CD7C38"/>
    <w:rsid w:val="00CE35DA"/>
    <w:rsid w:val="00CE440C"/>
    <w:rsid w:val="00CF17A5"/>
    <w:rsid w:val="00D02FAD"/>
    <w:rsid w:val="00D1189D"/>
    <w:rsid w:val="00D21553"/>
    <w:rsid w:val="00D27E61"/>
    <w:rsid w:val="00D30A6F"/>
    <w:rsid w:val="00D3736C"/>
    <w:rsid w:val="00D40A5C"/>
    <w:rsid w:val="00D466E3"/>
    <w:rsid w:val="00D517EF"/>
    <w:rsid w:val="00D52BDE"/>
    <w:rsid w:val="00D54142"/>
    <w:rsid w:val="00D55985"/>
    <w:rsid w:val="00D55D66"/>
    <w:rsid w:val="00D567EF"/>
    <w:rsid w:val="00D56DC1"/>
    <w:rsid w:val="00D707EB"/>
    <w:rsid w:val="00D73FAE"/>
    <w:rsid w:val="00D7684A"/>
    <w:rsid w:val="00D77C12"/>
    <w:rsid w:val="00D944D9"/>
    <w:rsid w:val="00DA035D"/>
    <w:rsid w:val="00DA044B"/>
    <w:rsid w:val="00DA3AAF"/>
    <w:rsid w:val="00DA3C61"/>
    <w:rsid w:val="00DB04D2"/>
    <w:rsid w:val="00DB0E6A"/>
    <w:rsid w:val="00DB1B31"/>
    <w:rsid w:val="00DC0F12"/>
    <w:rsid w:val="00DC41B2"/>
    <w:rsid w:val="00DC56F4"/>
    <w:rsid w:val="00DC57BC"/>
    <w:rsid w:val="00DC5B0C"/>
    <w:rsid w:val="00DC707C"/>
    <w:rsid w:val="00DC7B6D"/>
    <w:rsid w:val="00DD65E6"/>
    <w:rsid w:val="00DE1FE7"/>
    <w:rsid w:val="00DF1DF2"/>
    <w:rsid w:val="00DF266B"/>
    <w:rsid w:val="00DF4A27"/>
    <w:rsid w:val="00DF6FCA"/>
    <w:rsid w:val="00E06784"/>
    <w:rsid w:val="00E137F5"/>
    <w:rsid w:val="00E15673"/>
    <w:rsid w:val="00E15F26"/>
    <w:rsid w:val="00E175DB"/>
    <w:rsid w:val="00E20EEE"/>
    <w:rsid w:val="00E341A8"/>
    <w:rsid w:val="00E35161"/>
    <w:rsid w:val="00E35182"/>
    <w:rsid w:val="00E37146"/>
    <w:rsid w:val="00E50592"/>
    <w:rsid w:val="00E5177B"/>
    <w:rsid w:val="00E611CC"/>
    <w:rsid w:val="00E61457"/>
    <w:rsid w:val="00E64B96"/>
    <w:rsid w:val="00E763BC"/>
    <w:rsid w:val="00E829EC"/>
    <w:rsid w:val="00E83AD7"/>
    <w:rsid w:val="00E86E6D"/>
    <w:rsid w:val="00E905B1"/>
    <w:rsid w:val="00E919AE"/>
    <w:rsid w:val="00E9534F"/>
    <w:rsid w:val="00EA064A"/>
    <w:rsid w:val="00EA090E"/>
    <w:rsid w:val="00EA0A15"/>
    <w:rsid w:val="00EA4831"/>
    <w:rsid w:val="00EA4A8E"/>
    <w:rsid w:val="00EA625A"/>
    <w:rsid w:val="00EA6AD1"/>
    <w:rsid w:val="00EB2A12"/>
    <w:rsid w:val="00EC3BD6"/>
    <w:rsid w:val="00EC5E97"/>
    <w:rsid w:val="00EC6BB0"/>
    <w:rsid w:val="00EC6E9B"/>
    <w:rsid w:val="00ED4FE2"/>
    <w:rsid w:val="00ED629C"/>
    <w:rsid w:val="00EE561A"/>
    <w:rsid w:val="00EE5BD1"/>
    <w:rsid w:val="00EE6666"/>
    <w:rsid w:val="00EF3FC6"/>
    <w:rsid w:val="00EF7B95"/>
    <w:rsid w:val="00F0013C"/>
    <w:rsid w:val="00F10CA0"/>
    <w:rsid w:val="00F1161F"/>
    <w:rsid w:val="00F1180C"/>
    <w:rsid w:val="00F17972"/>
    <w:rsid w:val="00F22045"/>
    <w:rsid w:val="00F24FFF"/>
    <w:rsid w:val="00F255FB"/>
    <w:rsid w:val="00F31043"/>
    <w:rsid w:val="00F31B93"/>
    <w:rsid w:val="00F3232D"/>
    <w:rsid w:val="00F33562"/>
    <w:rsid w:val="00F355BD"/>
    <w:rsid w:val="00F44CC1"/>
    <w:rsid w:val="00F5311F"/>
    <w:rsid w:val="00F608CC"/>
    <w:rsid w:val="00F60EEF"/>
    <w:rsid w:val="00F6443C"/>
    <w:rsid w:val="00F710E1"/>
    <w:rsid w:val="00F7168B"/>
    <w:rsid w:val="00F77150"/>
    <w:rsid w:val="00F775B8"/>
    <w:rsid w:val="00F777C3"/>
    <w:rsid w:val="00F77D89"/>
    <w:rsid w:val="00F803E5"/>
    <w:rsid w:val="00F80E1D"/>
    <w:rsid w:val="00F9006A"/>
    <w:rsid w:val="00F900F6"/>
    <w:rsid w:val="00F9057D"/>
    <w:rsid w:val="00F91BF4"/>
    <w:rsid w:val="00F93D89"/>
    <w:rsid w:val="00F962C4"/>
    <w:rsid w:val="00FA0912"/>
    <w:rsid w:val="00FA655B"/>
    <w:rsid w:val="00FB6DD1"/>
    <w:rsid w:val="00FB74E0"/>
    <w:rsid w:val="00FC0465"/>
    <w:rsid w:val="00FC1257"/>
    <w:rsid w:val="00FC2CD3"/>
    <w:rsid w:val="00FC4622"/>
    <w:rsid w:val="00FC6965"/>
    <w:rsid w:val="00FD55B6"/>
    <w:rsid w:val="00FE1F09"/>
    <w:rsid w:val="00FE25B0"/>
    <w:rsid w:val="00FE7942"/>
    <w:rsid w:val="00FF1EAF"/>
    <w:rsid w:val="00FF2F2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89F13A1-D8E9-4AB1-8850-26A2066DB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paragraph" w:styleId="1">
    <w:name w:val="heading 1"/>
    <w:basedOn w:val="a"/>
    <w:next w:val="a"/>
    <w:link w:val="10"/>
    <w:uiPriority w:val="9"/>
    <w:qFormat/>
    <w:rsid w:val="00633F0F"/>
    <w:pPr>
      <w:keepNext/>
      <w:keepLines/>
      <w:spacing w:before="360" w:after="80" w:line="360" w:lineRule="auto"/>
      <w:outlineLvl w:val="0"/>
    </w:pPr>
    <w:rPr>
      <w:rFonts w:asciiTheme="majorHAnsi" w:eastAsiaTheme="majorEastAsia" w:hAnsiTheme="majorHAnsi" w:cs="David"/>
      <w:bCs/>
      <w:sz w:val="40"/>
      <w:szCs w:val="28"/>
      <w:u w:val="single"/>
    </w:rPr>
  </w:style>
  <w:style w:type="paragraph" w:styleId="2">
    <w:name w:val="heading 2"/>
    <w:basedOn w:val="a"/>
    <w:next w:val="a"/>
    <w:link w:val="20"/>
    <w:uiPriority w:val="9"/>
    <w:unhideWhenUsed/>
    <w:qFormat/>
    <w:rsid w:val="001D16E0"/>
    <w:pPr>
      <w:keepNext/>
      <w:keepLines/>
      <w:spacing w:before="160" w:after="80"/>
      <w:outlineLvl w:val="1"/>
    </w:pPr>
    <w:rPr>
      <w:rFonts w:asciiTheme="majorHAnsi" w:eastAsiaTheme="majorEastAsia" w:hAnsiTheme="majorHAnsi" w:cs="David"/>
      <w:bCs/>
      <w:sz w:val="32"/>
      <w:szCs w:val="28"/>
      <w:u w:val="single"/>
    </w:rPr>
  </w:style>
  <w:style w:type="paragraph" w:styleId="3">
    <w:name w:val="heading 3"/>
    <w:basedOn w:val="a"/>
    <w:next w:val="a"/>
    <w:link w:val="30"/>
    <w:uiPriority w:val="9"/>
    <w:unhideWhenUsed/>
    <w:qFormat/>
    <w:rsid w:val="001D16E0"/>
    <w:pPr>
      <w:keepNext/>
      <w:keepLines/>
      <w:spacing w:before="160" w:after="80"/>
      <w:outlineLvl w:val="2"/>
    </w:pPr>
    <w:rPr>
      <w:rFonts w:eastAsiaTheme="majorEastAsia" w:cs="David"/>
      <w:bCs/>
      <w:color w:val="000000" w:themeColor="text1"/>
      <w:sz w:val="28"/>
      <w:u w:val="single"/>
    </w:rPr>
  </w:style>
  <w:style w:type="paragraph" w:styleId="4">
    <w:name w:val="heading 4"/>
    <w:basedOn w:val="a"/>
    <w:next w:val="a"/>
    <w:link w:val="40"/>
    <w:uiPriority w:val="9"/>
    <w:semiHidden/>
    <w:unhideWhenUsed/>
    <w:qFormat/>
    <w:rsid w:val="00850B6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850B6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850B6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50B6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50B6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50B6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633F0F"/>
    <w:rPr>
      <w:rFonts w:asciiTheme="majorHAnsi" w:eastAsiaTheme="majorEastAsia" w:hAnsiTheme="majorHAnsi" w:cs="David"/>
      <w:bCs/>
      <w:sz w:val="40"/>
      <w:szCs w:val="28"/>
      <w:u w:val="single"/>
    </w:rPr>
  </w:style>
  <w:style w:type="character" w:customStyle="1" w:styleId="20">
    <w:name w:val="כותרת 2 תו"/>
    <w:basedOn w:val="a0"/>
    <w:link w:val="2"/>
    <w:uiPriority w:val="9"/>
    <w:rsid w:val="001D16E0"/>
    <w:rPr>
      <w:rFonts w:asciiTheme="majorHAnsi" w:eastAsiaTheme="majorEastAsia" w:hAnsiTheme="majorHAnsi" w:cs="David"/>
      <w:bCs/>
      <w:sz w:val="32"/>
      <w:szCs w:val="28"/>
      <w:u w:val="single"/>
    </w:rPr>
  </w:style>
  <w:style w:type="character" w:customStyle="1" w:styleId="30">
    <w:name w:val="כותרת 3 תו"/>
    <w:basedOn w:val="a0"/>
    <w:link w:val="3"/>
    <w:uiPriority w:val="9"/>
    <w:rsid w:val="001D16E0"/>
    <w:rPr>
      <w:rFonts w:eastAsiaTheme="majorEastAsia" w:cs="David"/>
      <w:bCs/>
      <w:color w:val="000000" w:themeColor="text1"/>
      <w:sz w:val="28"/>
      <w:u w:val="single"/>
    </w:rPr>
  </w:style>
  <w:style w:type="character" w:customStyle="1" w:styleId="40">
    <w:name w:val="כותרת 4 תו"/>
    <w:basedOn w:val="a0"/>
    <w:link w:val="4"/>
    <w:uiPriority w:val="9"/>
    <w:semiHidden/>
    <w:rsid w:val="00850B6B"/>
    <w:rPr>
      <w:rFonts w:eastAsiaTheme="majorEastAsia" w:cstheme="majorBidi"/>
      <w:i/>
      <w:iCs/>
      <w:color w:val="2F5496" w:themeColor="accent1" w:themeShade="BF"/>
    </w:rPr>
  </w:style>
  <w:style w:type="character" w:customStyle="1" w:styleId="50">
    <w:name w:val="כותרת 5 תו"/>
    <w:basedOn w:val="a0"/>
    <w:link w:val="5"/>
    <w:uiPriority w:val="9"/>
    <w:rsid w:val="00850B6B"/>
    <w:rPr>
      <w:rFonts w:eastAsiaTheme="majorEastAsia" w:cstheme="majorBidi"/>
      <w:color w:val="2F5496" w:themeColor="accent1" w:themeShade="BF"/>
    </w:rPr>
  </w:style>
  <w:style w:type="character" w:customStyle="1" w:styleId="60">
    <w:name w:val="כותרת 6 תו"/>
    <w:basedOn w:val="a0"/>
    <w:link w:val="6"/>
    <w:uiPriority w:val="9"/>
    <w:semiHidden/>
    <w:rsid w:val="00850B6B"/>
    <w:rPr>
      <w:rFonts w:eastAsiaTheme="majorEastAsia" w:cstheme="majorBidi"/>
      <w:i/>
      <w:iCs/>
      <w:color w:val="595959" w:themeColor="text1" w:themeTint="A6"/>
    </w:rPr>
  </w:style>
  <w:style w:type="character" w:customStyle="1" w:styleId="70">
    <w:name w:val="כותרת 7 תו"/>
    <w:basedOn w:val="a0"/>
    <w:link w:val="7"/>
    <w:uiPriority w:val="9"/>
    <w:semiHidden/>
    <w:rsid w:val="00850B6B"/>
    <w:rPr>
      <w:rFonts w:eastAsiaTheme="majorEastAsia" w:cstheme="majorBidi"/>
      <w:color w:val="595959" w:themeColor="text1" w:themeTint="A6"/>
    </w:rPr>
  </w:style>
  <w:style w:type="character" w:customStyle="1" w:styleId="80">
    <w:name w:val="כותרת 8 תו"/>
    <w:basedOn w:val="a0"/>
    <w:link w:val="8"/>
    <w:uiPriority w:val="9"/>
    <w:semiHidden/>
    <w:rsid w:val="00850B6B"/>
    <w:rPr>
      <w:rFonts w:eastAsiaTheme="majorEastAsia" w:cstheme="majorBidi"/>
      <w:i/>
      <w:iCs/>
      <w:color w:val="272727" w:themeColor="text1" w:themeTint="D8"/>
    </w:rPr>
  </w:style>
  <w:style w:type="character" w:customStyle="1" w:styleId="90">
    <w:name w:val="כותרת 9 תו"/>
    <w:basedOn w:val="a0"/>
    <w:link w:val="9"/>
    <w:uiPriority w:val="9"/>
    <w:semiHidden/>
    <w:rsid w:val="00850B6B"/>
    <w:rPr>
      <w:rFonts w:eastAsiaTheme="majorEastAsia" w:cstheme="majorBidi"/>
      <w:color w:val="272727" w:themeColor="text1" w:themeTint="D8"/>
    </w:rPr>
  </w:style>
  <w:style w:type="paragraph" w:styleId="a3">
    <w:name w:val="Title"/>
    <w:basedOn w:val="a"/>
    <w:next w:val="a"/>
    <w:link w:val="a4"/>
    <w:uiPriority w:val="10"/>
    <w:qFormat/>
    <w:rsid w:val="00850B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850B6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50B6B"/>
    <w:pPr>
      <w:numPr>
        <w:ilvl w:val="1"/>
      </w:numPr>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850B6B"/>
    <w:rPr>
      <w:rFonts w:eastAsiaTheme="majorEastAsia" w:cstheme="majorBidi"/>
      <w:color w:val="595959" w:themeColor="text1" w:themeTint="A6"/>
      <w:spacing w:val="15"/>
      <w:sz w:val="28"/>
      <w:szCs w:val="28"/>
    </w:rPr>
  </w:style>
  <w:style w:type="paragraph" w:styleId="a7">
    <w:name w:val="Quote"/>
    <w:basedOn w:val="a"/>
    <w:next w:val="a"/>
    <w:link w:val="a8"/>
    <w:qFormat/>
    <w:rsid w:val="00850B6B"/>
    <w:pPr>
      <w:spacing w:before="160"/>
      <w:jc w:val="center"/>
    </w:pPr>
    <w:rPr>
      <w:i/>
      <w:iCs/>
      <w:color w:val="404040" w:themeColor="text1" w:themeTint="BF"/>
    </w:rPr>
  </w:style>
  <w:style w:type="character" w:customStyle="1" w:styleId="a8">
    <w:name w:val="ציטוט תו"/>
    <w:basedOn w:val="a0"/>
    <w:link w:val="a7"/>
    <w:rsid w:val="00850B6B"/>
    <w:rPr>
      <w:i/>
      <w:iCs/>
      <w:color w:val="404040" w:themeColor="text1" w:themeTint="BF"/>
    </w:rPr>
  </w:style>
  <w:style w:type="paragraph" w:styleId="a9">
    <w:name w:val="List Paragraph"/>
    <w:basedOn w:val="a"/>
    <w:qFormat/>
    <w:rsid w:val="00850B6B"/>
    <w:pPr>
      <w:ind w:left="720"/>
      <w:contextualSpacing/>
    </w:pPr>
  </w:style>
  <w:style w:type="character" w:styleId="aa">
    <w:name w:val="Intense Emphasis"/>
    <w:basedOn w:val="a0"/>
    <w:uiPriority w:val="21"/>
    <w:qFormat/>
    <w:rsid w:val="00850B6B"/>
    <w:rPr>
      <w:i/>
      <w:iCs/>
      <w:color w:val="2F5496" w:themeColor="accent1" w:themeShade="BF"/>
    </w:rPr>
  </w:style>
  <w:style w:type="paragraph" w:styleId="ab">
    <w:name w:val="Intense Quote"/>
    <w:basedOn w:val="a"/>
    <w:next w:val="a"/>
    <w:link w:val="ac"/>
    <w:uiPriority w:val="30"/>
    <w:qFormat/>
    <w:rsid w:val="00850B6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ציטוט חזק תו"/>
    <w:basedOn w:val="a0"/>
    <w:link w:val="ab"/>
    <w:uiPriority w:val="30"/>
    <w:rsid w:val="00850B6B"/>
    <w:rPr>
      <w:i/>
      <w:iCs/>
      <w:color w:val="2F5496" w:themeColor="accent1" w:themeShade="BF"/>
    </w:rPr>
  </w:style>
  <w:style w:type="character" w:styleId="ad">
    <w:name w:val="Intense Reference"/>
    <w:basedOn w:val="a0"/>
    <w:uiPriority w:val="32"/>
    <w:qFormat/>
    <w:rsid w:val="00850B6B"/>
    <w:rPr>
      <w:b/>
      <w:bCs/>
      <w:smallCaps/>
      <w:color w:val="2F5496" w:themeColor="accent1" w:themeShade="BF"/>
      <w:spacing w:val="5"/>
    </w:rPr>
  </w:style>
  <w:style w:type="paragraph" w:styleId="ae">
    <w:name w:val="header"/>
    <w:basedOn w:val="a"/>
    <w:link w:val="af"/>
    <w:uiPriority w:val="99"/>
    <w:unhideWhenUsed/>
    <w:rsid w:val="001A19E2"/>
    <w:pPr>
      <w:tabs>
        <w:tab w:val="center" w:pos="4153"/>
        <w:tab w:val="right" w:pos="8306"/>
      </w:tabs>
      <w:spacing w:after="0" w:line="240" w:lineRule="auto"/>
    </w:pPr>
  </w:style>
  <w:style w:type="character" w:customStyle="1" w:styleId="af">
    <w:name w:val="כותרת עליונה תו"/>
    <w:basedOn w:val="a0"/>
    <w:link w:val="ae"/>
    <w:uiPriority w:val="99"/>
    <w:rsid w:val="001A19E2"/>
  </w:style>
  <w:style w:type="paragraph" w:styleId="af0">
    <w:name w:val="footer"/>
    <w:basedOn w:val="a"/>
    <w:link w:val="af1"/>
    <w:uiPriority w:val="99"/>
    <w:unhideWhenUsed/>
    <w:rsid w:val="001A19E2"/>
    <w:pPr>
      <w:tabs>
        <w:tab w:val="center" w:pos="4153"/>
        <w:tab w:val="right" w:pos="8306"/>
      </w:tabs>
      <w:spacing w:after="0" w:line="240" w:lineRule="auto"/>
    </w:pPr>
  </w:style>
  <w:style w:type="character" w:customStyle="1" w:styleId="af1">
    <w:name w:val="כותרת תחתונה תו"/>
    <w:basedOn w:val="a0"/>
    <w:link w:val="af0"/>
    <w:uiPriority w:val="99"/>
    <w:rsid w:val="001A19E2"/>
  </w:style>
  <w:style w:type="character" w:styleId="af2">
    <w:name w:val="annotation reference"/>
    <w:basedOn w:val="a0"/>
    <w:uiPriority w:val="99"/>
    <w:semiHidden/>
    <w:unhideWhenUsed/>
    <w:rsid w:val="002410F3"/>
    <w:rPr>
      <w:sz w:val="16"/>
      <w:szCs w:val="16"/>
    </w:rPr>
  </w:style>
  <w:style w:type="paragraph" w:styleId="af3">
    <w:name w:val="annotation text"/>
    <w:basedOn w:val="a"/>
    <w:link w:val="af4"/>
    <w:uiPriority w:val="99"/>
    <w:unhideWhenUsed/>
    <w:rsid w:val="002410F3"/>
    <w:pPr>
      <w:spacing w:line="240" w:lineRule="auto"/>
    </w:pPr>
    <w:rPr>
      <w:sz w:val="20"/>
      <w:szCs w:val="20"/>
    </w:rPr>
  </w:style>
  <w:style w:type="character" w:customStyle="1" w:styleId="af4">
    <w:name w:val="טקסט הערה תו"/>
    <w:basedOn w:val="a0"/>
    <w:link w:val="af3"/>
    <w:uiPriority w:val="99"/>
    <w:rsid w:val="002410F3"/>
    <w:rPr>
      <w:sz w:val="20"/>
      <w:szCs w:val="20"/>
    </w:rPr>
  </w:style>
  <w:style w:type="paragraph" w:styleId="af5">
    <w:name w:val="annotation subject"/>
    <w:basedOn w:val="af3"/>
    <w:next w:val="af3"/>
    <w:link w:val="af6"/>
    <w:uiPriority w:val="99"/>
    <w:semiHidden/>
    <w:unhideWhenUsed/>
    <w:rsid w:val="002410F3"/>
    <w:rPr>
      <w:b/>
      <w:bCs/>
    </w:rPr>
  </w:style>
  <w:style w:type="character" w:customStyle="1" w:styleId="af6">
    <w:name w:val="נושא הערה תו"/>
    <w:basedOn w:val="af4"/>
    <w:link w:val="af5"/>
    <w:uiPriority w:val="99"/>
    <w:semiHidden/>
    <w:rsid w:val="002410F3"/>
    <w:rPr>
      <w:b/>
      <w:bCs/>
      <w:sz w:val="20"/>
      <w:szCs w:val="20"/>
    </w:rPr>
  </w:style>
  <w:style w:type="character" w:styleId="Hyperlink">
    <w:name w:val="Hyperlink"/>
    <w:rsid w:val="00864C76"/>
    <w:rPr>
      <w:color w:val="0000FF"/>
      <w:u w:val="single"/>
    </w:rPr>
  </w:style>
  <w:style w:type="paragraph" w:customStyle="1" w:styleId="11">
    <w:name w:val="פיסקת רשימה1"/>
    <w:basedOn w:val="a"/>
    <w:link w:val="ListParagraphChar2"/>
    <w:qFormat/>
    <w:rsid w:val="00864C76"/>
    <w:pPr>
      <w:spacing w:line="259" w:lineRule="auto"/>
      <w:ind w:left="720"/>
      <w:contextualSpacing/>
    </w:pPr>
    <w:rPr>
      <w:rFonts w:ascii="Calibri" w:eastAsia="Times New Roman" w:hAnsi="Calibri" w:cs="Arial"/>
      <w:kern w:val="0"/>
      <w:sz w:val="22"/>
      <w:szCs w:val="22"/>
      <w14:ligatures w14:val="none"/>
    </w:rPr>
  </w:style>
  <w:style w:type="character" w:customStyle="1" w:styleId="ListParagraphChar2">
    <w:name w:val="List Paragraph Char2"/>
    <w:link w:val="11"/>
    <w:locked/>
    <w:rsid w:val="00864C76"/>
    <w:rPr>
      <w:rFonts w:ascii="Calibri" w:eastAsia="Times New Roman" w:hAnsi="Calibri" w:cs="Arial"/>
      <w:kern w:val="0"/>
      <w:sz w:val="22"/>
      <w:szCs w:val="22"/>
      <w14:ligatures w14:val="none"/>
    </w:rPr>
  </w:style>
  <w:style w:type="character" w:customStyle="1" w:styleId="default">
    <w:name w:val="default"/>
    <w:basedOn w:val="a0"/>
    <w:rsid w:val="00DC0F12"/>
  </w:style>
  <w:style w:type="paragraph" w:styleId="af7">
    <w:name w:val="footnote text"/>
    <w:basedOn w:val="a"/>
    <w:link w:val="af8"/>
    <w:unhideWhenUsed/>
    <w:rsid w:val="00EF3FC6"/>
    <w:pPr>
      <w:spacing w:after="0" w:line="240" w:lineRule="auto"/>
    </w:pPr>
    <w:rPr>
      <w:sz w:val="20"/>
      <w:szCs w:val="20"/>
    </w:rPr>
  </w:style>
  <w:style w:type="character" w:customStyle="1" w:styleId="af8">
    <w:name w:val="טקסט הערת שוליים תו"/>
    <w:basedOn w:val="a0"/>
    <w:link w:val="af7"/>
    <w:rsid w:val="00EF3FC6"/>
    <w:rPr>
      <w:sz w:val="20"/>
      <w:szCs w:val="20"/>
    </w:rPr>
  </w:style>
  <w:style w:type="character" w:styleId="af9">
    <w:name w:val="footnote reference"/>
    <w:basedOn w:val="a0"/>
    <w:uiPriority w:val="99"/>
    <w:unhideWhenUsed/>
    <w:rsid w:val="00EF3FC6"/>
    <w:rPr>
      <w:vertAlign w:val="superscript"/>
    </w:rPr>
  </w:style>
  <w:style w:type="paragraph" w:customStyle="1" w:styleId="afa">
    <w:name w:val="כותרת החלטה"/>
    <w:basedOn w:val="a"/>
    <w:qFormat/>
    <w:rsid w:val="007510E4"/>
    <w:pPr>
      <w:spacing w:before="240" w:after="240" w:line="330" w:lineRule="atLeast"/>
      <w:ind w:left="720" w:hanging="567"/>
      <w:contextualSpacing/>
      <w:jc w:val="both"/>
    </w:pPr>
    <w:rPr>
      <w:rFonts w:ascii="David" w:eastAsia="Times New Roman" w:hAnsi="David" w:cs="David"/>
      <w:bCs/>
      <w:kern w:val="0"/>
      <w:sz w:val="26"/>
      <w:szCs w:val="28"/>
      <w:u w:val="single"/>
      <w14:ligatures w14:val="none"/>
    </w:rPr>
  </w:style>
  <w:style w:type="paragraph" w:customStyle="1" w:styleId="p00">
    <w:name w:val="p00"/>
    <w:basedOn w:val="a"/>
    <w:rsid w:val="00962482"/>
    <w:pPr>
      <w:bidi w:val="0"/>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big-number">
    <w:name w:val="big-number"/>
    <w:basedOn w:val="a0"/>
    <w:rsid w:val="00962482"/>
  </w:style>
  <w:style w:type="paragraph" w:customStyle="1" w:styleId="p11">
    <w:name w:val="p11"/>
    <w:basedOn w:val="a"/>
    <w:rsid w:val="00962482"/>
    <w:pPr>
      <w:bidi w:val="0"/>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31">
    <w:name w:val="פיסקת רשימה3"/>
    <w:basedOn w:val="a"/>
    <w:link w:val="32"/>
    <w:qFormat/>
    <w:rsid w:val="00724D16"/>
    <w:pPr>
      <w:spacing w:after="0" w:line="240" w:lineRule="auto"/>
      <w:ind w:left="720"/>
      <w:contextualSpacing/>
    </w:pPr>
    <w:rPr>
      <w:rFonts w:ascii="Times New Roman" w:eastAsia="Times New Roman" w:hAnsi="Times New Roman" w:cs="David"/>
      <w:noProof/>
      <w:kern w:val="0"/>
      <w14:ligatures w14:val="none"/>
    </w:rPr>
  </w:style>
  <w:style w:type="character" w:styleId="afb">
    <w:name w:val="Unresolved Mention"/>
    <w:basedOn w:val="a0"/>
    <w:uiPriority w:val="99"/>
    <w:semiHidden/>
    <w:unhideWhenUsed/>
    <w:rsid w:val="00197C1B"/>
    <w:rPr>
      <w:color w:val="605E5C"/>
      <w:shd w:val="clear" w:color="auto" w:fill="E1DFDD"/>
    </w:rPr>
  </w:style>
  <w:style w:type="paragraph" w:styleId="afc">
    <w:name w:val="Revision"/>
    <w:hidden/>
    <w:uiPriority w:val="99"/>
    <w:semiHidden/>
    <w:rsid w:val="00325A54"/>
    <w:pPr>
      <w:spacing w:after="0" w:line="240" w:lineRule="auto"/>
    </w:pPr>
  </w:style>
  <w:style w:type="character" w:styleId="afd">
    <w:name w:val="line number"/>
    <w:basedOn w:val="a0"/>
    <w:uiPriority w:val="99"/>
    <w:semiHidden/>
    <w:unhideWhenUsed/>
    <w:rsid w:val="00713CB8"/>
  </w:style>
  <w:style w:type="paragraph" w:styleId="afe">
    <w:name w:val="Plain Text"/>
    <w:basedOn w:val="a"/>
    <w:link w:val="aff"/>
    <w:uiPriority w:val="99"/>
    <w:semiHidden/>
    <w:unhideWhenUsed/>
    <w:rsid w:val="00CB5868"/>
    <w:pPr>
      <w:spacing w:after="0" w:line="240" w:lineRule="auto"/>
    </w:pPr>
    <w:rPr>
      <w:rFonts w:ascii="Calibri" w:eastAsia="Calibri" w:hAnsi="Calibri" w:cs="Calibri"/>
      <w:kern w:val="0"/>
      <w:sz w:val="22"/>
      <w:szCs w:val="22"/>
      <w14:ligatures w14:val="none"/>
    </w:rPr>
  </w:style>
  <w:style w:type="character" w:customStyle="1" w:styleId="aff">
    <w:name w:val="טקסט רגיל תו"/>
    <w:basedOn w:val="a0"/>
    <w:link w:val="afe"/>
    <w:uiPriority w:val="99"/>
    <w:semiHidden/>
    <w:rsid w:val="00CB5868"/>
    <w:rPr>
      <w:rFonts w:ascii="Calibri" w:eastAsia="Calibri" w:hAnsi="Calibri" w:cs="Calibri"/>
      <w:kern w:val="0"/>
      <w:sz w:val="22"/>
      <w:szCs w:val="22"/>
      <w14:ligatures w14:val="none"/>
    </w:rPr>
  </w:style>
  <w:style w:type="paragraph" w:customStyle="1" w:styleId="aff0">
    <w:name w:val="כותרת ראשית"/>
    <w:basedOn w:val="31"/>
    <w:link w:val="aff1"/>
    <w:rsid w:val="007510E4"/>
    <w:pPr>
      <w:spacing w:line="360" w:lineRule="auto"/>
      <w:jc w:val="both"/>
    </w:pPr>
    <w:rPr>
      <w:bCs/>
      <w:szCs w:val="28"/>
      <w:u w:val="single"/>
    </w:rPr>
  </w:style>
  <w:style w:type="character" w:customStyle="1" w:styleId="32">
    <w:name w:val="פיסקת רשימה3 תו"/>
    <w:basedOn w:val="a0"/>
    <w:link w:val="31"/>
    <w:rsid w:val="007510E4"/>
    <w:rPr>
      <w:rFonts w:ascii="Times New Roman" w:eastAsia="Times New Roman" w:hAnsi="Times New Roman" w:cs="David"/>
      <w:noProof/>
      <w:kern w:val="0"/>
      <w14:ligatures w14:val="none"/>
    </w:rPr>
  </w:style>
  <w:style w:type="character" w:customStyle="1" w:styleId="aff1">
    <w:name w:val="כותרת ראשית תו"/>
    <w:basedOn w:val="32"/>
    <w:link w:val="aff0"/>
    <w:rsid w:val="007510E4"/>
    <w:rPr>
      <w:rFonts w:ascii="Times New Roman" w:eastAsia="Times New Roman" w:hAnsi="Times New Roman" w:cs="David"/>
      <w:bCs/>
      <w:noProof/>
      <w:kern w:val="0"/>
      <w:szCs w:val="28"/>
      <w:u w:val="single"/>
      <w14:ligatures w14:val="none"/>
    </w:rPr>
  </w:style>
  <w:style w:type="paragraph" w:styleId="aff2">
    <w:name w:val="TOC Heading"/>
    <w:basedOn w:val="1"/>
    <w:next w:val="a"/>
    <w:uiPriority w:val="39"/>
    <w:unhideWhenUsed/>
    <w:qFormat/>
    <w:rsid w:val="007510E4"/>
    <w:pPr>
      <w:spacing w:before="240" w:after="0" w:line="259" w:lineRule="auto"/>
      <w:outlineLvl w:val="9"/>
    </w:pPr>
    <w:rPr>
      <w:kern w:val="0"/>
      <w:sz w:val="32"/>
      <w:szCs w:val="32"/>
      <w:rtl/>
      <w:cs/>
      <w14:ligatures w14:val="none"/>
    </w:rPr>
  </w:style>
  <w:style w:type="paragraph" w:styleId="TOC1">
    <w:name w:val="toc 1"/>
    <w:basedOn w:val="a"/>
    <w:next w:val="a"/>
    <w:autoRedefine/>
    <w:uiPriority w:val="39"/>
    <w:unhideWhenUsed/>
    <w:rsid w:val="00633F0F"/>
    <w:pPr>
      <w:tabs>
        <w:tab w:val="right" w:leader="dot" w:pos="9204"/>
      </w:tabs>
      <w:spacing w:after="100"/>
    </w:pPr>
    <w:rPr>
      <w:rFonts w:ascii="David" w:hAnsi="David" w:cs="David"/>
      <w:noProof/>
    </w:rPr>
  </w:style>
  <w:style w:type="paragraph" w:styleId="TOC2">
    <w:name w:val="toc 2"/>
    <w:basedOn w:val="a"/>
    <w:next w:val="a"/>
    <w:autoRedefine/>
    <w:uiPriority w:val="39"/>
    <w:unhideWhenUsed/>
    <w:rsid w:val="001D16E0"/>
    <w:pPr>
      <w:spacing w:after="100"/>
      <w:ind w:left="240"/>
    </w:pPr>
  </w:style>
  <w:style w:type="paragraph" w:styleId="TOC3">
    <w:name w:val="toc 3"/>
    <w:basedOn w:val="a"/>
    <w:next w:val="a"/>
    <w:autoRedefine/>
    <w:uiPriority w:val="39"/>
    <w:unhideWhenUsed/>
    <w:rsid w:val="001D16E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777019">
      <w:bodyDiv w:val="1"/>
      <w:marLeft w:val="0"/>
      <w:marRight w:val="0"/>
      <w:marTop w:val="0"/>
      <w:marBottom w:val="0"/>
      <w:divBdr>
        <w:top w:val="none" w:sz="0" w:space="0" w:color="auto"/>
        <w:left w:val="none" w:sz="0" w:space="0" w:color="auto"/>
        <w:bottom w:val="none" w:sz="0" w:space="0" w:color="auto"/>
        <w:right w:val="none" w:sz="0" w:space="0" w:color="auto"/>
      </w:divBdr>
    </w:div>
    <w:div w:id="115760669">
      <w:bodyDiv w:val="1"/>
      <w:marLeft w:val="0"/>
      <w:marRight w:val="0"/>
      <w:marTop w:val="0"/>
      <w:marBottom w:val="0"/>
      <w:divBdr>
        <w:top w:val="none" w:sz="0" w:space="0" w:color="auto"/>
        <w:left w:val="none" w:sz="0" w:space="0" w:color="auto"/>
        <w:bottom w:val="none" w:sz="0" w:space="0" w:color="auto"/>
        <w:right w:val="none" w:sz="0" w:space="0" w:color="auto"/>
      </w:divBdr>
    </w:div>
    <w:div w:id="124584885">
      <w:bodyDiv w:val="1"/>
      <w:marLeft w:val="0"/>
      <w:marRight w:val="0"/>
      <w:marTop w:val="0"/>
      <w:marBottom w:val="0"/>
      <w:divBdr>
        <w:top w:val="none" w:sz="0" w:space="0" w:color="auto"/>
        <w:left w:val="none" w:sz="0" w:space="0" w:color="auto"/>
        <w:bottom w:val="none" w:sz="0" w:space="0" w:color="auto"/>
        <w:right w:val="none" w:sz="0" w:space="0" w:color="auto"/>
      </w:divBdr>
    </w:div>
    <w:div w:id="292100394">
      <w:bodyDiv w:val="1"/>
      <w:marLeft w:val="0"/>
      <w:marRight w:val="0"/>
      <w:marTop w:val="0"/>
      <w:marBottom w:val="0"/>
      <w:divBdr>
        <w:top w:val="none" w:sz="0" w:space="0" w:color="auto"/>
        <w:left w:val="none" w:sz="0" w:space="0" w:color="auto"/>
        <w:bottom w:val="none" w:sz="0" w:space="0" w:color="auto"/>
        <w:right w:val="none" w:sz="0" w:space="0" w:color="auto"/>
      </w:divBdr>
    </w:div>
    <w:div w:id="410783199">
      <w:bodyDiv w:val="1"/>
      <w:marLeft w:val="0"/>
      <w:marRight w:val="0"/>
      <w:marTop w:val="0"/>
      <w:marBottom w:val="0"/>
      <w:divBdr>
        <w:top w:val="none" w:sz="0" w:space="0" w:color="auto"/>
        <w:left w:val="none" w:sz="0" w:space="0" w:color="auto"/>
        <w:bottom w:val="none" w:sz="0" w:space="0" w:color="auto"/>
        <w:right w:val="none" w:sz="0" w:space="0" w:color="auto"/>
      </w:divBdr>
    </w:div>
    <w:div w:id="515005054">
      <w:bodyDiv w:val="1"/>
      <w:marLeft w:val="0"/>
      <w:marRight w:val="0"/>
      <w:marTop w:val="0"/>
      <w:marBottom w:val="0"/>
      <w:divBdr>
        <w:top w:val="none" w:sz="0" w:space="0" w:color="auto"/>
        <w:left w:val="none" w:sz="0" w:space="0" w:color="auto"/>
        <w:bottom w:val="none" w:sz="0" w:space="0" w:color="auto"/>
        <w:right w:val="none" w:sz="0" w:space="0" w:color="auto"/>
      </w:divBdr>
    </w:div>
    <w:div w:id="541283189">
      <w:bodyDiv w:val="1"/>
      <w:marLeft w:val="0"/>
      <w:marRight w:val="0"/>
      <w:marTop w:val="0"/>
      <w:marBottom w:val="0"/>
      <w:divBdr>
        <w:top w:val="none" w:sz="0" w:space="0" w:color="auto"/>
        <w:left w:val="none" w:sz="0" w:space="0" w:color="auto"/>
        <w:bottom w:val="none" w:sz="0" w:space="0" w:color="auto"/>
        <w:right w:val="none" w:sz="0" w:space="0" w:color="auto"/>
      </w:divBdr>
    </w:div>
    <w:div w:id="794174728">
      <w:bodyDiv w:val="1"/>
      <w:marLeft w:val="0"/>
      <w:marRight w:val="0"/>
      <w:marTop w:val="0"/>
      <w:marBottom w:val="0"/>
      <w:divBdr>
        <w:top w:val="none" w:sz="0" w:space="0" w:color="auto"/>
        <w:left w:val="none" w:sz="0" w:space="0" w:color="auto"/>
        <w:bottom w:val="none" w:sz="0" w:space="0" w:color="auto"/>
        <w:right w:val="none" w:sz="0" w:space="0" w:color="auto"/>
      </w:divBdr>
    </w:div>
    <w:div w:id="808090901">
      <w:bodyDiv w:val="1"/>
      <w:marLeft w:val="0"/>
      <w:marRight w:val="0"/>
      <w:marTop w:val="0"/>
      <w:marBottom w:val="0"/>
      <w:divBdr>
        <w:top w:val="none" w:sz="0" w:space="0" w:color="auto"/>
        <w:left w:val="none" w:sz="0" w:space="0" w:color="auto"/>
        <w:bottom w:val="none" w:sz="0" w:space="0" w:color="auto"/>
        <w:right w:val="none" w:sz="0" w:space="0" w:color="auto"/>
      </w:divBdr>
    </w:div>
    <w:div w:id="861557156">
      <w:bodyDiv w:val="1"/>
      <w:marLeft w:val="0"/>
      <w:marRight w:val="0"/>
      <w:marTop w:val="0"/>
      <w:marBottom w:val="0"/>
      <w:divBdr>
        <w:top w:val="none" w:sz="0" w:space="0" w:color="auto"/>
        <w:left w:val="none" w:sz="0" w:space="0" w:color="auto"/>
        <w:bottom w:val="none" w:sz="0" w:space="0" w:color="auto"/>
        <w:right w:val="none" w:sz="0" w:space="0" w:color="auto"/>
      </w:divBdr>
    </w:div>
    <w:div w:id="1115976808">
      <w:bodyDiv w:val="1"/>
      <w:marLeft w:val="0"/>
      <w:marRight w:val="0"/>
      <w:marTop w:val="0"/>
      <w:marBottom w:val="0"/>
      <w:divBdr>
        <w:top w:val="none" w:sz="0" w:space="0" w:color="auto"/>
        <w:left w:val="none" w:sz="0" w:space="0" w:color="auto"/>
        <w:bottom w:val="none" w:sz="0" w:space="0" w:color="auto"/>
        <w:right w:val="none" w:sz="0" w:space="0" w:color="auto"/>
      </w:divBdr>
    </w:div>
    <w:div w:id="1155219852">
      <w:bodyDiv w:val="1"/>
      <w:marLeft w:val="0"/>
      <w:marRight w:val="0"/>
      <w:marTop w:val="0"/>
      <w:marBottom w:val="0"/>
      <w:divBdr>
        <w:top w:val="none" w:sz="0" w:space="0" w:color="auto"/>
        <w:left w:val="none" w:sz="0" w:space="0" w:color="auto"/>
        <w:bottom w:val="none" w:sz="0" w:space="0" w:color="auto"/>
        <w:right w:val="none" w:sz="0" w:space="0" w:color="auto"/>
      </w:divBdr>
    </w:div>
    <w:div w:id="1166046042">
      <w:bodyDiv w:val="1"/>
      <w:marLeft w:val="0"/>
      <w:marRight w:val="0"/>
      <w:marTop w:val="0"/>
      <w:marBottom w:val="0"/>
      <w:divBdr>
        <w:top w:val="none" w:sz="0" w:space="0" w:color="auto"/>
        <w:left w:val="none" w:sz="0" w:space="0" w:color="auto"/>
        <w:bottom w:val="none" w:sz="0" w:space="0" w:color="auto"/>
        <w:right w:val="none" w:sz="0" w:space="0" w:color="auto"/>
      </w:divBdr>
    </w:div>
    <w:div w:id="1233665450">
      <w:bodyDiv w:val="1"/>
      <w:marLeft w:val="0"/>
      <w:marRight w:val="0"/>
      <w:marTop w:val="0"/>
      <w:marBottom w:val="0"/>
      <w:divBdr>
        <w:top w:val="none" w:sz="0" w:space="0" w:color="auto"/>
        <w:left w:val="none" w:sz="0" w:space="0" w:color="auto"/>
        <w:bottom w:val="none" w:sz="0" w:space="0" w:color="auto"/>
        <w:right w:val="none" w:sz="0" w:space="0" w:color="auto"/>
      </w:divBdr>
    </w:div>
    <w:div w:id="1235580266">
      <w:bodyDiv w:val="1"/>
      <w:marLeft w:val="0"/>
      <w:marRight w:val="0"/>
      <w:marTop w:val="0"/>
      <w:marBottom w:val="0"/>
      <w:divBdr>
        <w:top w:val="none" w:sz="0" w:space="0" w:color="auto"/>
        <w:left w:val="none" w:sz="0" w:space="0" w:color="auto"/>
        <w:bottom w:val="none" w:sz="0" w:space="0" w:color="auto"/>
        <w:right w:val="none" w:sz="0" w:space="0" w:color="auto"/>
      </w:divBdr>
    </w:div>
    <w:div w:id="1305309601">
      <w:bodyDiv w:val="1"/>
      <w:marLeft w:val="0"/>
      <w:marRight w:val="0"/>
      <w:marTop w:val="0"/>
      <w:marBottom w:val="0"/>
      <w:divBdr>
        <w:top w:val="none" w:sz="0" w:space="0" w:color="auto"/>
        <w:left w:val="none" w:sz="0" w:space="0" w:color="auto"/>
        <w:bottom w:val="none" w:sz="0" w:space="0" w:color="auto"/>
        <w:right w:val="none" w:sz="0" w:space="0" w:color="auto"/>
      </w:divBdr>
    </w:div>
    <w:div w:id="1475026236">
      <w:bodyDiv w:val="1"/>
      <w:marLeft w:val="0"/>
      <w:marRight w:val="0"/>
      <w:marTop w:val="0"/>
      <w:marBottom w:val="0"/>
      <w:divBdr>
        <w:top w:val="none" w:sz="0" w:space="0" w:color="auto"/>
        <w:left w:val="none" w:sz="0" w:space="0" w:color="auto"/>
        <w:bottom w:val="none" w:sz="0" w:space="0" w:color="auto"/>
        <w:right w:val="none" w:sz="0" w:space="0" w:color="auto"/>
      </w:divBdr>
    </w:div>
    <w:div w:id="1635257511">
      <w:bodyDiv w:val="1"/>
      <w:marLeft w:val="0"/>
      <w:marRight w:val="0"/>
      <w:marTop w:val="0"/>
      <w:marBottom w:val="0"/>
      <w:divBdr>
        <w:top w:val="none" w:sz="0" w:space="0" w:color="auto"/>
        <w:left w:val="none" w:sz="0" w:space="0" w:color="auto"/>
        <w:bottom w:val="none" w:sz="0" w:space="0" w:color="auto"/>
        <w:right w:val="none" w:sz="0" w:space="0" w:color="auto"/>
      </w:divBdr>
    </w:div>
    <w:div w:id="1738283230">
      <w:bodyDiv w:val="1"/>
      <w:marLeft w:val="0"/>
      <w:marRight w:val="0"/>
      <w:marTop w:val="0"/>
      <w:marBottom w:val="0"/>
      <w:divBdr>
        <w:top w:val="none" w:sz="0" w:space="0" w:color="auto"/>
        <w:left w:val="none" w:sz="0" w:space="0" w:color="auto"/>
        <w:bottom w:val="none" w:sz="0" w:space="0" w:color="auto"/>
        <w:right w:val="none" w:sz="0" w:space="0" w:color="auto"/>
      </w:divBdr>
    </w:div>
    <w:div w:id="1849715335">
      <w:bodyDiv w:val="1"/>
      <w:marLeft w:val="0"/>
      <w:marRight w:val="0"/>
      <w:marTop w:val="0"/>
      <w:marBottom w:val="0"/>
      <w:divBdr>
        <w:top w:val="none" w:sz="0" w:space="0" w:color="auto"/>
        <w:left w:val="none" w:sz="0" w:space="0" w:color="auto"/>
        <w:bottom w:val="none" w:sz="0" w:space="0" w:color="auto"/>
        <w:right w:val="none" w:sz="0" w:space="0" w:color="auto"/>
      </w:divBdr>
    </w:div>
    <w:div w:id="1877308491">
      <w:bodyDiv w:val="1"/>
      <w:marLeft w:val="0"/>
      <w:marRight w:val="0"/>
      <w:marTop w:val="0"/>
      <w:marBottom w:val="0"/>
      <w:divBdr>
        <w:top w:val="none" w:sz="0" w:space="0" w:color="auto"/>
        <w:left w:val="none" w:sz="0" w:space="0" w:color="auto"/>
        <w:bottom w:val="none" w:sz="0" w:space="0" w:color="auto"/>
        <w:right w:val="none" w:sz="0" w:space="0" w:color="auto"/>
      </w:divBdr>
    </w:div>
    <w:div w:id="1931312701">
      <w:bodyDiv w:val="1"/>
      <w:marLeft w:val="0"/>
      <w:marRight w:val="0"/>
      <w:marTop w:val="0"/>
      <w:marBottom w:val="0"/>
      <w:divBdr>
        <w:top w:val="none" w:sz="0" w:space="0" w:color="auto"/>
        <w:left w:val="none" w:sz="0" w:space="0" w:color="auto"/>
        <w:bottom w:val="none" w:sz="0" w:space="0" w:color="auto"/>
        <w:right w:val="none" w:sz="0" w:space="0" w:color="auto"/>
      </w:divBdr>
    </w:div>
    <w:div w:id="2127773356">
      <w:bodyDiv w:val="1"/>
      <w:marLeft w:val="0"/>
      <w:marRight w:val="0"/>
      <w:marTop w:val="0"/>
      <w:marBottom w:val="0"/>
      <w:divBdr>
        <w:top w:val="none" w:sz="0" w:space="0" w:color="auto"/>
        <w:left w:val="none" w:sz="0" w:space="0" w:color="auto"/>
        <w:bottom w:val="none" w:sz="0" w:space="0" w:color="auto"/>
        <w:right w:val="none" w:sz="0" w:space="0" w:color="auto"/>
      </w:divBdr>
    </w:div>
    <w:div w:id="214179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evo.co.il/case/5957984" TargetMode="External"/><Relationship Id="rId21" Type="http://schemas.openxmlformats.org/officeDocument/2006/relationships/hyperlink" Target="http://www.nevo.co.il/law/91073/3T7.a" TargetMode="External"/><Relationship Id="rId42" Type="http://schemas.openxmlformats.org/officeDocument/2006/relationships/image" Target="media/image8.png"/><Relationship Id="rId47" Type="http://schemas.openxmlformats.org/officeDocument/2006/relationships/image" Target="media/image12.png"/><Relationship Id="rId63" Type="http://schemas.openxmlformats.org/officeDocument/2006/relationships/image" Target="media/image16.png"/><Relationship Id="rId6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www.nevo.co.il/law/91073/3T19.b.1" TargetMode="External"/><Relationship Id="rId29" Type="http://schemas.openxmlformats.org/officeDocument/2006/relationships/hyperlink" Target="http://www.nevo.co.il/law/91073/3T14.f" TargetMode="External"/><Relationship Id="rId11" Type="http://schemas.openxmlformats.org/officeDocument/2006/relationships/hyperlink" Target="http://www.nevo.co.il/law/91073/3T19.b.3" TargetMode="External"/><Relationship Id="rId24" Type="http://schemas.openxmlformats.org/officeDocument/2006/relationships/hyperlink" Target="http://www.nevo.co.il/law/91073/3T14.f" TargetMode="External"/><Relationship Id="rId32" Type="http://schemas.openxmlformats.org/officeDocument/2006/relationships/hyperlink" Target="http://www.nevo.co.il/case/28826288" TargetMode="External"/><Relationship Id="rId37" Type="http://schemas.openxmlformats.org/officeDocument/2006/relationships/hyperlink" Target="http://www.nevo.co.il/case/33684513" TargetMode="External"/><Relationship Id="rId40" Type="http://schemas.openxmlformats.org/officeDocument/2006/relationships/hyperlink" Target="http://www.nevo.co.il/case/25330848" TargetMode="External"/><Relationship Id="rId45" Type="http://schemas.openxmlformats.org/officeDocument/2006/relationships/image" Target="media/image10.png"/><Relationship Id="rId53" Type="http://schemas.openxmlformats.org/officeDocument/2006/relationships/hyperlink" Target="http://www.nevo.co.il/case/5592384" TargetMode="External"/><Relationship Id="rId58" Type="http://schemas.openxmlformats.org/officeDocument/2006/relationships/hyperlink" Target="http://www.nevo.co.il/case/29203728" TargetMode="External"/><Relationship Id="rId66" Type="http://schemas.openxmlformats.org/officeDocument/2006/relationships/hyperlink" Target="http://www.nevo.co.il/case/7012229" TargetMode="External"/><Relationship Id="rId5" Type="http://schemas.openxmlformats.org/officeDocument/2006/relationships/webSettings" Target="webSettings.xml"/><Relationship Id="rId61" Type="http://schemas.openxmlformats.org/officeDocument/2006/relationships/hyperlink" Target="http://www.nevo.co.il/case/27933509" TargetMode="External"/><Relationship Id="rId19" Type="http://schemas.openxmlformats.org/officeDocument/2006/relationships/image" Target="media/image4.png"/><Relationship Id="rId14" Type="http://schemas.openxmlformats.org/officeDocument/2006/relationships/hyperlink" Target="http://www.nevo.co.il/case/27494808" TargetMode="External"/><Relationship Id="rId22" Type="http://schemas.openxmlformats.org/officeDocument/2006/relationships/hyperlink" Target="http://www.nevo.co.il/law/91073/3T7.a" TargetMode="External"/><Relationship Id="rId27" Type="http://schemas.openxmlformats.org/officeDocument/2006/relationships/hyperlink" Target="http://www.nevo.co.il/case/5750809" TargetMode="External"/><Relationship Id="rId30" Type="http://schemas.openxmlformats.org/officeDocument/2006/relationships/hyperlink" Target="http://www.nevo.co.il/safrut/bookgroup/1227" TargetMode="External"/><Relationship Id="rId35" Type="http://schemas.openxmlformats.org/officeDocument/2006/relationships/hyperlink" Target="http://www.nevo.co.il/case/30712962" TargetMode="External"/><Relationship Id="rId43" Type="http://schemas.openxmlformats.org/officeDocument/2006/relationships/image" Target="media/image9.png"/><Relationship Id="rId48" Type="http://schemas.openxmlformats.org/officeDocument/2006/relationships/image" Target="media/image13.png"/><Relationship Id="rId56" Type="http://schemas.openxmlformats.org/officeDocument/2006/relationships/image" Target="media/image14.png"/><Relationship Id="rId64" Type="http://schemas.openxmlformats.org/officeDocument/2006/relationships/image" Target="media/image17.png"/><Relationship Id="rId69" Type="http://schemas.openxmlformats.org/officeDocument/2006/relationships/hyperlink" Target="http://www.nevo.co.il/law/91073/3T16" TargetMode="External"/><Relationship Id="rId8" Type="http://schemas.openxmlformats.org/officeDocument/2006/relationships/image" Target="media/image1.png"/><Relationship Id="rId51" Type="http://schemas.openxmlformats.org/officeDocument/2006/relationships/hyperlink" Target="http://www.nevo.co.il/safrut/bookgroup/1220"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nevo.co.il/case/26001602" TargetMode="External"/><Relationship Id="rId17" Type="http://schemas.openxmlformats.org/officeDocument/2006/relationships/hyperlink" Target="http://www.nevo.co.il/law/91073/3T19.b.1" TargetMode="External"/><Relationship Id="rId25" Type="http://schemas.openxmlformats.org/officeDocument/2006/relationships/hyperlink" Target="http://www.nevo.co.il/law/91073/3T14.f" TargetMode="External"/><Relationship Id="rId33" Type="http://schemas.openxmlformats.org/officeDocument/2006/relationships/hyperlink" Target="http://www.nevo.co.il/case/11268254" TargetMode="External"/><Relationship Id="rId38" Type="http://schemas.openxmlformats.org/officeDocument/2006/relationships/hyperlink" Target="http://www.nevo.co.il/case/26691435" TargetMode="External"/><Relationship Id="rId46" Type="http://schemas.openxmlformats.org/officeDocument/2006/relationships/image" Target="media/image11.png"/><Relationship Id="rId59" Type="http://schemas.openxmlformats.org/officeDocument/2006/relationships/hyperlink" Target="http://www.nevo.co.il/case/30503943" TargetMode="External"/><Relationship Id="rId67" Type="http://schemas.openxmlformats.org/officeDocument/2006/relationships/hyperlink" Target="http://www.nevo.co.il/case/33492409" TargetMode="External"/><Relationship Id="rId20" Type="http://schemas.openxmlformats.org/officeDocument/2006/relationships/image" Target="media/image5.png"/><Relationship Id="rId41" Type="http://schemas.openxmlformats.org/officeDocument/2006/relationships/hyperlink" Target="http://www.nevo.co.il/case/5582802" TargetMode="External"/><Relationship Id="rId54" Type="http://schemas.openxmlformats.org/officeDocument/2006/relationships/hyperlink" Target="http://www.nevo.co.il/case/21473608" TargetMode="External"/><Relationship Id="rId62" Type="http://schemas.openxmlformats.org/officeDocument/2006/relationships/hyperlink" Target="http://www.nevo.co.il/case/29325251" TargetMode="External"/><Relationship Id="rId70" Type="http://schemas.openxmlformats.org/officeDocument/2006/relationships/hyperlink" Target="http://www.nevo.co.il/law/91073/3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evo.co.il/law/91073/3T19.b.1" TargetMode="External"/><Relationship Id="rId23" Type="http://schemas.openxmlformats.org/officeDocument/2006/relationships/hyperlink" Target="http://www.nevo.co.il/law/91073/3T14.f" TargetMode="External"/><Relationship Id="rId28" Type="http://schemas.openxmlformats.org/officeDocument/2006/relationships/hyperlink" Target="http://www.nevo.co.il/safrut/bookgroup/2057" TargetMode="External"/><Relationship Id="rId36" Type="http://schemas.openxmlformats.org/officeDocument/2006/relationships/image" Target="media/image7.png"/><Relationship Id="rId49" Type="http://schemas.openxmlformats.org/officeDocument/2006/relationships/hyperlink" Target="http://www.nevo.co.il/case/21915121" TargetMode="External"/><Relationship Id="rId57" Type="http://schemas.openxmlformats.org/officeDocument/2006/relationships/image" Target="media/image15.png"/><Relationship Id="rId10" Type="http://schemas.openxmlformats.org/officeDocument/2006/relationships/hyperlink" Target="http://www.nevo.co.il/law/91073/3T19.b.1" TargetMode="External"/><Relationship Id="rId31" Type="http://schemas.openxmlformats.org/officeDocument/2006/relationships/image" Target="media/image6.png"/><Relationship Id="rId44" Type="http://schemas.openxmlformats.org/officeDocument/2006/relationships/hyperlink" Target="http://www.nevo.co.il/case/25685416" TargetMode="External"/><Relationship Id="rId52" Type="http://schemas.openxmlformats.org/officeDocument/2006/relationships/hyperlink" Target="http://www.nevo.co.il/case/5615755" TargetMode="External"/><Relationship Id="rId60" Type="http://schemas.openxmlformats.org/officeDocument/2006/relationships/hyperlink" Target="http://www.nevo.co.il/case/27003665" TargetMode="External"/><Relationship Id="rId65" Type="http://schemas.openxmlformats.org/officeDocument/2006/relationships/image" Target="media/image18.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nevo.co.il/law/91073/3T19.b.1" TargetMode="External"/><Relationship Id="rId18" Type="http://schemas.openxmlformats.org/officeDocument/2006/relationships/image" Target="media/image3.png"/><Relationship Id="rId39" Type="http://schemas.openxmlformats.org/officeDocument/2006/relationships/hyperlink" Target="http://www.nevo.co.il/case/23606759" TargetMode="External"/><Relationship Id="rId34" Type="http://schemas.openxmlformats.org/officeDocument/2006/relationships/hyperlink" Target="http://www.nevo.co.il/law/91073/3T14.f" TargetMode="External"/><Relationship Id="rId50" Type="http://schemas.openxmlformats.org/officeDocument/2006/relationships/hyperlink" Target="http://www.nevo.co.il/case/21473608" TargetMode="External"/><Relationship Id="rId55" Type="http://schemas.openxmlformats.org/officeDocument/2006/relationships/hyperlink" Target="http://www.nevo.co.il/law/91073/3T4.7" TargetMode="External"/><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A0CB1-4EE1-42E6-82A9-58C57D596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26973</Words>
  <Characters>134866</Characters>
  <Application>Microsoft Office Word</Application>
  <DocSecurity>0</DocSecurity>
  <Lines>1123</Lines>
  <Paragraphs>323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161516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דינה בסירטמן</cp:lastModifiedBy>
  <cp:revision>2</cp:revision>
  <cp:lastPrinted>2025-07-27T10:47:00Z</cp:lastPrinted>
  <dcterms:created xsi:type="dcterms:W3CDTF">2025-07-28T11:20:00Z</dcterms:created>
  <dcterms:modified xsi:type="dcterms:W3CDTF">2025-07-28T11:20:00Z</dcterms:modified>
</cp:coreProperties>
</file>