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CB14DB" w14:textId="77777777" w:rsidR="00A55D28" w:rsidRDefault="00A55D28" w:rsidP="006A51E7">
      <w:pPr>
        <w:pStyle w:val="21"/>
        <w:bidi/>
        <w:ind w:left="90" w:hanging="425"/>
        <w:contextualSpacing/>
        <w:jc w:val="center"/>
        <w:rPr>
          <w:b/>
          <w:bCs/>
        </w:rPr>
      </w:pPr>
      <w:r>
        <w:rPr>
          <w:b/>
          <w:bCs/>
          <w:rtl/>
        </w:rPr>
        <w:t>מדינת ישראל</w:t>
      </w:r>
    </w:p>
    <w:p w14:paraId="5CEBF8D6" w14:textId="77777777" w:rsidR="00A55D28" w:rsidRDefault="00A55D28" w:rsidP="006A51E7">
      <w:pPr>
        <w:pStyle w:val="11"/>
        <w:bidi/>
        <w:spacing w:line="360" w:lineRule="auto"/>
        <w:ind w:left="90" w:hanging="425"/>
        <w:contextualSpacing/>
        <w:jc w:val="center"/>
        <w:rPr>
          <w:rFonts w:ascii="David" w:hAnsi="David"/>
          <w:rtl/>
        </w:rPr>
      </w:pPr>
      <w:r>
        <w:rPr>
          <w:rFonts w:ascii="David" w:hAnsi="David"/>
          <w:rtl/>
        </w:rPr>
        <w:t>מנהל התכנון – משרד הפנים</w:t>
      </w:r>
    </w:p>
    <w:p w14:paraId="63B61D81" w14:textId="77777777" w:rsidR="00A55D28" w:rsidRDefault="00A55D28" w:rsidP="006A51E7">
      <w:pPr>
        <w:pStyle w:val="11"/>
        <w:bidi/>
        <w:spacing w:line="360" w:lineRule="auto"/>
        <w:ind w:left="90" w:hanging="425"/>
        <w:contextualSpacing/>
        <w:jc w:val="center"/>
        <w:rPr>
          <w:rFonts w:ascii="David" w:hAnsi="David"/>
          <w:rtl/>
        </w:rPr>
      </w:pPr>
      <w:r>
        <w:rPr>
          <w:rFonts w:ascii="David" w:hAnsi="David"/>
          <w:rtl/>
        </w:rPr>
        <w:t>ועדת ערר לפי חוק התכנון והבניה</w:t>
      </w:r>
    </w:p>
    <w:p w14:paraId="5C96D00D" w14:textId="77777777" w:rsidR="00A55D28" w:rsidRDefault="00A55D28" w:rsidP="006A51E7">
      <w:pPr>
        <w:pStyle w:val="11"/>
        <w:bidi/>
        <w:spacing w:line="360" w:lineRule="auto"/>
        <w:ind w:left="90" w:hanging="425"/>
        <w:contextualSpacing/>
        <w:jc w:val="center"/>
        <w:rPr>
          <w:rFonts w:ascii="David" w:hAnsi="David"/>
          <w:rtl/>
        </w:rPr>
      </w:pPr>
      <w:r>
        <w:rPr>
          <w:rFonts w:ascii="David" w:hAnsi="David"/>
          <w:rtl/>
        </w:rPr>
        <w:t>פיצויים והיטלי השבחה</w:t>
      </w:r>
    </w:p>
    <w:p w14:paraId="20B87C09" w14:textId="77777777" w:rsidR="00A55D28" w:rsidRDefault="00A55D28" w:rsidP="006A51E7">
      <w:pPr>
        <w:pStyle w:val="11"/>
        <w:bidi/>
        <w:spacing w:line="360" w:lineRule="auto"/>
        <w:ind w:left="90" w:hanging="425"/>
        <w:contextualSpacing/>
        <w:jc w:val="center"/>
        <w:rPr>
          <w:rFonts w:ascii="David" w:hAnsi="David"/>
          <w:rtl/>
        </w:rPr>
      </w:pPr>
      <w:r>
        <w:rPr>
          <w:rFonts w:ascii="David" w:hAnsi="David"/>
          <w:rtl/>
        </w:rPr>
        <w:t>מחוז תל אביב</w:t>
      </w:r>
    </w:p>
    <w:p w14:paraId="607B1BAA" w14:textId="77777777" w:rsidR="00A55D28" w:rsidRDefault="00A55D28" w:rsidP="006A51E7">
      <w:pPr>
        <w:pStyle w:val="11"/>
        <w:bidi/>
        <w:spacing w:line="360" w:lineRule="auto"/>
        <w:ind w:left="90" w:hanging="425"/>
        <w:rPr>
          <w:rFonts w:ascii="David" w:hAnsi="David"/>
          <w:rtl/>
        </w:rPr>
      </w:pPr>
      <w:r>
        <w:rPr>
          <w:rFonts w:ascii="David" w:hAnsi="David"/>
          <w:rtl/>
        </w:rPr>
        <w:t xml:space="preserve"> </w:t>
      </w:r>
    </w:p>
    <w:p w14:paraId="6DE14403" w14:textId="77777777" w:rsidR="00A55D28" w:rsidRDefault="00A55D28" w:rsidP="006A51E7">
      <w:pPr>
        <w:pStyle w:val="11"/>
        <w:bidi/>
        <w:spacing w:line="360" w:lineRule="auto"/>
        <w:ind w:left="90" w:hanging="425"/>
        <w:jc w:val="right"/>
        <w:rPr>
          <w:rFonts w:ascii="David" w:hAnsi="David"/>
          <w:b/>
          <w:bCs/>
          <w:rtl/>
        </w:rPr>
      </w:pPr>
      <w:r>
        <w:rPr>
          <w:rFonts w:ascii="David" w:hAnsi="David"/>
          <w:b/>
          <w:bCs/>
          <w:rtl/>
        </w:rPr>
        <w:t>תא/ 0422/ 81043</w:t>
      </w:r>
    </w:p>
    <w:p w14:paraId="75FB1F92" w14:textId="77777777" w:rsidR="00A55D28" w:rsidRDefault="00A55D28" w:rsidP="006A51E7">
      <w:pPr>
        <w:pStyle w:val="11"/>
        <w:bidi/>
        <w:spacing w:line="360" w:lineRule="auto"/>
        <w:ind w:left="90" w:hanging="425"/>
        <w:rPr>
          <w:rFonts w:ascii="David" w:hAnsi="David"/>
          <w:b/>
          <w:bCs/>
          <w:u w:val="single"/>
          <w:rtl/>
        </w:rPr>
      </w:pPr>
    </w:p>
    <w:p w14:paraId="3DF7273D" w14:textId="77777777" w:rsidR="00A55D28" w:rsidRDefault="00A55D28" w:rsidP="006A51E7">
      <w:pPr>
        <w:pStyle w:val="11"/>
        <w:bidi/>
        <w:spacing w:line="360" w:lineRule="auto"/>
        <w:ind w:left="90" w:hanging="425"/>
        <w:rPr>
          <w:rFonts w:ascii="David" w:hAnsi="David"/>
          <w:u w:val="single"/>
          <w:rtl/>
        </w:rPr>
      </w:pPr>
      <w:r>
        <w:rPr>
          <w:rFonts w:ascii="David" w:hAnsi="David"/>
          <w:b/>
          <w:bCs/>
          <w:u w:val="single"/>
          <w:rtl/>
        </w:rPr>
        <w:t>בפני כב' הוועדה:</w:t>
      </w:r>
    </w:p>
    <w:p w14:paraId="4DA92B19" w14:textId="77777777" w:rsidR="00A55D28" w:rsidRDefault="00A55D28" w:rsidP="006A51E7">
      <w:pPr>
        <w:pStyle w:val="11"/>
        <w:bidi/>
        <w:spacing w:line="360" w:lineRule="auto"/>
        <w:ind w:left="90" w:hanging="425"/>
        <w:rPr>
          <w:rFonts w:ascii="David" w:hAnsi="David"/>
          <w:b/>
          <w:bCs/>
          <w:rtl/>
        </w:rPr>
      </w:pPr>
      <w:r>
        <w:rPr>
          <w:rFonts w:ascii="David" w:hAnsi="David"/>
          <w:b/>
          <w:bCs/>
          <w:rtl/>
        </w:rPr>
        <w:t>הלל גלקופ, עו"ד</w:t>
      </w:r>
      <w:r>
        <w:rPr>
          <w:rFonts w:ascii="David" w:hAnsi="David"/>
          <w:b/>
          <w:bCs/>
          <w:rtl/>
        </w:rPr>
        <w:tab/>
      </w:r>
      <w:r>
        <w:rPr>
          <w:rFonts w:ascii="David" w:hAnsi="David"/>
          <w:b/>
          <w:bCs/>
          <w:rtl/>
        </w:rPr>
        <w:tab/>
      </w:r>
      <w:r>
        <w:rPr>
          <w:rFonts w:ascii="David" w:hAnsi="David"/>
          <w:b/>
          <w:bCs/>
          <w:rtl/>
        </w:rPr>
        <w:tab/>
      </w:r>
      <w:r>
        <w:rPr>
          <w:rFonts w:ascii="David" w:hAnsi="David"/>
          <w:b/>
          <w:bCs/>
          <w:rtl/>
        </w:rPr>
        <w:tab/>
      </w:r>
      <w:r w:rsidR="00690005">
        <w:rPr>
          <w:rFonts w:ascii="David" w:hAnsi="David"/>
          <w:b/>
          <w:bCs/>
          <w:rtl/>
        </w:rPr>
        <w:tab/>
      </w:r>
      <w:r>
        <w:rPr>
          <w:rFonts w:ascii="David" w:hAnsi="David"/>
          <w:b/>
          <w:bCs/>
          <w:rtl/>
        </w:rPr>
        <w:tab/>
      </w:r>
      <w:r>
        <w:rPr>
          <w:rFonts w:ascii="David" w:hAnsi="David"/>
          <w:rtl/>
        </w:rPr>
        <w:t>- יו"ר הוועדה</w:t>
      </w:r>
    </w:p>
    <w:p w14:paraId="6DE7330C" w14:textId="77777777" w:rsidR="00A55D28" w:rsidRDefault="00A55D28" w:rsidP="006A51E7">
      <w:pPr>
        <w:pStyle w:val="11"/>
        <w:bidi/>
        <w:spacing w:line="360" w:lineRule="auto"/>
        <w:ind w:left="90" w:hanging="425"/>
        <w:rPr>
          <w:rFonts w:ascii="David" w:hAnsi="David"/>
          <w:b/>
          <w:bCs/>
          <w:rtl/>
        </w:rPr>
      </w:pPr>
      <w:r>
        <w:rPr>
          <w:rFonts w:ascii="David" w:hAnsi="David"/>
          <w:b/>
          <w:bCs/>
          <w:rtl/>
        </w:rPr>
        <w:t>מר אייל יצחקי, שמאי מקרקעין</w:t>
      </w:r>
      <w:r>
        <w:rPr>
          <w:rFonts w:ascii="David" w:hAnsi="David"/>
          <w:b/>
          <w:bCs/>
          <w:rtl/>
        </w:rPr>
        <w:tab/>
      </w:r>
      <w:r>
        <w:rPr>
          <w:rFonts w:ascii="David" w:hAnsi="David"/>
          <w:b/>
          <w:bCs/>
          <w:rtl/>
        </w:rPr>
        <w:tab/>
      </w:r>
      <w:r>
        <w:rPr>
          <w:rFonts w:ascii="David" w:hAnsi="David"/>
          <w:b/>
          <w:bCs/>
          <w:rtl/>
        </w:rPr>
        <w:tab/>
      </w:r>
      <w:r>
        <w:rPr>
          <w:rFonts w:ascii="David" w:hAnsi="David"/>
          <w:rtl/>
        </w:rPr>
        <w:t>- חבר וועדה</w:t>
      </w:r>
    </w:p>
    <w:p w14:paraId="599E52D0" w14:textId="77777777" w:rsidR="00A55D28" w:rsidRDefault="00A55D28" w:rsidP="006A51E7">
      <w:pPr>
        <w:pStyle w:val="11"/>
        <w:bidi/>
        <w:spacing w:line="360" w:lineRule="auto"/>
        <w:ind w:left="90" w:hanging="425"/>
        <w:rPr>
          <w:rFonts w:ascii="David" w:hAnsi="David"/>
          <w:b/>
          <w:bCs/>
          <w:rtl/>
        </w:rPr>
      </w:pPr>
      <w:r>
        <w:rPr>
          <w:rFonts w:ascii="David" w:hAnsi="David"/>
          <w:b/>
          <w:bCs/>
          <w:rtl/>
        </w:rPr>
        <w:t>גב' גל קארו, נציגת מתכנן המחוז</w:t>
      </w:r>
      <w:r>
        <w:rPr>
          <w:rFonts w:ascii="David" w:hAnsi="David"/>
          <w:b/>
          <w:bCs/>
          <w:rtl/>
        </w:rPr>
        <w:tab/>
      </w:r>
      <w:r>
        <w:rPr>
          <w:rFonts w:ascii="David" w:hAnsi="David"/>
          <w:rtl/>
        </w:rPr>
        <w:tab/>
        <w:t xml:space="preserve">           - חברת ועדה</w:t>
      </w:r>
    </w:p>
    <w:p w14:paraId="29DBCE5B" w14:textId="23AA69E8" w:rsidR="00A55D28" w:rsidRDefault="00A55D28" w:rsidP="006A51E7">
      <w:pPr>
        <w:pStyle w:val="11"/>
        <w:bidi/>
        <w:spacing w:line="360" w:lineRule="auto"/>
        <w:ind w:left="90" w:hanging="425"/>
        <w:rPr>
          <w:rFonts w:ascii="David" w:hAnsi="David"/>
          <w:rtl/>
        </w:rPr>
      </w:pPr>
      <w:r>
        <w:rPr>
          <w:rFonts w:ascii="David" w:hAnsi="David"/>
          <w:rtl/>
        </w:rPr>
        <w:t xml:space="preserve"> </w:t>
      </w:r>
    </w:p>
    <w:p w14:paraId="708835E6" w14:textId="77777777" w:rsidR="00A55D28" w:rsidRDefault="00A55D28" w:rsidP="006A51E7">
      <w:pPr>
        <w:pStyle w:val="11"/>
        <w:bidi/>
        <w:spacing w:line="360" w:lineRule="auto"/>
        <w:ind w:left="90" w:hanging="425"/>
        <w:rPr>
          <w:rFonts w:ascii="David" w:hAnsi="David"/>
          <w:b/>
          <w:bCs/>
          <w:rtl/>
        </w:rPr>
      </w:pPr>
    </w:p>
    <w:p w14:paraId="3488A547" w14:textId="77777777" w:rsidR="00A55D28" w:rsidRDefault="00A55D28" w:rsidP="006A51E7">
      <w:pPr>
        <w:pStyle w:val="11"/>
        <w:bidi/>
        <w:spacing w:line="360" w:lineRule="auto"/>
        <w:ind w:left="90" w:hanging="754"/>
        <w:rPr>
          <w:rFonts w:ascii="David" w:hAnsi="David"/>
          <w:b/>
          <w:bCs/>
          <w:rtl/>
        </w:rPr>
      </w:pPr>
      <w:r>
        <w:rPr>
          <w:rFonts w:ascii="David" w:hAnsi="David"/>
          <w:b/>
          <w:bCs/>
          <w:rtl/>
        </w:rPr>
        <w:t>העוררות</w:t>
      </w:r>
      <w:r w:rsidRPr="00690005">
        <w:rPr>
          <w:rFonts w:ascii="David" w:hAnsi="David"/>
          <w:b/>
          <w:bCs/>
          <w:rtl/>
        </w:rPr>
        <w:t xml:space="preserve">:                   </w:t>
      </w:r>
      <w:r w:rsidRPr="006A51E7">
        <w:rPr>
          <w:rFonts w:ascii="David" w:hAnsi="David"/>
          <w:b/>
          <w:bCs/>
          <w:rtl/>
        </w:rPr>
        <w:t xml:space="preserve">1. </w:t>
      </w:r>
      <w:r w:rsidRPr="00690005">
        <w:rPr>
          <w:rFonts w:ascii="David" w:hAnsi="David"/>
          <w:b/>
          <w:bCs/>
          <w:rtl/>
        </w:rPr>
        <w:t>שיכון</w:t>
      </w:r>
      <w:r>
        <w:rPr>
          <w:rFonts w:ascii="David" w:hAnsi="David"/>
          <w:b/>
          <w:bCs/>
          <w:rtl/>
        </w:rPr>
        <w:t xml:space="preserve"> ובינוי נדל</w:t>
      </w:r>
      <w:r w:rsidR="00316CE5">
        <w:rPr>
          <w:rFonts w:ascii="David" w:hAnsi="David"/>
          <w:b/>
          <w:bCs/>
          <w:rtl/>
        </w:rPr>
        <w:t>"</w:t>
      </w:r>
      <w:r>
        <w:rPr>
          <w:rFonts w:ascii="David" w:hAnsi="David"/>
          <w:b/>
          <w:bCs/>
          <w:rtl/>
        </w:rPr>
        <w:t>ן בע</w:t>
      </w:r>
      <w:r w:rsidR="006069E4">
        <w:rPr>
          <w:rFonts w:ascii="David" w:hAnsi="David"/>
          <w:b/>
          <w:bCs/>
          <w:rtl/>
        </w:rPr>
        <w:t>"</w:t>
      </w:r>
      <w:r>
        <w:rPr>
          <w:rFonts w:ascii="David" w:hAnsi="David"/>
          <w:b/>
          <w:bCs/>
          <w:rtl/>
        </w:rPr>
        <w:t>מ</w:t>
      </w:r>
    </w:p>
    <w:p w14:paraId="79395DD8" w14:textId="77777777" w:rsidR="00A55D28" w:rsidRDefault="00690005" w:rsidP="006A51E7">
      <w:pPr>
        <w:pStyle w:val="11"/>
        <w:bidi/>
        <w:spacing w:line="360" w:lineRule="auto"/>
        <w:ind w:left="611" w:hanging="946"/>
        <w:rPr>
          <w:rFonts w:ascii="David" w:hAnsi="David"/>
          <w:b/>
          <w:bCs/>
          <w:rtl/>
        </w:rPr>
      </w:pPr>
      <w:r>
        <w:rPr>
          <w:rFonts w:ascii="David" w:hAnsi="David"/>
          <w:b/>
          <w:bCs/>
          <w:rtl/>
        </w:rPr>
        <w:tab/>
      </w:r>
      <w:r w:rsidR="00A55D28">
        <w:rPr>
          <w:rFonts w:ascii="David" w:hAnsi="David"/>
          <w:b/>
          <w:bCs/>
          <w:rtl/>
        </w:rPr>
        <w:tab/>
        <w:t xml:space="preserve">            2. </w:t>
      </w:r>
      <w:proofErr w:type="spellStart"/>
      <w:r w:rsidR="00A55D28">
        <w:rPr>
          <w:rFonts w:ascii="David" w:hAnsi="David"/>
          <w:b/>
          <w:bCs/>
          <w:rtl/>
        </w:rPr>
        <w:t>לוינשטיין</w:t>
      </w:r>
      <w:proofErr w:type="spellEnd"/>
      <w:r w:rsidR="00A55D28">
        <w:rPr>
          <w:rFonts w:ascii="David" w:hAnsi="David"/>
          <w:b/>
          <w:bCs/>
          <w:rtl/>
        </w:rPr>
        <w:t xml:space="preserve"> נכסים בתחנה בע"מ</w:t>
      </w:r>
    </w:p>
    <w:p w14:paraId="28D22B7F" w14:textId="77777777" w:rsidR="00A55D28" w:rsidRDefault="00A55D28" w:rsidP="006A51E7">
      <w:pPr>
        <w:pStyle w:val="11"/>
        <w:bidi/>
        <w:spacing w:line="360" w:lineRule="auto"/>
        <w:ind w:left="90" w:hanging="425"/>
        <w:rPr>
          <w:rFonts w:ascii="David" w:hAnsi="David"/>
          <w:rtl/>
        </w:rPr>
      </w:pPr>
      <w:r>
        <w:rPr>
          <w:rFonts w:ascii="David" w:hAnsi="David"/>
          <w:b/>
          <w:bCs/>
          <w:rtl/>
        </w:rPr>
        <w:tab/>
      </w:r>
      <w:r>
        <w:rPr>
          <w:rFonts w:ascii="David" w:hAnsi="David"/>
          <w:b/>
          <w:bCs/>
          <w:rtl/>
        </w:rPr>
        <w:tab/>
        <w:t xml:space="preserve">               </w:t>
      </w:r>
      <w:r>
        <w:rPr>
          <w:rFonts w:ascii="David" w:hAnsi="David"/>
          <w:rtl/>
        </w:rPr>
        <w:t xml:space="preserve">ע"י ב"כ עו"ד רונן ירדני ו/או יעל </w:t>
      </w:r>
      <w:proofErr w:type="spellStart"/>
      <w:r>
        <w:rPr>
          <w:rFonts w:ascii="David" w:hAnsi="David"/>
          <w:rtl/>
        </w:rPr>
        <w:t>אוריאלי</w:t>
      </w:r>
      <w:proofErr w:type="spellEnd"/>
    </w:p>
    <w:p w14:paraId="21DB5CB6" w14:textId="77777777" w:rsidR="00A55D28" w:rsidRDefault="00A55D28" w:rsidP="006A51E7">
      <w:pPr>
        <w:pStyle w:val="11"/>
        <w:bidi/>
        <w:ind w:left="90" w:hanging="425"/>
        <w:rPr>
          <w:rFonts w:ascii="David" w:hAnsi="David"/>
          <w:b/>
          <w:bCs/>
          <w:rtl/>
        </w:rPr>
      </w:pPr>
      <w:r>
        <w:rPr>
          <w:rFonts w:ascii="David" w:hAnsi="David"/>
          <w:b/>
          <w:bCs/>
          <w:rtl/>
        </w:rPr>
        <w:t xml:space="preserve"> </w:t>
      </w:r>
    </w:p>
    <w:p w14:paraId="77808715" w14:textId="77777777" w:rsidR="00A55D28" w:rsidRDefault="00A55D28" w:rsidP="006A51E7">
      <w:pPr>
        <w:pStyle w:val="11"/>
        <w:bidi/>
        <w:ind w:left="1530" w:firstLine="630"/>
        <w:rPr>
          <w:rFonts w:ascii="David" w:hAnsi="David"/>
          <w:b/>
          <w:bCs/>
          <w:rtl/>
        </w:rPr>
      </w:pPr>
      <w:r>
        <w:rPr>
          <w:rFonts w:ascii="David" w:hAnsi="David"/>
          <w:b/>
          <w:bCs/>
          <w:rtl/>
        </w:rPr>
        <w:t xml:space="preserve">      -נגד-</w:t>
      </w:r>
    </w:p>
    <w:p w14:paraId="18CB3016" w14:textId="77777777" w:rsidR="00A55D28" w:rsidRDefault="00A55D28" w:rsidP="006A51E7">
      <w:pPr>
        <w:pStyle w:val="11"/>
        <w:bidi/>
        <w:ind w:left="90" w:hanging="425"/>
        <w:rPr>
          <w:rFonts w:ascii="David" w:hAnsi="David"/>
          <w:b/>
          <w:bCs/>
          <w:highlight w:val="yellow"/>
          <w:rtl/>
        </w:rPr>
      </w:pPr>
      <w:r>
        <w:rPr>
          <w:rFonts w:ascii="David" w:hAnsi="David"/>
          <w:b/>
          <w:bCs/>
          <w:highlight w:val="yellow"/>
          <w:rtl/>
        </w:rPr>
        <w:t xml:space="preserve"> </w:t>
      </w:r>
    </w:p>
    <w:p w14:paraId="46006E6B" w14:textId="77777777" w:rsidR="00A55D28" w:rsidRDefault="00A55D28" w:rsidP="006A51E7">
      <w:pPr>
        <w:pStyle w:val="11"/>
        <w:bidi/>
        <w:spacing w:line="360" w:lineRule="auto"/>
        <w:ind w:left="90" w:hanging="754"/>
        <w:rPr>
          <w:rFonts w:ascii="David" w:hAnsi="David"/>
          <w:b/>
          <w:bCs/>
          <w:rtl/>
        </w:rPr>
      </w:pPr>
      <w:r>
        <w:rPr>
          <w:rFonts w:ascii="David" w:hAnsi="David"/>
          <w:b/>
          <w:bCs/>
          <w:rtl/>
        </w:rPr>
        <w:t>המשיבה:                   הוועדה המקומית לתכנון ולבניה תל אביב</w:t>
      </w:r>
      <w:r>
        <w:rPr>
          <w:rFonts w:cs="Times New Roman"/>
          <w:b/>
          <w:bCs/>
          <w:rtl/>
        </w:rPr>
        <w:t>-</w:t>
      </w:r>
      <w:r>
        <w:rPr>
          <w:rFonts w:ascii="David" w:hAnsi="David"/>
          <w:b/>
          <w:bCs/>
          <w:rtl/>
        </w:rPr>
        <w:t>יפו</w:t>
      </w:r>
    </w:p>
    <w:p w14:paraId="1998E214" w14:textId="77777777" w:rsidR="00A55D28" w:rsidRDefault="00A55D28" w:rsidP="006A51E7">
      <w:pPr>
        <w:pStyle w:val="11"/>
        <w:bidi/>
        <w:spacing w:line="360" w:lineRule="auto"/>
        <w:ind w:left="90" w:hanging="425"/>
        <w:rPr>
          <w:rFonts w:ascii="David" w:hAnsi="David"/>
          <w:rtl/>
        </w:rPr>
      </w:pPr>
      <w:r>
        <w:rPr>
          <w:rFonts w:ascii="David" w:hAnsi="David"/>
          <w:b/>
          <w:bCs/>
          <w:rtl/>
        </w:rPr>
        <w:tab/>
      </w:r>
      <w:r>
        <w:rPr>
          <w:rFonts w:ascii="David" w:hAnsi="David"/>
          <w:b/>
          <w:bCs/>
          <w:rtl/>
        </w:rPr>
        <w:tab/>
        <w:t xml:space="preserve">             </w:t>
      </w:r>
      <w:r>
        <w:rPr>
          <w:rFonts w:ascii="David" w:hAnsi="David"/>
          <w:rtl/>
        </w:rPr>
        <w:t>ע"י ב"כ עו"ד מיכל דיק</w:t>
      </w:r>
    </w:p>
    <w:p w14:paraId="1925DFA0" w14:textId="77777777" w:rsidR="00A55D28" w:rsidRDefault="00A55D28" w:rsidP="006A51E7">
      <w:pPr>
        <w:pStyle w:val="11"/>
        <w:bidi/>
        <w:spacing w:line="360" w:lineRule="auto"/>
        <w:ind w:left="90" w:hanging="425"/>
        <w:rPr>
          <w:rFonts w:ascii="David" w:hAnsi="David"/>
          <w:b/>
          <w:bCs/>
          <w:rtl/>
        </w:rPr>
      </w:pPr>
      <w:r>
        <w:rPr>
          <w:rFonts w:ascii="David" w:hAnsi="David"/>
          <w:b/>
          <w:bCs/>
          <w:rtl/>
        </w:rPr>
        <w:t xml:space="preserve"> </w:t>
      </w:r>
    </w:p>
    <w:p w14:paraId="5D00C61B" w14:textId="77777777" w:rsidR="00D373FC" w:rsidRPr="00A55D28" w:rsidRDefault="00A55D28" w:rsidP="006A51E7">
      <w:pPr>
        <w:ind w:left="90" w:hanging="425"/>
        <w:jc w:val="center"/>
        <w:rPr>
          <w:rFonts w:ascii="David" w:hAnsi="David" w:cs="David"/>
          <w:b/>
          <w:bCs/>
          <w:sz w:val="28"/>
          <w:szCs w:val="28"/>
          <w:u w:val="single"/>
          <w:rtl/>
        </w:rPr>
      </w:pPr>
      <w:r w:rsidRPr="00A55D28">
        <w:rPr>
          <w:rFonts w:ascii="David" w:hAnsi="David" w:cs="David"/>
          <w:b/>
          <w:bCs/>
          <w:sz w:val="28"/>
          <w:szCs w:val="28"/>
          <w:u w:val="single"/>
          <w:rtl/>
        </w:rPr>
        <w:t>החלטה</w:t>
      </w:r>
    </w:p>
    <w:p w14:paraId="01BCD081" w14:textId="77777777" w:rsidR="00A55D28" w:rsidRPr="00A55D28" w:rsidRDefault="00A55D28" w:rsidP="006A51E7">
      <w:pPr>
        <w:spacing w:before="100" w:beforeAutospacing="1" w:line="360" w:lineRule="auto"/>
        <w:ind w:left="-335"/>
        <w:jc w:val="both"/>
        <w:rPr>
          <w:rFonts w:ascii="David" w:eastAsia="Calibri" w:hAnsi="David" w:cs="David"/>
          <w:sz w:val="24"/>
          <w:szCs w:val="24"/>
          <w:rtl/>
          <w14:ligatures w14:val="none"/>
        </w:rPr>
      </w:pPr>
      <w:r w:rsidRPr="00A55D28">
        <w:rPr>
          <w:rFonts w:ascii="David" w:eastAsia="Calibri" w:hAnsi="David" w:cs="David"/>
          <w:sz w:val="24"/>
          <w:szCs w:val="24"/>
          <w:rtl/>
          <w14:ligatures w14:val="none"/>
        </w:rPr>
        <w:t xml:space="preserve">לפנינו ערר כנגד שומה מכרעת מיום </w:t>
      </w:r>
      <w:r w:rsidR="006E016C">
        <w:rPr>
          <w:rFonts w:ascii="David" w:eastAsia="Calibri" w:hAnsi="David" w:cs="David" w:hint="cs"/>
          <w:sz w:val="24"/>
          <w:szCs w:val="24"/>
          <w:rtl/>
          <w14:ligatures w14:val="none"/>
        </w:rPr>
        <w:t>12.1.22</w:t>
      </w:r>
      <w:r w:rsidRPr="00A55D28">
        <w:rPr>
          <w:rFonts w:ascii="David" w:eastAsia="Calibri" w:hAnsi="David" w:cs="David"/>
          <w:sz w:val="24"/>
          <w:szCs w:val="24"/>
          <w:rtl/>
          <w14:ligatures w14:val="none"/>
        </w:rPr>
        <w:t xml:space="preserve"> שנערכה ע"י השמאי יעקב פז </w:t>
      </w:r>
      <w:r w:rsidR="00856782">
        <w:rPr>
          <w:rFonts w:ascii="David" w:eastAsia="Calibri" w:hAnsi="David" w:cs="David" w:hint="cs"/>
          <w:sz w:val="24"/>
          <w:szCs w:val="24"/>
          <w:rtl/>
          <w14:ligatures w14:val="none"/>
        </w:rPr>
        <w:t>(להלן:</w:t>
      </w:r>
      <w:r w:rsidR="00856782">
        <w:rPr>
          <w:rFonts w:ascii="David" w:eastAsia="Calibri" w:hAnsi="David" w:cs="David"/>
          <w:sz w:val="24"/>
          <w:szCs w:val="24"/>
          <w14:ligatures w14:val="none"/>
        </w:rPr>
        <w:t xml:space="preserve"> </w:t>
      </w:r>
      <w:r w:rsidR="00856782">
        <w:rPr>
          <w:rFonts w:ascii="David" w:eastAsia="Calibri" w:hAnsi="David" w:cs="David" w:hint="cs"/>
          <w:sz w:val="24"/>
          <w:szCs w:val="24"/>
          <w:rtl/>
          <w14:ligatures w14:val="none"/>
        </w:rPr>
        <w:t>"</w:t>
      </w:r>
      <w:r w:rsidR="00856782" w:rsidRPr="00856782">
        <w:rPr>
          <w:rFonts w:ascii="David" w:eastAsia="Calibri" w:hAnsi="David" w:cs="David" w:hint="cs"/>
          <w:b/>
          <w:bCs/>
          <w:sz w:val="24"/>
          <w:szCs w:val="24"/>
          <w:rtl/>
          <w14:ligatures w14:val="none"/>
        </w:rPr>
        <w:t>השמאי המכריע</w:t>
      </w:r>
      <w:r w:rsidR="00856782">
        <w:rPr>
          <w:rFonts w:ascii="David" w:eastAsia="Calibri" w:hAnsi="David" w:cs="David" w:hint="cs"/>
          <w:sz w:val="24"/>
          <w:szCs w:val="24"/>
          <w:rtl/>
          <w14:ligatures w14:val="none"/>
        </w:rPr>
        <w:t xml:space="preserve">") </w:t>
      </w:r>
      <w:r w:rsidRPr="00A55D28">
        <w:rPr>
          <w:rFonts w:ascii="David" w:eastAsia="Calibri" w:hAnsi="David" w:cs="David"/>
          <w:sz w:val="24"/>
          <w:szCs w:val="24"/>
          <w:rtl/>
          <w14:ligatures w14:val="none"/>
        </w:rPr>
        <w:t xml:space="preserve">שעניינה השבחה שנוצרה במקרקעין הידועים </w:t>
      </w:r>
      <w:r w:rsidR="00856782">
        <w:rPr>
          <w:rFonts w:ascii="David" w:eastAsia="Calibri" w:hAnsi="David" w:cs="David" w:hint="cs"/>
          <w:sz w:val="24"/>
          <w:szCs w:val="24"/>
          <w:rtl/>
          <w14:ligatures w14:val="none"/>
        </w:rPr>
        <w:t>כחלקות 1, 2 ו-5</w:t>
      </w:r>
      <w:r w:rsidRPr="00A55D28">
        <w:rPr>
          <w:rFonts w:ascii="David" w:eastAsia="Calibri" w:hAnsi="David" w:cs="David"/>
          <w:sz w:val="24"/>
          <w:szCs w:val="24"/>
          <w:rtl/>
          <w14:ligatures w14:val="none"/>
        </w:rPr>
        <w:t xml:space="preserve"> בגוש </w:t>
      </w:r>
      <w:r w:rsidR="00856782">
        <w:rPr>
          <w:rFonts w:ascii="David" w:eastAsia="Calibri" w:hAnsi="David" w:cs="David" w:hint="cs"/>
          <w:sz w:val="24"/>
          <w:szCs w:val="24"/>
          <w:rtl/>
          <w14:ligatures w14:val="none"/>
        </w:rPr>
        <w:t>8940 וחלקה 6 בגוש 8939</w:t>
      </w:r>
      <w:r w:rsidRPr="00A55D28">
        <w:rPr>
          <w:rFonts w:ascii="David" w:eastAsia="Calibri" w:hAnsi="David" w:cs="David"/>
          <w:sz w:val="24"/>
          <w:szCs w:val="24"/>
          <w:rtl/>
          <w14:ligatures w14:val="none"/>
        </w:rPr>
        <w:t xml:space="preserve"> </w:t>
      </w:r>
      <w:r w:rsidR="00856782">
        <w:rPr>
          <w:rFonts w:ascii="David" w:eastAsia="Calibri" w:hAnsi="David" w:cs="David" w:hint="cs"/>
          <w:sz w:val="24"/>
          <w:szCs w:val="24"/>
          <w:rtl/>
          <w14:ligatures w14:val="none"/>
        </w:rPr>
        <w:t>(מתחמים 1,2 ו-3 בתכנית 4321) הידועים כמתחם התחנה המרכזית בתל אביב</w:t>
      </w:r>
      <w:r w:rsidRPr="00A55D28">
        <w:rPr>
          <w:rFonts w:ascii="David" w:eastAsia="Calibri" w:hAnsi="David" w:cs="David"/>
          <w:sz w:val="24"/>
          <w:szCs w:val="24"/>
          <w:rtl/>
          <w14:ligatures w14:val="none"/>
        </w:rPr>
        <w:t xml:space="preserve"> (להלן: "</w:t>
      </w:r>
      <w:r w:rsidRPr="00A55D28">
        <w:rPr>
          <w:rFonts w:ascii="David" w:eastAsia="Calibri" w:hAnsi="David" w:cs="David"/>
          <w:b/>
          <w:bCs/>
          <w:sz w:val="24"/>
          <w:szCs w:val="24"/>
          <w:rtl/>
          <w14:ligatures w14:val="none"/>
        </w:rPr>
        <w:t>המקרקעין</w:t>
      </w:r>
      <w:r w:rsidRPr="00A55D28">
        <w:rPr>
          <w:rFonts w:ascii="David" w:eastAsia="Calibri" w:hAnsi="David" w:cs="David"/>
          <w:sz w:val="24"/>
          <w:szCs w:val="24"/>
          <w:rtl/>
          <w14:ligatures w14:val="none"/>
        </w:rPr>
        <w:t xml:space="preserve">"), בגין תכנית </w:t>
      </w:r>
      <w:r w:rsidR="00856782">
        <w:rPr>
          <w:rFonts w:ascii="David" w:eastAsia="Calibri" w:hAnsi="David" w:cs="David" w:hint="cs"/>
          <w:sz w:val="24"/>
          <w:szCs w:val="24"/>
          <w:rtl/>
          <w14:ligatures w14:val="none"/>
        </w:rPr>
        <w:t xml:space="preserve">4321 </w:t>
      </w:r>
      <w:r w:rsidR="006E016C">
        <w:rPr>
          <w:rFonts w:ascii="David" w:eastAsia="Calibri" w:hAnsi="David" w:cs="David" w:hint="cs"/>
          <w:sz w:val="24"/>
          <w:szCs w:val="24"/>
          <w:rtl/>
          <w14:ligatures w14:val="none"/>
        </w:rPr>
        <w:t xml:space="preserve">- </w:t>
      </w:r>
      <w:r w:rsidR="00856782">
        <w:rPr>
          <w:rFonts w:ascii="David" w:eastAsia="Calibri" w:hAnsi="David" w:cs="David" w:hint="cs"/>
          <w:sz w:val="24"/>
          <w:szCs w:val="24"/>
          <w:rtl/>
          <w14:ligatures w14:val="none"/>
        </w:rPr>
        <w:t>"מרחב השומרון" (להלן:</w:t>
      </w:r>
      <w:r w:rsidR="003D5C74">
        <w:rPr>
          <w:rFonts w:ascii="David" w:eastAsia="Calibri" w:hAnsi="David" w:cs="David" w:hint="cs"/>
          <w:sz w:val="24"/>
          <w:szCs w:val="24"/>
          <w:rtl/>
          <w14:ligatures w14:val="none"/>
        </w:rPr>
        <w:t xml:space="preserve"> </w:t>
      </w:r>
      <w:r w:rsidR="00856782">
        <w:rPr>
          <w:rFonts w:ascii="David" w:eastAsia="Calibri" w:hAnsi="David" w:cs="David" w:hint="cs"/>
          <w:sz w:val="24"/>
          <w:szCs w:val="24"/>
          <w:rtl/>
          <w14:ligatures w14:val="none"/>
        </w:rPr>
        <w:t>"</w:t>
      </w:r>
      <w:r w:rsidR="00856782" w:rsidRPr="00856782">
        <w:rPr>
          <w:rFonts w:ascii="David" w:eastAsia="Calibri" w:hAnsi="David" w:cs="David" w:hint="cs"/>
          <w:b/>
          <w:bCs/>
          <w:sz w:val="24"/>
          <w:szCs w:val="24"/>
          <w:rtl/>
          <w14:ligatures w14:val="none"/>
        </w:rPr>
        <w:t>התכנית</w:t>
      </w:r>
      <w:r w:rsidR="00856782">
        <w:rPr>
          <w:rFonts w:ascii="David" w:eastAsia="Calibri" w:hAnsi="David" w:cs="David" w:hint="cs"/>
          <w:sz w:val="24"/>
          <w:szCs w:val="24"/>
          <w:rtl/>
          <w14:ligatures w14:val="none"/>
        </w:rPr>
        <w:t>")</w:t>
      </w:r>
      <w:r w:rsidRPr="00A55D28">
        <w:rPr>
          <w:rFonts w:ascii="David" w:eastAsia="Calibri" w:hAnsi="David" w:cs="David"/>
          <w:sz w:val="24"/>
          <w:szCs w:val="24"/>
          <w:rtl/>
          <w14:ligatures w14:val="none"/>
        </w:rPr>
        <w:t xml:space="preserve"> עקב </w:t>
      </w:r>
      <w:r w:rsidR="00856782">
        <w:rPr>
          <w:rFonts w:ascii="David" w:eastAsia="Calibri" w:hAnsi="David" w:cs="David" w:hint="cs"/>
          <w:sz w:val="24"/>
          <w:szCs w:val="24"/>
          <w:rtl/>
          <w14:ligatures w14:val="none"/>
        </w:rPr>
        <w:t>בקשה לקבל שומה לפני מימוש זכויות</w:t>
      </w:r>
      <w:r w:rsidRPr="00A55D28">
        <w:rPr>
          <w:rFonts w:ascii="David" w:eastAsia="Calibri" w:hAnsi="David" w:cs="David"/>
          <w:sz w:val="24"/>
          <w:szCs w:val="24"/>
          <w:rtl/>
          <w14:ligatures w14:val="none"/>
        </w:rPr>
        <w:t xml:space="preserve"> (להלן: "</w:t>
      </w:r>
      <w:r w:rsidRPr="00A55D28">
        <w:rPr>
          <w:rFonts w:ascii="David" w:eastAsia="Calibri" w:hAnsi="David" w:cs="David"/>
          <w:b/>
          <w:bCs/>
          <w:sz w:val="24"/>
          <w:szCs w:val="24"/>
          <w:rtl/>
          <w14:ligatures w14:val="none"/>
        </w:rPr>
        <w:t>השומה המכרעת</w:t>
      </w:r>
      <w:r w:rsidRPr="00A55D28">
        <w:rPr>
          <w:rFonts w:ascii="David" w:eastAsia="Calibri" w:hAnsi="David" w:cs="David"/>
          <w:sz w:val="24"/>
          <w:szCs w:val="24"/>
          <w:rtl/>
          <w14:ligatures w14:val="none"/>
        </w:rPr>
        <w:t>").</w:t>
      </w:r>
    </w:p>
    <w:p w14:paraId="43979E69" w14:textId="77777777" w:rsidR="00A55D28" w:rsidRPr="00A55D28" w:rsidRDefault="00A55D28" w:rsidP="006A51E7">
      <w:pPr>
        <w:spacing w:before="100" w:beforeAutospacing="1" w:line="360" w:lineRule="auto"/>
        <w:ind w:left="90" w:right="-851" w:hanging="425"/>
        <w:rPr>
          <w:rFonts w:ascii="David" w:eastAsia="Calibri" w:hAnsi="David" w:cs="David"/>
          <w:b/>
          <w:bCs/>
          <w:color w:val="000000"/>
          <w:sz w:val="24"/>
          <w:szCs w:val="24"/>
          <w:u w:val="single"/>
          <w:rtl/>
          <w14:ligatures w14:val="none"/>
        </w:rPr>
      </w:pPr>
      <w:r w:rsidRPr="00A55D28">
        <w:rPr>
          <w:rFonts w:ascii="David" w:eastAsia="Calibri" w:hAnsi="David" w:cs="David"/>
          <w:b/>
          <w:bCs/>
          <w:color w:val="000000"/>
          <w:sz w:val="24"/>
          <w:szCs w:val="24"/>
          <w:u w:val="single"/>
          <w:rtl/>
          <w14:ligatures w14:val="none"/>
        </w:rPr>
        <w:t>רקע</w:t>
      </w:r>
    </w:p>
    <w:p w14:paraId="2AA4E8CE" w14:textId="77777777" w:rsidR="00A55D28" w:rsidRPr="00A55D28" w:rsidRDefault="00872482" w:rsidP="008608B7">
      <w:pPr>
        <w:numPr>
          <w:ilvl w:val="0"/>
          <w:numId w:val="1"/>
        </w:numPr>
        <w:spacing w:before="100" w:beforeAutospacing="1" w:line="360" w:lineRule="auto"/>
        <w:ind w:left="90" w:hanging="425"/>
        <w:jc w:val="both"/>
        <w:rPr>
          <w:rFonts w:ascii="David" w:eastAsia="Calibri" w:hAnsi="David" w:cs="David"/>
          <w:sz w:val="24"/>
          <w:szCs w:val="24"/>
          <w:rtl/>
          <w14:ligatures w14:val="none"/>
        </w:rPr>
      </w:pPr>
      <w:r>
        <w:rPr>
          <w:rFonts w:ascii="David" w:eastAsia="Calibri" w:hAnsi="David" w:cs="David" w:hint="cs"/>
          <w:sz w:val="24"/>
          <w:szCs w:val="24"/>
          <w:rtl/>
          <w14:ligatures w14:val="none"/>
        </w:rPr>
        <w:t>בהתא</w:t>
      </w:r>
      <w:r w:rsidR="00D82827">
        <w:rPr>
          <w:rFonts w:ascii="David" w:eastAsia="Calibri" w:hAnsi="David" w:cs="David" w:hint="cs"/>
          <w:sz w:val="24"/>
          <w:szCs w:val="24"/>
          <w:rtl/>
          <w14:ligatures w14:val="none"/>
        </w:rPr>
        <w:t>ם</w:t>
      </w:r>
      <w:r>
        <w:rPr>
          <w:rFonts w:ascii="David" w:eastAsia="Calibri" w:hAnsi="David" w:cs="David" w:hint="cs"/>
          <w:sz w:val="24"/>
          <w:szCs w:val="24"/>
          <w:rtl/>
          <w14:ligatures w14:val="none"/>
        </w:rPr>
        <w:t xml:space="preserve"> למוצג על ידי הצדדים, </w:t>
      </w:r>
      <w:r w:rsidR="00A55D28" w:rsidRPr="00A55D28">
        <w:rPr>
          <w:rFonts w:ascii="David" w:eastAsia="Calibri" w:hAnsi="David" w:cs="David"/>
          <w:sz w:val="24"/>
          <w:szCs w:val="24"/>
          <w:rtl/>
          <w14:ligatures w14:val="none"/>
        </w:rPr>
        <w:t>עסקינן במקרקעין בשטח של</w:t>
      </w:r>
      <w:r w:rsidR="006E016C">
        <w:rPr>
          <w:rFonts w:ascii="David" w:eastAsia="Calibri" w:hAnsi="David" w:cs="David" w:hint="cs"/>
          <w:sz w:val="24"/>
          <w:szCs w:val="24"/>
          <w:rtl/>
          <w14:ligatures w14:val="none"/>
        </w:rPr>
        <w:t xml:space="preserve"> 35,119 </w:t>
      </w:r>
      <w:r w:rsidR="00A55D28" w:rsidRPr="00A55D28">
        <w:rPr>
          <w:rFonts w:ascii="David" w:eastAsia="Calibri" w:hAnsi="David" w:cs="David"/>
          <w:sz w:val="24"/>
          <w:szCs w:val="24"/>
          <w:rtl/>
          <w14:ligatures w14:val="none"/>
        </w:rPr>
        <w:t xml:space="preserve">מ"ר </w:t>
      </w:r>
      <w:r w:rsidR="006E016C">
        <w:rPr>
          <w:rFonts w:ascii="David" w:eastAsia="Calibri" w:hAnsi="David" w:cs="David" w:hint="cs"/>
          <w:sz w:val="24"/>
          <w:szCs w:val="24"/>
          <w:rtl/>
          <w14:ligatures w14:val="none"/>
        </w:rPr>
        <w:t>המהווה חלק ממתחם הת</w:t>
      </w:r>
      <w:r w:rsidR="00990AC2">
        <w:rPr>
          <w:rFonts w:ascii="David" w:eastAsia="Calibri" w:hAnsi="David" w:cs="David" w:hint="cs"/>
          <w:sz w:val="24"/>
          <w:szCs w:val="24"/>
          <w:rtl/>
          <w14:ligatures w14:val="none"/>
        </w:rPr>
        <w:t>ח</w:t>
      </w:r>
      <w:r w:rsidR="006E016C">
        <w:rPr>
          <w:rFonts w:ascii="David" w:eastAsia="Calibri" w:hAnsi="David" w:cs="David" w:hint="cs"/>
          <w:sz w:val="24"/>
          <w:szCs w:val="24"/>
          <w:rtl/>
          <w14:ligatures w14:val="none"/>
        </w:rPr>
        <w:t>נה המרכזית הישנה בדרום תל אביב.</w:t>
      </w:r>
    </w:p>
    <w:p w14:paraId="1383FC55" w14:textId="77777777" w:rsidR="00A55D28" w:rsidRPr="00A55D28" w:rsidRDefault="002075EF" w:rsidP="006A51E7">
      <w:pPr>
        <w:numPr>
          <w:ilvl w:val="0"/>
          <w:numId w:val="1"/>
        </w:numPr>
        <w:spacing w:before="100" w:beforeAutospacing="1" w:line="360" w:lineRule="auto"/>
        <w:ind w:left="90" w:hanging="425"/>
        <w:jc w:val="both"/>
        <w:rPr>
          <w:rFonts w:ascii="David" w:eastAsia="Calibri" w:hAnsi="David" w:cs="David"/>
          <w:sz w:val="24"/>
          <w:szCs w:val="24"/>
          <w14:ligatures w14:val="none"/>
        </w:rPr>
      </w:pPr>
      <w:r>
        <w:rPr>
          <w:rFonts w:ascii="David" w:eastAsia="Calibri" w:hAnsi="David" w:cs="David" w:hint="cs"/>
          <w:sz w:val="24"/>
          <w:szCs w:val="24"/>
          <w:rtl/>
          <w14:ligatures w14:val="none"/>
        </w:rPr>
        <w:lastRenderedPageBreak/>
        <w:t xml:space="preserve">בהתאם לכתבי הטענות </w:t>
      </w:r>
      <w:r w:rsidR="00962F8E">
        <w:rPr>
          <w:rFonts w:ascii="David" w:eastAsia="Calibri" w:hAnsi="David" w:cs="David" w:hint="cs"/>
          <w:sz w:val="24"/>
          <w:szCs w:val="24"/>
          <w:rtl/>
          <w14:ligatures w14:val="none"/>
        </w:rPr>
        <w:t xml:space="preserve">שלפנינו, </w:t>
      </w:r>
      <w:r w:rsidR="00856782">
        <w:rPr>
          <w:rFonts w:ascii="David" w:eastAsia="Calibri" w:hAnsi="David" w:cs="David" w:hint="cs"/>
          <w:sz w:val="24"/>
          <w:szCs w:val="24"/>
          <w:rtl/>
          <w14:ligatures w14:val="none"/>
        </w:rPr>
        <w:t>העוררות</w:t>
      </w:r>
      <w:r w:rsidR="006E016C">
        <w:rPr>
          <w:rFonts w:ascii="David" w:eastAsia="Calibri" w:hAnsi="David" w:cs="David" w:hint="cs"/>
          <w:sz w:val="24"/>
          <w:szCs w:val="24"/>
          <w:rtl/>
          <w14:ligatures w14:val="none"/>
        </w:rPr>
        <w:t>, שהינן בעלות הזכויות במקרקעין,</w:t>
      </w:r>
      <w:r w:rsidR="00856782">
        <w:rPr>
          <w:rFonts w:ascii="David" w:eastAsia="Calibri" w:hAnsi="David" w:cs="David" w:hint="cs"/>
          <w:sz w:val="24"/>
          <w:szCs w:val="24"/>
          <w:rtl/>
          <w14:ligatures w14:val="none"/>
        </w:rPr>
        <w:t xml:space="preserve"> פנו לוועדה המקומית לפני מימוש זכויות ובעקבות כך נערכה שומה ע"י השמאית מלכה דור בה נקבע היטל ההשבחה על סך </w:t>
      </w:r>
      <w:r w:rsidR="00856782" w:rsidRPr="00856782">
        <w:rPr>
          <w:rFonts w:ascii="David" w:eastAsia="Calibri" w:hAnsi="David" w:cs="David" w:hint="cs"/>
          <w:b/>
          <w:bCs/>
          <w:sz w:val="24"/>
          <w:szCs w:val="24"/>
          <w:rtl/>
          <w14:ligatures w14:val="none"/>
        </w:rPr>
        <w:t>177,321,149</w:t>
      </w:r>
      <w:r w:rsidR="00856782">
        <w:rPr>
          <w:rFonts w:ascii="David" w:eastAsia="Calibri" w:hAnsi="David" w:cs="David" w:hint="cs"/>
          <w:sz w:val="24"/>
          <w:szCs w:val="24"/>
          <w:rtl/>
          <w14:ligatures w14:val="none"/>
        </w:rPr>
        <w:t xml:space="preserve"> ₪ לכל החלקות, נכון למועד הקובע.</w:t>
      </w:r>
    </w:p>
    <w:p w14:paraId="49740605" w14:textId="77777777" w:rsidR="00A55D28" w:rsidRPr="00A55D28" w:rsidRDefault="00A55D28" w:rsidP="006A51E7">
      <w:pPr>
        <w:numPr>
          <w:ilvl w:val="0"/>
          <w:numId w:val="1"/>
        </w:numPr>
        <w:spacing w:before="100" w:beforeAutospacing="1" w:line="360" w:lineRule="auto"/>
        <w:ind w:left="90" w:hanging="425"/>
        <w:jc w:val="both"/>
        <w:rPr>
          <w:rFonts w:ascii="David" w:eastAsia="Calibri" w:hAnsi="David" w:cs="David"/>
          <w:sz w:val="24"/>
          <w:szCs w:val="24"/>
          <w14:ligatures w14:val="none"/>
        </w:rPr>
      </w:pPr>
      <w:r w:rsidRPr="00A55D28">
        <w:rPr>
          <w:rFonts w:ascii="David" w:eastAsia="Calibri" w:hAnsi="David" w:cs="David"/>
          <w:sz w:val="24"/>
          <w:szCs w:val="24"/>
          <w:rtl/>
          <w14:ligatures w14:val="none"/>
        </w:rPr>
        <w:t xml:space="preserve">ביום </w:t>
      </w:r>
      <w:r w:rsidR="006E016C">
        <w:rPr>
          <w:rFonts w:ascii="David" w:eastAsia="Calibri" w:hAnsi="David" w:cs="David" w:hint="cs"/>
          <w:sz w:val="24"/>
          <w:szCs w:val="24"/>
          <w:rtl/>
          <w14:ligatures w14:val="none"/>
        </w:rPr>
        <w:t>9.6.21</w:t>
      </w:r>
      <w:r w:rsidRPr="00A55D28">
        <w:rPr>
          <w:rFonts w:ascii="David" w:eastAsia="Calibri" w:hAnsi="David" w:cs="David"/>
          <w:sz w:val="24"/>
          <w:szCs w:val="24"/>
          <w:rtl/>
          <w14:ligatures w14:val="none"/>
        </w:rPr>
        <w:t xml:space="preserve"> הוגשה שומה אחרת מטעם העוררים שנערכה ע"י </w:t>
      </w:r>
      <w:r w:rsidR="006E016C">
        <w:rPr>
          <w:rFonts w:ascii="David" w:eastAsia="Calibri" w:hAnsi="David" w:cs="David" w:hint="cs"/>
          <w:sz w:val="24"/>
          <w:szCs w:val="24"/>
          <w:rtl/>
          <w14:ligatures w14:val="none"/>
        </w:rPr>
        <w:t xml:space="preserve">יצחק שפיגל ומאיר </w:t>
      </w:r>
      <w:proofErr w:type="spellStart"/>
      <w:r w:rsidR="006E016C">
        <w:rPr>
          <w:rFonts w:ascii="David" w:eastAsia="Calibri" w:hAnsi="David" w:cs="David" w:hint="cs"/>
          <w:sz w:val="24"/>
          <w:szCs w:val="24"/>
          <w:rtl/>
          <w14:ligatures w14:val="none"/>
        </w:rPr>
        <w:t>נדלר</w:t>
      </w:r>
      <w:proofErr w:type="spellEnd"/>
      <w:r w:rsidRPr="00A55D28">
        <w:rPr>
          <w:rFonts w:ascii="David" w:eastAsia="Calibri" w:hAnsi="David" w:cs="David"/>
          <w:sz w:val="24"/>
          <w:szCs w:val="24"/>
          <w:rtl/>
          <w14:ligatures w14:val="none"/>
        </w:rPr>
        <w:t xml:space="preserve"> בה נקבע כי </w:t>
      </w:r>
      <w:r w:rsidR="00856782">
        <w:rPr>
          <w:rFonts w:ascii="David" w:eastAsia="Calibri" w:hAnsi="David" w:cs="David" w:hint="cs"/>
          <w:sz w:val="24"/>
          <w:szCs w:val="24"/>
          <w:rtl/>
          <w14:ligatures w14:val="none"/>
        </w:rPr>
        <w:t xml:space="preserve">היטל ההשבחה עומד על סך </w:t>
      </w:r>
      <w:r w:rsidR="00856782" w:rsidRPr="00856782">
        <w:rPr>
          <w:rFonts w:ascii="David" w:eastAsia="Calibri" w:hAnsi="David" w:cs="David" w:hint="cs"/>
          <w:b/>
          <w:bCs/>
          <w:sz w:val="24"/>
          <w:szCs w:val="24"/>
          <w:rtl/>
          <w14:ligatures w14:val="none"/>
        </w:rPr>
        <w:t>6,150,000</w:t>
      </w:r>
      <w:r w:rsidR="00856782">
        <w:rPr>
          <w:rFonts w:ascii="David" w:eastAsia="Calibri" w:hAnsi="David" w:cs="David" w:hint="cs"/>
          <w:sz w:val="24"/>
          <w:szCs w:val="24"/>
          <w:rtl/>
          <w14:ligatures w14:val="none"/>
        </w:rPr>
        <w:t xml:space="preserve"> ₪ נכון למועד הקובע.</w:t>
      </w:r>
    </w:p>
    <w:p w14:paraId="0317D00D" w14:textId="337C9570" w:rsidR="00A55D28" w:rsidRPr="00A55D28" w:rsidRDefault="00A55D28" w:rsidP="006A51E7">
      <w:pPr>
        <w:numPr>
          <w:ilvl w:val="0"/>
          <w:numId w:val="1"/>
        </w:numPr>
        <w:spacing w:before="100" w:beforeAutospacing="1" w:line="360" w:lineRule="auto"/>
        <w:ind w:left="90" w:hanging="425"/>
        <w:jc w:val="both"/>
        <w:rPr>
          <w:rFonts w:ascii="David" w:eastAsia="Calibri" w:hAnsi="David" w:cs="David"/>
          <w:sz w:val="24"/>
          <w:szCs w:val="24"/>
          <w14:ligatures w14:val="none"/>
        </w:rPr>
      </w:pPr>
      <w:r w:rsidRPr="00A55D28">
        <w:rPr>
          <w:rFonts w:ascii="David" w:eastAsia="Calibri" w:hAnsi="David" w:cs="David"/>
          <w:sz w:val="24"/>
          <w:szCs w:val="24"/>
          <w:rtl/>
          <w14:ligatures w14:val="none"/>
        </w:rPr>
        <w:t>בשל המחלוקת, מונה שמאי מכריע אשר קבע בשומה המכרעת היטל ההשבחה בסך</w:t>
      </w:r>
      <w:r w:rsidR="00CD10B1">
        <w:rPr>
          <w:rFonts w:ascii="David" w:eastAsia="Calibri" w:hAnsi="David" w:cs="David" w:hint="cs"/>
          <w:sz w:val="24"/>
          <w:szCs w:val="24"/>
          <w:rtl/>
          <w14:ligatures w14:val="none"/>
        </w:rPr>
        <w:t xml:space="preserve"> של</w:t>
      </w:r>
      <w:r w:rsidR="00856782">
        <w:rPr>
          <w:rFonts w:ascii="David" w:eastAsia="Calibri" w:hAnsi="David" w:cs="David" w:hint="cs"/>
          <w:sz w:val="24"/>
          <w:szCs w:val="24"/>
          <w:rtl/>
          <w14:ligatures w14:val="none"/>
        </w:rPr>
        <w:t xml:space="preserve"> </w:t>
      </w:r>
      <w:r w:rsidR="00856782" w:rsidRPr="00856782">
        <w:rPr>
          <w:rFonts w:ascii="David" w:eastAsia="Calibri" w:hAnsi="David" w:cs="David" w:hint="cs"/>
          <w:b/>
          <w:bCs/>
          <w:sz w:val="24"/>
          <w:szCs w:val="24"/>
          <w:rtl/>
          <w14:ligatures w14:val="none"/>
        </w:rPr>
        <w:t>138,543,616</w:t>
      </w:r>
      <w:r w:rsidR="00856782">
        <w:rPr>
          <w:rFonts w:ascii="David" w:eastAsia="Calibri" w:hAnsi="David" w:cs="David" w:hint="cs"/>
          <w:sz w:val="24"/>
          <w:szCs w:val="24"/>
          <w:rtl/>
          <w14:ligatures w14:val="none"/>
        </w:rPr>
        <w:t xml:space="preserve"> ₪ נכון למועד הקובע</w:t>
      </w:r>
      <w:r w:rsidRPr="00A55D28">
        <w:rPr>
          <w:rFonts w:ascii="David" w:eastAsia="Calibri" w:hAnsi="David" w:cs="David"/>
          <w:sz w:val="24"/>
          <w:szCs w:val="24"/>
          <w:rtl/>
          <w14:ligatures w14:val="none"/>
        </w:rPr>
        <w:t>.</w:t>
      </w:r>
    </w:p>
    <w:p w14:paraId="43953B38" w14:textId="77777777" w:rsidR="00A55D28" w:rsidRDefault="00A55D28" w:rsidP="006A51E7">
      <w:pPr>
        <w:numPr>
          <w:ilvl w:val="0"/>
          <w:numId w:val="1"/>
        </w:numPr>
        <w:spacing w:before="100" w:beforeAutospacing="1" w:line="360" w:lineRule="auto"/>
        <w:ind w:left="90" w:hanging="425"/>
        <w:jc w:val="both"/>
        <w:rPr>
          <w:rFonts w:ascii="David" w:eastAsia="Calibri" w:hAnsi="David" w:cs="David"/>
          <w:sz w:val="24"/>
          <w:szCs w:val="24"/>
          <w14:ligatures w14:val="none"/>
        </w:rPr>
      </w:pPr>
      <w:r w:rsidRPr="00A55D28">
        <w:rPr>
          <w:rFonts w:ascii="David" w:eastAsia="Calibri" w:hAnsi="David" w:cs="David"/>
          <w:sz w:val="24"/>
          <w:szCs w:val="24"/>
          <w:rtl/>
          <w14:ligatures w14:val="none"/>
        </w:rPr>
        <w:t>על שומה זו הוגש הערר שלפנינו.</w:t>
      </w:r>
    </w:p>
    <w:p w14:paraId="4F0DAB89" w14:textId="77777777" w:rsidR="00365B28" w:rsidRDefault="005B7157" w:rsidP="006A51E7">
      <w:pPr>
        <w:numPr>
          <w:ilvl w:val="0"/>
          <w:numId w:val="1"/>
        </w:numPr>
        <w:spacing w:before="100" w:beforeAutospacing="1" w:line="360" w:lineRule="auto"/>
        <w:ind w:left="90" w:hanging="425"/>
        <w:jc w:val="both"/>
        <w:rPr>
          <w:rFonts w:ascii="David" w:eastAsia="Calibri" w:hAnsi="David" w:cs="David"/>
          <w:sz w:val="24"/>
          <w:szCs w:val="24"/>
          <w14:ligatures w14:val="none"/>
        </w:rPr>
      </w:pPr>
      <w:r>
        <w:rPr>
          <w:rFonts w:ascii="David" w:eastAsia="Calibri" w:hAnsi="David" w:cs="David" w:hint="cs"/>
          <w:sz w:val="24"/>
          <w:szCs w:val="24"/>
          <w:rtl/>
          <w14:ligatures w14:val="none"/>
        </w:rPr>
        <w:t>במסגרת הערר הועלו מספר סוגיות השנויות במחלוקת בין הצדדים</w:t>
      </w:r>
      <w:r w:rsidR="00365B28">
        <w:rPr>
          <w:rFonts w:ascii="David" w:eastAsia="Calibri" w:hAnsi="David" w:cs="David" w:hint="cs"/>
          <w:sz w:val="24"/>
          <w:szCs w:val="24"/>
          <w:rtl/>
          <w14:ligatures w14:val="none"/>
        </w:rPr>
        <w:t>:</w:t>
      </w:r>
    </w:p>
    <w:p w14:paraId="5A7A8F98" w14:textId="424881DE" w:rsidR="00242E38" w:rsidRPr="006A51E7" w:rsidRDefault="0038511A" w:rsidP="006A51E7">
      <w:pPr>
        <w:pStyle w:val="a9"/>
        <w:numPr>
          <w:ilvl w:val="0"/>
          <w:numId w:val="3"/>
        </w:numPr>
        <w:spacing w:before="100" w:beforeAutospacing="1" w:line="360" w:lineRule="auto"/>
        <w:ind w:left="515" w:hanging="425"/>
        <w:rPr>
          <w:rFonts w:ascii="David" w:eastAsia="Calibri" w:hAnsi="David" w:cs="David"/>
          <w:color w:val="000000"/>
          <w:sz w:val="24"/>
          <w:szCs w:val="24"/>
          <w14:ligatures w14:val="none"/>
        </w:rPr>
      </w:pPr>
      <w:r>
        <w:rPr>
          <w:rFonts w:ascii="David" w:eastAsia="Calibri" w:hAnsi="David" w:cs="David" w:hint="cs"/>
          <w:color w:val="000000"/>
          <w:sz w:val="24"/>
          <w:szCs w:val="24"/>
          <w:rtl/>
          <w14:ligatures w14:val="none"/>
        </w:rPr>
        <w:t>האם להתערב בקביעת השמאי המכריע באשר ל</w:t>
      </w:r>
      <w:r w:rsidR="00242E38" w:rsidRPr="006A51E7">
        <w:rPr>
          <w:rFonts w:ascii="David" w:eastAsia="Calibri" w:hAnsi="David" w:cs="David" w:hint="eastAsia"/>
          <w:color w:val="000000"/>
          <w:sz w:val="24"/>
          <w:szCs w:val="24"/>
          <w:rtl/>
          <w14:ligatures w14:val="none"/>
        </w:rPr>
        <w:t>מקדם</w:t>
      </w:r>
      <w:r w:rsidR="00242E38" w:rsidRPr="006A51E7">
        <w:rPr>
          <w:rFonts w:ascii="David" w:eastAsia="Calibri" w:hAnsi="David" w:cs="David"/>
          <w:color w:val="000000"/>
          <w:sz w:val="24"/>
          <w:szCs w:val="24"/>
          <w:rtl/>
          <w14:ligatures w14:val="none"/>
        </w:rPr>
        <w:t xml:space="preserve"> </w:t>
      </w:r>
      <w:r w:rsidR="00242E38" w:rsidRPr="006A51E7">
        <w:rPr>
          <w:rFonts w:ascii="David" w:eastAsia="Calibri" w:hAnsi="David" w:cs="David" w:hint="eastAsia"/>
          <w:color w:val="000000"/>
          <w:sz w:val="24"/>
          <w:szCs w:val="24"/>
          <w:rtl/>
          <w14:ligatures w14:val="none"/>
        </w:rPr>
        <w:t>הזמינות</w:t>
      </w:r>
      <w:r w:rsidR="00242E38" w:rsidRPr="006A51E7">
        <w:rPr>
          <w:rFonts w:ascii="David" w:eastAsia="Calibri" w:hAnsi="David" w:cs="David"/>
          <w:color w:val="000000"/>
          <w:sz w:val="24"/>
          <w:szCs w:val="24"/>
          <w:rtl/>
          <w14:ligatures w14:val="none"/>
        </w:rPr>
        <w:t xml:space="preserve"> </w:t>
      </w:r>
      <w:r w:rsidR="00242E38" w:rsidRPr="006A51E7">
        <w:rPr>
          <w:rFonts w:ascii="David" w:eastAsia="Calibri" w:hAnsi="David" w:cs="David" w:hint="eastAsia"/>
          <w:color w:val="000000"/>
          <w:sz w:val="24"/>
          <w:szCs w:val="24"/>
          <w:rtl/>
          <w14:ligatures w14:val="none"/>
        </w:rPr>
        <w:t>במצב</w:t>
      </w:r>
      <w:r w:rsidR="00242E38" w:rsidRPr="006A51E7">
        <w:rPr>
          <w:rFonts w:ascii="David" w:eastAsia="Calibri" w:hAnsi="David" w:cs="David"/>
          <w:color w:val="000000"/>
          <w:sz w:val="24"/>
          <w:szCs w:val="24"/>
          <w:rtl/>
          <w14:ligatures w14:val="none"/>
        </w:rPr>
        <w:t xml:space="preserve"> </w:t>
      </w:r>
      <w:r w:rsidR="00242E38" w:rsidRPr="006A51E7">
        <w:rPr>
          <w:rFonts w:ascii="David" w:eastAsia="Calibri" w:hAnsi="David" w:cs="David" w:hint="eastAsia"/>
          <w:color w:val="000000"/>
          <w:sz w:val="24"/>
          <w:szCs w:val="24"/>
          <w:rtl/>
          <w14:ligatures w14:val="none"/>
        </w:rPr>
        <w:t>הקודם</w:t>
      </w:r>
      <w:r>
        <w:rPr>
          <w:rFonts w:ascii="David" w:eastAsia="Calibri" w:hAnsi="David" w:cs="David" w:hint="cs"/>
          <w:color w:val="000000"/>
          <w:sz w:val="24"/>
          <w:szCs w:val="24"/>
          <w:rtl/>
          <w14:ligatures w14:val="none"/>
        </w:rPr>
        <w:t>?</w:t>
      </w:r>
    </w:p>
    <w:p w14:paraId="2AE3987B" w14:textId="4A364B13" w:rsidR="00242E38" w:rsidRPr="005B1C14" w:rsidRDefault="005B1C14" w:rsidP="005B1C14">
      <w:pPr>
        <w:pStyle w:val="a9"/>
        <w:numPr>
          <w:ilvl w:val="0"/>
          <w:numId w:val="3"/>
        </w:numPr>
        <w:spacing w:before="100" w:beforeAutospacing="1" w:line="360" w:lineRule="auto"/>
        <w:ind w:left="515" w:hanging="425"/>
        <w:rPr>
          <w:rFonts w:ascii="David" w:eastAsia="Calibri" w:hAnsi="David" w:cs="David"/>
          <w:color w:val="000000"/>
          <w:sz w:val="24"/>
          <w:szCs w:val="24"/>
          <w:rtl/>
          <w14:ligatures w14:val="none"/>
        </w:rPr>
      </w:pPr>
      <w:r>
        <w:rPr>
          <w:rFonts w:ascii="David" w:eastAsia="Calibri" w:hAnsi="David" w:cs="David" w:hint="cs"/>
          <w:color w:val="000000"/>
          <w:sz w:val="24"/>
          <w:szCs w:val="24"/>
          <w:rtl/>
          <w14:ligatures w14:val="none"/>
        </w:rPr>
        <w:t xml:space="preserve">האם ניתן להסתמך על </w:t>
      </w:r>
      <w:r w:rsidR="00C51318">
        <w:rPr>
          <w:rFonts w:ascii="David" w:eastAsia="Calibri" w:hAnsi="David" w:cs="David" w:hint="cs"/>
          <w:color w:val="000000"/>
          <w:sz w:val="24"/>
          <w:szCs w:val="24"/>
          <w:rtl/>
          <w14:ligatures w14:val="none"/>
        </w:rPr>
        <w:t xml:space="preserve">מדידת חברת מדבא ביחס לתכנית </w:t>
      </w:r>
      <w:r w:rsidR="00C51318">
        <w:rPr>
          <w:rFonts w:ascii="David" w:eastAsia="Calibri" w:hAnsi="David" w:cs="David" w:hint="cs"/>
          <w:color w:val="000000"/>
          <w:sz w:val="24"/>
          <w:szCs w:val="24"/>
          <w14:ligatures w14:val="none"/>
        </w:rPr>
        <w:t>F</w:t>
      </w:r>
      <w:r w:rsidR="00C51318">
        <w:rPr>
          <w:rFonts w:ascii="David" w:eastAsia="Calibri" w:hAnsi="David" w:cs="David" w:hint="cs"/>
          <w:color w:val="000000"/>
          <w:sz w:val="24"/>
          <w:szCs w:val="24"/>
          <w:rtl/>
          <w14:ligatures w14:val="none"/>
        </w:rPr>
        <w:t>?</w:t>
      </w:r>
    </w:p>
    <w:p w14:paraId="785D6D7D" w14:textId="5F8848B3" w:rsidR="00242E38" w:rsidRPr="006A51E7" w:rsidRDefault="00242E38" w:rsidP="006A51E7">
      <w:pPr>
        <w:pStyle w:val="a9"/>
        <w:numPr>
          <w:ilvl w:val="0"/>
          <w:numId w:val="3"/>
        </w:numPr>
        <w:spacing w:before="100" w:beforeAutospacing="1" w:line="360" w:lineRule="auto"/>
        <w:ind w:left="515" w:hanging="425"/>
        <w:rPr>
          <w:rFonts w:ascii="David" w:eastAsia="Calibri" w:hAnsi="David" w:cs="David"/>
          <w:color w:val="000000"/>
          <w:sz w:val="24"/>
          <w:szCs w:val="24"/>
          <w14:ligatures w14:val="none"/>
        </w:rPr>
      </w:pPr>
      <w:r w:rsidRPr="006A51E7">
        <w:rPr>
          <w:rFonts w:ascii="David" w:eastAsia="Calibri" w:hAnsi="David" w:cs="David" w:hint="eastAsia"/>
          <w:color w:val="000000"/>
          <w:sz w:val="24"/>
          <w:szCs w:val="24"/>
          <w:rtl/>
          <w14:ligatures w14:val="none"/>
        </w:rPr>
        <w:t>עלות</w:t>
      </w:r>
      <w:r w:rsidRPr="006A51E7">
        <w:rPr>
          <w:rFonts w:ascii="David" w:eastAsia="Calibri" w:hAnsi="David" w:cs="David"/>
          <w:color w:val="000000"/>
          <w:sz w:val="24"/>
          <w:szCs w:val="24"/>
          <w:rtl/>
          <w14:ligatures w14:val="none"/>
        </w:rPr>
        <w:t xml:space="preserve"> </w:t>
      </w:r>
      <w:r w:rsidRPr="006A51E7">
        <w:rPr>
          <w:rFonts w:ascii="David" w:eastAsia="Calibri" w:hAnsi="David" w:cs="David" w:hint="eastAsia"/>
          <w:color w:val="000000"/>
          <w:sz w:val="24"/>
          <w:szCs w:val="24"/>
          <w:rtl/>
          <w14:ligatures w14:val="none"/>
        </w:rPr>
        <w:t>עודפת</w:t>
      </w:r>
      <w:r w:rsidRPr="006A51E7">
        <w:rPr>
          <w:rFonts w:ascii="David" w:eastAsia="Calibri" w:hAnsi="David" w:cs="David"/>
          <w:color w:val="000000"/>
          <w:sz w:val="24"/>
          <w:szCs w:val="24"/>
          <w:rtl/>
          <w14:ligatures w14:val="none"/>
        </w:rPr>
        <w:t xml:space="preserve"> </w:t>
      </w:r>
      <w:r w:rsidRPr="006A51E7">
        <w:rPr>
          <w:rFonts w:ascii="David" w:eastAsia="Calibri" w:hAnsi="David" w:cs="David" w:hint="eastAsia"/>
          <w:color w:val="000000"/>
          <w:sz w:val="24"/>
          <w:szCs w:val="24"/>
          <w:rtl/>
          <w14:ligatures w14:val="none"/>
        </w:rPr>
        <w:t>בהקמת</w:t>
      </w:r>
      <w:r w:rsidRPr="006A51E7">
        <w:rPr>
          <w:rFonts w:ascii="David" w:eastAsia="Calibri" w:hAnsi="David" w:cs="David"/>
          <w:color w:val="000000"/>
          <w:sz w:val="24"/>
          <w:szCs w:val="24"/>
          <w:rtl/>
          <w14:ligatures w14:val="none"/>
        </w:rPr>
        <w:t xml:space="preserve"> </w:t>
      </w:r>
      <w:r w:rsidRPr="006A51E7">
        <w:rPr>
          <w:rFonts w:ascii="David" w:eastAsia="Calibri" w:hAnsi="David" w:cs="David" w:hint="eastAsia"/>
          <w:color w:val="000000"/>
          <w:sz w:val="24"/>
          <w:szCs w:val="24"/>
          <w:rtl/>
          <w14:ligatures w14:val="none"/>
        </w:rPr>
        <w:t>השטחים</w:t>
      </w:r>
      <w:r w:rsidRPr="006A51E7">
        <w:rPr>
          <w:rFonts w:ascii="David" w:eastAsia="Calibri" w:hAnsi="David" w:cs="David"/>
          <w:color w:val="000000"/>
          <w:sz w:val="24"/>
          <w:szCs w:val="24"/>
          <w:rtl/>
          <w14:ligatures w14:val="none"/>
        </w:rPr>
        <w:t xml:space="preserve"> </w:t>
      </w:r>
      <w:r w:rsidRPr="006A51E7">
        <w:rPr>
          <w:rFonts w:ascii="David" w:eastAsia="Calibri" w:hAnsi="David" w:cs="David" w:hint="eastAsia"/>
          <w:color w:val="000000"/>
          <w:sz w:val="24"/>
          <w:szCs w:val="24"/>
          <w:rtl/>
          <w14:ligatures w14:val="none"/>
        </w:rPr>
        <w:t>התת</w:t>
      </w:r>
      <w:r w:rsidRPr="006A51E7">
        <w:rPr>
          <w:rFonts w:ascii="David" w:eastAsia="Calibri" w:hAnsi="David" w:cs="David"/>
          <w:color w:val="000000"/>
          <w:sz w:val="24"/>
          <w:szCs w:val="24"/>
          <w:rtl/>
          <w14:ligatures w14:val="none"/>
        </w:rPr>
        <w:t xml:space="preserve"> </w:t>
      </w:r>
      <w:r w:rsidRPr="006A51E7">
        <w:rPr>
          <w:rFonts w:ascii="David" w:eastAsia="Calibri" w:hAnsi="David" w:cs="David" w:hint="eastAsia"/>
          <w:color w:val="000000"/>
          <w:sz w:val="24"/>
          <w:szCs w:val="24"/>
          <w:rtl/>
          <w14:ligatures w14:val="none"/>
        </w:rPr>
        <w:t>קרקעיים</w:t>
      </w:r>
      <w:r w:rsidR="00551BCF">
        <w:rPr>
          <w:rFonts w:ascii="David" w:eastAsia="Calibri" w:hAnsi="David" w:cs="David" w:hint="cs"/>
          <w:color w:val="000000"/>
          <w:sz w:val="24"/>
          <w:szCs w:val="24"/>
          <w:rtl/>
          <w14:ligatures w14:val="none"/>
        </w:rPr>
        <w:t xml:space="preserve">: </w:t>
      </w:r>
      <w:r w:rsidR="003437C1">
        <w:rPr>
          <w:rFonts w:ascii="David" w:eastAsia="Calibri" w:hAnsi="David" w:cs="David" w:hint="cs"/>
          <w:color w:val="000000"/>
          <w:sz w:val="24"/>
          <w:szCs w:val="24"/>
          <w:rtl/>
          <w14:ligatures w14:val="none"/>
        </w:rPr>
        <w:t xml:space="preserve"> האם תקן שטרם אושר </w:t>
      </w:r>
      <w:r w:rsidR="00406FE6">
        <w:rPr>
          <w:rFonts w:ascii="David" w:eastAsia="Calibri" w:hAnsi="David" w:cs="David" w:hint="cs"/>
          <w:color w:val="000000"/>
          <w:sz w:val="24"/>
          <w:szCs w:val="24"/>
          <w:rtl/>
          <w14:ligatures w14:val="none"/>
        </w:rPr>
        <w:t>ישפיע</w:t>
      </w:r>
      <w:r w:rsidR="00FF0682">
        <w:rPr>
          <w:rFonts w:ascii="David" w:eastAsia="Calibri" w:hAnsi="David" w:cs="David" w:hint="cs"/>
          <w:color w:val="000000"/>
          <w:sz w:val="24"/>
          <w:szCs w:val="24"/>
          <w:rtl/>
          <w14:ligatures w14:val="none"/>
        </w:rPr>
        <w:t xml:space="preserve"> </w:t>
      </w:r>
      <w:r w:rsidR="00406FE6">
        <w:rPr>
          <w:rFonts w:ascii="David" w:eastAsia="Calibri" w:hAnsi="David" w:cs="David" w:hint="cs"/>
          <w:color w:val="000000"/>
          <w:sz w:val="24"/>
          <w:szCs w:val="24"/>
          <w:rtl/>
          <w14:ligatures w14:val="none"/>
        </w:rPr>
        <w:t>על</w:t>
      </w:r>
      <w:r w:rsidR="003437C1">
        <w:rPr>
          <w:rFonts w:ascii="David" w:eastAsia="Calibri" w:hAnsi="David" w:cs="David" w:hint="cs"/>
          <w:color w:val="000000"/>
          <w:sz w:val="24"/>
          <w:szCs w:val="24"/>
          <w:rtl/>
          <w14:ligatures w14:val="none"/>
        </w:rPr>
        <w:t xml:space="preserve"> </w:t>
      </w:r>
      <w:r w:rsidR="00406FE6">
        <w:rPr>
          <w:rFonts w:ascii="David" w:eastAsia="Calibri" w:hAnsi="David" w:cs="David" w:hint="cs"/>
          <w:color w:val="000000"/>
          <w:sz w:val="24"/>
          <w:szCs w:val="24"/>
          <w:rtl/>
          <w14:ligatures w14:val="none"/>
        </w:rPr>
        <w:t>ה</w:t>
      </w:r>
      <w:r w:rsidR="003437C1">
        <w:rPr>
          <w:rFonts w:ascii="David" w:eastAsia="Calibri" w:hAnsi="David" w:cs="David" w:hint="cs"/>
          <w:color w:val="000000"/>
          <w:sz w:val="24"/>
          <w:szCs w:val="24"/>
          <w:rtl/>
          <w14:ligatures w14:val="none"/>
        </w:rPr>
        <w:t>שווי?</w:t>
      </w:r>
    </w:p>
    <w:p w14:paraId="333E4734" w14:textId="4CF2CC60" w:rsidR="00112E07" w:rsidRPr="00B1172A" w:rsidRDefault="00112E07" w:rsidP="00112E07">
      <w:pPr>
        <w:pStyle w:val="a9"/>
        <w:numPr>
          <w:ilvl w:val="0"/>
          <w:numId w:val="3"/>
        </w:numPr>
        <w:spacing w:before="100" w:beforeAutospacing="1" w:line="360" w:lineRule="auto"/>
        <w:ind w:left="515" w:hanging="425"/>
        <w:rPr>
          <w:rFonts w:ascii="David" w:eastAsia="Calibri" w:hAnsi="David" w:cs="David"/>
          <w:color w:val="000000"/>
          <w:sz w:val="24"/>
          <w:szCs w:val="24"/>
          <w:rtl/>
          <w14:ligatures w14:val="none"/>
        </w:rPr>
      </w:pPr>
      <w:r>
        <w:rPr>
          <w:rFonts w:ascii="David" w:eastAsia="Calibri" w:hAnsi="David" w:cs="David" w:hint="cs"/>
          <w:color w:val="000000"/>
          <w:sz w:val="24"/>
          <w:szCs w:val="24"/>
          <w:rtl/>
          <w14:ligatures w14:val="none"/>
        </w:rPr>
        <w:t>מטלות ציבוריות</w:t>
      </w:r>
      <w:r w:rsidR="00542BAD">
        <w:rPr>
          <w:rFonts w:ascii="David" w:eastAsia="Calibri" w:hAnsi="David" w:cs="David" w:hint="cs"/>
          <w:color w:val="000000"/>
          <w:sz w:val="24"/>
          <w:szCs w:val="24"/>
          <w:rtl/>
          <w14:ligatures w14:val="none"/>
        </w:rPr>
        <w:t xml:space="preserve">: </w:t>
      </w:r>
      <w:r w:rsidR="00DF1C0B">
        <w:rPr>
          <w:rFonts w:ascii="David" w:eastAsia="Calibri" w:hAnsi="David" w:cs="David" w:hint="cs"/>
          <w:color w:val="000000"/>
          <w:sz w:val="24"/>
          <w:szCs w:val="24"/>
          <w:rtl/>
          <w14:ligatures w14:val="none"/>
        </w:rPr>
        <w:t>ניכוי העלות ב</w:t>
      </w:r>
      <w:r>
        <w:rPr>
          <w:rFonts w:ascii="David" w:eastAsia="Calibri" w:hAnsi="David" w:cs="David" w:hint="cs"/>
          <w:color w:val="000000"/>
          <w:sz w:val="24"/>
          <w:szCs w:val="24"/>
          <w:rtl/>
          <w14:ligatures w14:val="none"/>
        </w:rPr>
        <w:t xml:space="preserve">רמת גמר </w:t>
      </w:r>
      <w:r w:rsidR="009965D0">
        <w:rPr>
          <w:rFonts w:ascii="David" w:eastAsia="Calibri" w:hAnsi="David" w:cs="David" w:hint="cs"/>
          <w:color w:val="000000"/>
          <w:sz w:val="24"/>
          <w:szCs w:val="24"/>
          <w:rtl/>
          <w14:ligatures w14:val="none"/>
        </w:rPr>
        <w:t xml:space="preserve">או </w:t>
      </w:r>
      <w:r w:rsidR="00DF1C0B">
        <w:rPr>
          <w:rFonts w:ascii="David" w:eastAsia="Calibri" w:hAnsi="David" w:cs="David" w:hint="cs"/>
          <w:color w:val="000000"/>
          <w:sz w:val="24"/>
          <w:szCs w:val="24"/>
          <w:rtl/>
          <w14:ligatures w14:val="none"/>
        </w:rPr>
        <w:t>ב</w:t>
      </w:r>
      <w:r w:rsidR="009965D0">
        <w:rPr>
          <w:rFonts w:ascii="David" w:eastAsia="Calibri" w:hAnsi="David" w:cs="David" w:hint="cs"/>
          <w:color w:val="000000"/>
          <w:sz w:val="24"/>
          <w:szCs w:val="24"/>
          <w:rtl/>
          <w14:ligatures w14:val="none"/>
        </w:rPr>
        <w:t xml:space="preserve">רמת </w:t>
      </w:r>
      <w:r>
        <w:rPr>
          <w:rFonts w:ascii="David" w:eastAsia="Calibri" w:hAnsi="David" w:cs="David" w:hint="cs"/>
          <w:color w:val="000000"/>
          <w:sz w:val="24"/>
          <w:szCs w:val="24"/>
          <w:rtl/>
          <w14:ligatures w14:val="none"/>
        </w:rPr>
        <w:t>מעטפת</w:t>
      </w:r>
      <w:r w:rsidR="009965D0">
        <w:rPr>
          <w:rFonts w:ascii="David" w:eastAsia="Calibri" w:hAnsi="David" w:cs="David" w:hint="cs"/>
          <w:color w:val="000000"/>
          <w:sz w:val="24"/>
          <w:szCs w:val="24"/>
          <w:rtl/>
          <w14:ligatures w14:val="none"/>
        </w:rPr>
        <w:t xml:space="preserve">? </w:t>
      </w:r>
      <w:r w:rsidR="00D47DE9">
        <w:rPr>
          <w:rFonts w:ascii="David" w:eastAsia="Calibri" w:hAnsi="David" w:cs="David" w:hint="cs"/>
          <w:color w:val="000000"/>
          <w:sz w:val="24"/>
          <w:szCs w:val="24"/>
          <w:rtl/>
          <w14:ligatures w14:val="none"/>
        </w:rPr>
        <w:t>והאם תנוכה עלות</w:t>
      </w:r>
      <w:r w:rsidR="009965D0">
        <w:rPr>
          <w:rFonts w:ascii="David" w:eastAsia="Calibri" w:hAnsi="David" w:cs="David" w:hint="cs"/>
          <w:color w:val="000000"/>
          <w:sz w:val="24"/>
          <w:szCs w:val="24"/>
          <w:rtl/>
          <w14:ligatures w14:val="none"/>
        </w:rPr>
        <w:t xml:space="preserve"> </w:t>
      </w:r>
      <w:r w:rsidR="00D47DE9">
        <w:rPr>
          <w:rFonts w:ascii="David" w:eastAsia="Calibri" w:hAnsi="David" w:cs="David" w:hint="cs"/>
          <w:color w:val="000000"/>
          <w:sz w:val="24"/>
          <w:szCs w:val="24"/>
          <w:rtl/>
          <w14:ligatures w14:val="none"/>
        </w:rPr>
        <w:t>ה</w:t>
      </w:r>
      <w:r w:rsidR="009965D0">
        <w:rPr>
          <w:rFonts w:ascii="David" w:eastAsia="Calibri" w:hAnsi="David" w:cs="David" w:hint="cs"/>
          <w:color w:val="000000"/>
          <w:sz w:val="24"/>
          <w:szCs w:val="24"/>
          <w:rtl/>
          <w14:ligatures w14:val="none"/>
        </w:rPr>
        <w:t>מע"מ?</w:t>
      </w:r>
    </w:p>
    <w:p w14:paraId="773E53DA" w14:textId="33217364" w:rsidR="00242E38" w:rsidRPr="006A51E7" w:rsidRDefault="00242E38" w:rsidP="006A51E7">
      <w:pPr>
        <w:pStyle w:val="a9"/>
        <w:numPr>
          <w:ilvl w:val="0"/>
          <w:numId w:val="3"/>
        </w:numPr>
        <w:spacing w:before="100" w:beforeAutospacing="1" w:line="360" w:lineRule="auto"/>
        <w:ind w:left="515" w:hanging="425"/>
        <w:rPr>
          <w:rFonts w:ascii="David" w:eastAsia="Calibri" w:hAnsi="David" w:cs="David"/>
          <w:color w:val="000000"/>
          <w:sz w:val="24"/>
          <w:szCs w:val="24"/>
          <w:rtl/>
          <w14:ligatures w14:val="none"/>
        </w:rPr>
      </w:pPr>
      <w:r w:rsidRPr="006A51E7">
        <w:rPr>
          <w:rFonts w:ascii="David" w:eastAsia="Calibri" w:hAnsi="David" w:cs="David" w:hint="eastAsia"/>
          <w:color w:val="000000"/>
          <w:sz w:val="24"/>
          <w:szCs w:val="24"/>
          <w:rtl/>
          <w14:ligatures w14:val="none"/>
        </w:rPr>
        <w:t>הפחתת</w:t>
      </w:r>
      <w:r w:rsidR="00542BAD">
        <w:rPr>
          <w:rFonts w:ascii="David" w:eastAsia="Calibri" w:hAnsi="David" w:cs="David" w:hint="cs"/>
          <w:color w:val="000000"/>
          <w:sz w:val="24"/>
          <w:szCs w:val="24"/>
          <w:rtl/>
          <w14:ligatures w14:val="none"/>
        </w:rPr>
        <w:t xml:space="preserve"> </w:t>
      </w:r>
      <w:r w:rsidR="001F1A58">
        <w:rPr>
          <w:rFonts w:ascii="David" w:eastAsia="Calibri" w:hAnsi="David" w:cs="David" w:hint="cs"/>
          <w:color w:val="000000"/>
          <w:sz w:val="24"/>
          <w:szCs w:val="24"/>
          <w:rtl/>
          <w14:ligatures w14:val="none"/>
        </w:rPr>
        <w:t>עלות</w:t>
      </w:r>
      <w:r w:rsidRPr="006A51E7">
        <w:rPr>
          <w:rFonts w:ascii="David" w:eastAsia="Calibri" w:hAnsi="David" w:cs="David"/>
          <w:color w:val="000000"/>
          <w:sz w:val="24"/>
          <w:szCs w:val="24"/>
          <w:rtl/>
          <w14:ligatures w14:val="none"/>
        </w:rPr>
        <w:t xml:space="preserve"> </w:t>
      </w:r>
      <w:r w:rsidRPr="006A51E7">
        <w:rPr>
          <w:rFonts w:ascii="David" w:eastAsia="Calibri" w:hAnsi="David" w:cs="David" w:hint="eastAsia"/>
          <w:color w:val="000000"/>
          <w:sz w:val="24"/>
          <w:szCs w:val="24"/>
          <w:rtl/>
          <w14:ligatures w14:val="none"/>
        </w:rPr>
        <w:t>המטלות</w:t>
      </w:r>
      <w:r w:rsidRPr="006A51E7">
        <w:rPr>
          <w:rFonts w:ascii="David" w:eastAsia="Calibri" w:hAnsi="David" w:cs="David"/>
          <w:color w:val="000000"/>
          <w:sz w:val="24"/>
          <w:szCs w:val="24"/>
          <w:rtl/>
          <w14:ligatures w14:val="none"/>
        </w:rPr>
        <w:t xml:space="preserve"> </w:t>
      </w:r>
      <w:r w:rsidRPr="006A51E7">
        <w:rPr>
          <w:rFonts w:ascii="David" w:eastAsia="Calibri" w:hAnsi="David" w:cs="David" w:hint="eastAsia"/>
          <w:color w:val="000000"/>
          <w:sz w:val="24"/>
          <w:szCs w:val="24"/>
          <w:rtl/>
          <w14:ligatures w14:val="none"/>
        </w:rPr>
        <w:t>הציבוריות</w:t>
      </w:r>
      <w:r w:rsidR="00542BAD">
        <w:rPr>
          <w:rFonts w:ascii="David" w:eastAsia="Calibri" w:hAnsi="David" w:cs="David" w:hint="cs"/>
          <w:color w:val="000000"/>
          <w:sz w:val="24"/>
          <w:szCs w:val="24"/>
          <w:rtl/>
          <w14:ligatures w14:val="none"/>
        </w:rPr>
        <w:t>:</w:t>
      </w:r>
      <w:r w:rsidRPr="006A51E7">
        <w:rPr>
          <w:rFonts w:ascii="David" w:eastAsia="Calibri" w:hAnsi="David" w:cs="David"/>
          <w:color w:val="000000"/>
          <w:sz w:val="24"/>
          <w:szCs w:val="24"/>
          <w:rtl/>
          <w14:ligatures w14:val="none"/>
        </w:rPr>
        <w:t xml:space="preserve"> </w:t>
      </w:r>
      <w:r w:rsidRPr="006A51E7">
        <w:rPr>
          <w:rFonts w:ascii="David" w:eastAsia="Calibri" w:hAnsi="David" w:cs="David" w:hint="eastAsia"/>
          <w:color w:val="000000"/>
          <w:sz w:val="24"/>
          <w:szCs w:val="24"/>
          <w:rtl/>
          <w14:ligatures w14:val="none"/>
        </w:rPr>
        <w:t>מההשבחה</w:t>
      </w:r>
      <w:r w:rsidRPr="006A51E7">
        <w:rPr>
          <w:rFonts w:ascii="David" w:eastAsia="Calibri" w:hAnsi="David" w:cs="David"/>
          <w:color w:val="000000"/>
          <w:sz w:val="24"/>
          <w:szCs w:val="24"/>
          <w:rtl/>
          <w14:ligatures w14:val="none"/>
        </w:rPr>
        <w:t xml:space="preserve"> </w:t>
      </w:r>
      <w:r w:rsidR="0070304D">
        <w:rPr>
          <w:rFonts w:ascii="David" w:eastAsia="Calibri" w:hAnsi="David" w:cs="David" w:hint="cs"/>
          <w:color w:val="000000"/>
          <w:sz w:val="24"/>
          <w:szCs w:val="24"/>
          <w:rtl/>
          <w14:ligatures w14:val="none"/>
        </w:rPr>
        <w:t>או</w:t>
      </w:r>
      <w:r w:rsidRPr="006A51E7">
        <w:rPr>
          <w:rFonts w:ascii="David" w:eastAsia="Calibri" w:hAnsi="David" w:cs="David"/>
          <w:color w:val="000000"/>
          <w:sz w:val="24"/>
          <w:szCs w:val="24"/>
          <w:rtl/>
          <w14:ligatures w14:val="none"/>
        </w:rPr>
        <w:t xml:space="preserve"> </w:t>
      </w:r>
      <w:r w:rsidRPr="006A51E7">
        <w:rPr>
          <w:rFonts w:ascii="David" w:eastAsia="Calibri" w:hAnsi="David" w:cs="David" w:hint="eastAsia"/>
          <w:color w:val="000000"/>
          <w:sz w:val="24"/>
          <w:szCs w:val="24"/>
          <w:rtl/>
          <w14:ligatures w14:val="none"/>
        </w:rPr>
        <w:t>מההיטל</w:t>
      </w:r>
      <w:r w:rsidR="0070304D">
        <w:rPr>
          <w:rFonts w:ascii="David" w:eastAsia="Calibri" w:hAnsi="David" w:cs="David" w:hint="cs"/>
          <w:color w:val="000000"/>
          <w:sz w:val="24"/>
          <w:szCs w:val="24"/>
          <w:rtl/>
          <w14:ligatures w14:val="none"/>
        </w:rPr>
        <w:t>?</w:t>
      </w:r>
    </w:p>
    <w:p w14:paraId="2D23DAB7" w14:textId="77777777" w:rsidR="00AF3991" w:rsidRDefault="009123E4" w:rsidP="006A51E7">
      <w:pPr>
        <w:spacing w:before="100" w:beforeAutospacing="1" w:line="360" w:lineRule="auto"/>
        <w:ind w:left="90" w:right="-851" w:hanging="425"/>
        <w:jc w:val="both"/>
        <w:rPr>
          <w:rFonts w:ascii="David" w:eastAsia="Calibri" w:hAnsi="David" w:cs="David"/>
          <w:sz w:val="24"/>
          <w:szCs w:val="24"/>
          <w14:ligatures w14:val="none"/>
        </w:rPr>
      </w:pPr>
      <w:r>
        <w:rPr>
          <w:rFonts w:ascii="David" w:eastAsia="Calibri" w:hAnsi="David" w:cs="David" w:hint="cs"/>
          <w:b/>
          <w:bCs/>
          <w:sz w:val="24"/>
          <w:szCs w:val="24"/>
          <w:u w:val="single"/>
          <w:rtl/>
          <w14:ligatures w14:val="none"/>
        </w:rPr>
        <w:t>התכנית המשביחה</w:t>
      </w:r>
      <w:r w:rsidR="00DB71D1" w:rsidRPr="00DB71D1">
        <w:rPr>
          <w:rFonts w:ascii="David" w:eastAsia="Calibri" w:hAnsi="David" w:cs="David" w:hint="cs"/>
          <w:b/>
          <w:bCs/>
          <w:sz w:val="24"/>
          <w:szCs w:val="24"/>
          <w:rtl/>
          <w14:ligatures w14:val="none"/>
        </w:rPr>
        <w:t xml:space="preserve"> </w:t>
      </w:r>
    </w:p>
    <w:p w14:paraId="538A7685" w14:textId="77777777" w:rsidR="00856782" w:rsidRPr="00856782" w:rsidRDefault="006E016C" w:rsidP="006A51E7">
      <w:pPr>
        <w:pStyle w:val="a9"/>
        <w:numPr>
          <w:ilvl w:val="0"/>
          <w:numId w:val="1"/>
        </w:numPr>
        <w:spacing w:before="100" w:beforeAutospacing="1" w:line="360" w:lineRule="auto"/>
        <w:ind w:left="90" w:hanging="425"/>
        <w:contextualSpacing w:val="0"/>
        <w:jc w:val="both"/>
        <w:rPr>
          <w:rFonts w:ascii="David" w:eastAsia="Calibri" w:hAnsi="David" w:cs="David"/>
          <w:sz w:val="24"/>
          <w:szCs w:val="24"/>
          <w14:ligatures w14:val="none"/>
        </w:rPr>
      </w:pPr>
      <w:r>
        <w:rPr>
          <w:rFonts w:ascii="David" w:eastAsia="Calibri" w:hAnsi="David" w:cs="David" w:hint="cs"/>
          <w:sz w:val="24"/>
          <w:szCs w:val="24"/>
          <w:rtl/>
          <w14:ligatures w14:val="none"/>
        </w:rPr>
        <w:t xml:space="preserve">המקרקעין כלולים בתחום תכנית </w:t>
      </w:r>
      <w:r w:rsidRPr="00DB71D1">
        <w:rPr>
          <w:rFonts w:ascii="David" w:eastAsia="Calibri" w:hAnsi="David" w:cs="David" w:hint="cs"/>
          <w:b/>
          <w:bCs/>
          <w:sz w:val="24"/>
          <w:szCs w:val="24"/>
          <w:rtl/>
          <w14:ligatures w14:val="none"/>
        </w:rPr>
        <w:t>תא/4321 "מרחב השומרון"</w:t>
      </w:r>
      <w:r>
        <w:rPr>
          <w:rFonts w:ascii="David" w:eastAsia="Calibri" w:hAnsi="David" w:cs="David" w:hint="cs"/>
          <w:sz w:val="24"/>
          <w:szCs w:val="24"/>
          <w:rtl/>
          <w14:ligatures w14:val="none"/>
        </w:rPr>
        <w:t xml:space="preserve"> שפורסמה למתן תוקף ביום 3.2.20 </w:t>
      </w:r>
      <w:r w:rsidR="00DB71D1">
        <w:rPr>
          <w:rFonts w:ascii="David" w:eastAsia="Calibri" w:hAnsi="David" w:cs="David" w:hint="cs"/>
          <w:sz w:val="24"/>
          <w:szCs w:val="24"/>
          <w:rtl/>
          <w14:ligatures w14:val="none"/>
        </w:rPr>
        <w:t>(להלן: "</w:t>
      </w:r>
      <w:r w:rsidR="00DB71D1" w:rsidRPr="00DB71D1">
        <w:rPr>
          <w:rFonts w:ascii="David" w:eastAsia="Calibri" w:hAnsi="David" w:cs="David" w:hint="cs"/>
          <w:b/>
          <w:bCs/>
          <w:sz w:val="24"/>
          <w:szCs w:val="24"/>
          <w:rtl/>
          <w14:ligatures w14:val="none"/>
        </w:rPr>
        <w:t>תכנית</w:t>
      </w:r>
      <w:r w:rsidR="00DB71D1">
        <w:rPr>
          <w:rFonts w:ascii="David" w:eastAsia="Calibri" w:hAnsi="David" w:cs="David" w:hint="cs"/>
          <w:sz w:val="24"/>
          <w:szCs w:val="24"/>
          <w:rtl/>
          <w14:ligatures w14:val="none"/>
        </w:rPr>
        <w:t xml:space="preserve"> </w:t>
      </w:r>
      <w:r w:rsidR="00DB71D1" w:rsidRPr="00DB71D1">
        <w:rPr>
          <w:rFonts w:ascii="David" w:eastAsia="Calibri" w:hAnsi="David" w:cs="David" w:hint="cs"/>
          <w:b/>
          <w:bCs/>
          <w:sz w:val="24"/>
          <w:szCs w:val="24"/>
          <w:rtl/>
          <w14:ligatures w14:val="none"/>
        </w:rPr>
        <w:t>4321</w:t>
      </w:r>
      <w:r w:rsidR="00DB71D1">
        <w:rPr>
          <w:rFonts w:ascii="David" w:eastAsia="Calibri" w:hAnsi="David" w:cs="David" w:hint="cs"/>
          <w:sz w:val="24"/>
          <w:szCs w:val="24"/>
          <w:rtl/>
          <w14:ligatures w14:val="none"/>
        </w:rPr>
        <w:t>")</w:t>
      </w:r>
      <w:r w:rsidR="00DB71D1">
        <w:rPr>
          <w:rFonts w:ascii="David" w:eastAsia="Calibri" w:hAnsi="David" w:cs="David"/>
          <w:sz w:val="24"/>
          <w:szCs w:val="24"/>
          <w14:ligatures w14:val="none"/>
        </w:rPr>
        <w:t xml:space="preserve"> </w:t>
      </w:r>
      <w:r>
        <w:rPr>
          <w:rFonts w:ascii="David" w:eastAsia="Calibri" w:hAnsi="David" w:cs="David" w:hint="cs"/>
          <w:sz w:val="24"/>
          <w:szCs w:val="24"/>
          <w:rtl/>
          <w14:ligatures w14:val="none"/>
        </w:rPr>
        <w:t xml:space="preserve">החלה על 78 דונם ומטרתה התחדשות עירונית במתחם ופיתוחו כאזור </w:t>
      </w:r>
      <w:proofErr w:type="spellStart"/>
      <w:r>
        <w:rPr>
          <w:rFonts w:ascii="David" w:eastAsia="Calibri" w:hAnsi="David" w:cs="David" w:hint="cs"/>
          <w:sz w:val="24"/>
          <w:szCs w:val="24"/>
          <w:rtl/>
          <w14:ligatures w14:val="none"/>
        </w:rPr>
        <w:t>מע"ר</w:t>
      </w:r>
      <w:proofErr w:type="spellEnd"/>
      <w:r>
        <w:rPr>
          <w:rFonts w:ascii="David" w:eastAsia="Calibri" w:hAnsi="David" w:cs="David" w:hint="cs"/>
          <w:sz w:val="24"/>
          <w:szCs w:val="24"/>
          <w:rtl/>
          <w14:ligatures w14:val="none"/>
        </w:rPr>
        <w:t xml:space="preserve"> מטרופוליטנ</w:t>
      </w:r>
      <w:r>
        <w:rPr>
          <w:rFonts w:ascii="David" w:eastAsia="Calibri" w:hAnsi="David" w:cs="David" w:hint="eastAsia"/>
          <w:sz w:val="24"/>
          <w:szCs w:val="24"/>
          <w:rtl/>
          <w14:ligatures w14:val="none"/>
        </w:rPr>
        <w:t>י</w:t>
      </w:r>
      <w:r>
        <w:rPr>
          <w:rFonts w:ascii="David" w:eastAsia="Calibri" w:hAnsi="David" w:cs="David" w:hint="cs"/>
          <w:sz w:val="24"/>
          <w:szCs w:val="24"/>
          <w:rtl/>
          <w14:ligatures w14:val="none"/>
        </w:rPr>
        <w:t xml:space="preserve"> מעורב שימושים וכן הקצאה של מגרשים ציבוריים, שטחים בנויים ציבוריים ושטחים פתוחים לטובת הציבור.</w:t>
      </w:r>
    </w:p>
    <w:p w14:paraId="01F1B692" w14:textId="77777777" w:rsidR="00856782" w:rsidRDefault="00856782" w:rsidP="006A51E7">
      <w:pPr>
        <w:spacing w:before="100" w:beforeAutospacing="1" w:line="360" w:lineRule="auto"/>
        <w:ind w:left="90" w:hanging="425"/>
        <w:rPr>
          <w:rFonts w:ascii="David" w:eastAsia="Calibri" w:hAnsi="David" w:cs="David"/>
          <w:b/>
          <w:bCs/>
          <w:color w:val="000000"/>
          <w:sz w:val="24"/>
          <w:szCs w:val="24"/>
          <w:u w:val="single"/>
          <w:rtl/>
          <w14:ligatures w14:val="none"/>
        </w:rPr>
      </w:pPr>
      <w:r>
        <w:rPr>
          <w:rFonts w:ascii="David" w:eastAsia="Calibri" w:hAnsi="David" w:cs="David" w:hint="cs"/>
          <w:b/>
          <w:bCs/>
          <w:color w:val="000000"/>
          <w:sz w:val="24"/>
          <w:szCs w:val="24"/>
          <w:u w:val="single"/>
          <w:rtl/>
          <w14:ligatures w14:val="none"/>
        </w:rPr>
        <w:t>ההליכים שהתק</w:t>
      </w:r>
      <w:r w:rsidR="00990AC2">
        <w:rPr>
          <w:rFonts w:ascii="David" w:eastAsia="Calibri" w:hAnsi="David" w:cs="David" w:hint="cs"/>
          <w:b/>
          <w:bCs/>
          <w:color w:val="000000"/>
          <w:sz w:val="24"/>
          <w:szCs w:val="24"/>
          <w:u w:val="single"/>
          <w:rtl/>
          <w14:ligatures w14:val="none"/>
        </w:rPr>
        <w:t>י</w:t>
      </w:r>
      <w:r>
        <w:rPr>
          <w:rFonts w:ascii="David" w:eastAsia="Calibri" w:hAnsi="David" w:cs="David" w:hint="cs"/>
          <w:b/>
          <w:bCs/>
          <w:color w:val="000000"/>
          <w:sz w:val="24"/>
          <w:szCs w:val="24"/>
          <w:u w:val="single"/>
          <w:rtl/>
          <w14:ligatures w14:val="none"/>
        </w:rPr>
        <w:t>ימו לאחר הגשת הערר</w:t>
      </w:r>
    </w:p>
    <w:p w14:paraId="30F5A1E2" w14:textId="27D06130" w:rsidR="00856782" w:rsidRPr="00520E9C" w:rsidRDefault="00990AC2" w:rsidP="006A51E7">
      <w:pPr>
        <w:numPr>
          <w:ilvl w:val="0"/>
          <w:numId w:val="1"/>
        </w:numPr>
        <w:spacing w:before="100" w:beforeAutospacing="1" w:line="360" w:lineRule="auto"/>
        <w:ind w:left="90" w:hanging="425"/>
        <w:jc w:val="both"/>
        <w:rPr>
          <w:rFonts w:ascii="David" w:eastAsia="Calibri" w:hAnsi="David" w:cs="David"/>
          <w:sz w:val="24"/>
          <w:szCs w:val="24"/>
          <w14:ligatures w14:val="none"/>
        </w:rPr>
      </w:pPr>
      <w:r w:rsidRPr="00990AC2">
        <w:rPr>
          <w:rFonts w:ascii="David" w:eastAsia="Calibri" w:hAnsi="David" w:cs="David" w:hint="cs"/>
          <w:sz w:val="24"/>
          <w:szCs w:val="24"/>
          <w:rtl/>
          <w14:ligatures w14:val="none"/>
        </w:rPr>
        <w:t>דיון בערר התקיים בפנינו</w:t>
      </w:r>
      <w:r w:rsidR="00741E6D">
        <w:rPr>
          <w:rFonts w:ascii="David" w:eastAsia="Calibri" w:hAnsi="David" w:cs="David" w:hint="cs"/>
          <w:sz w:val="24"/>
          <w:szCs w:val="24"/>
          <w:rtl/>
          <w14:ligatures w14:val="none"/>
        </w:rPr>
        <w:t xml:space="preserve"> ו</w:t>
      </w:r>
      <w:r w:rsidRPr="00990AC2">
        <w:rPr>
          <w:rFonts w:ascii="David" w:eastAsia="Calibri" w:hAnsi="David" w:cs="David" w:hint="cs"/>
          <w:sz w:val="24"/>
          <w:szCs w:val="24"/>
          <w:rtl/>
          <w14:ligatures w14:val="none"/>
        </w:rPr>
        <w:t xml:space="preserve">בסיומו </w:t>
      </w:r>
      <w:r>
        <w:rPr>
          <w:rFonts w:ascii="David" w:eastAsia="Calibri" w:hAnsi="David" w:cs="David" w:hint="cs"/>
          <w:sz w:val="24"/>
          <w:szCs w:val="24"/>
          <w:rtl/>
          <w14:ligatures w14:val="none"/>
        </w:rPr>
        <w:t xml:space="preserve">הועלתה </w:t>
      </w:r>
      <w:r w:rsidR="00237BD1">
        <w:rPr>
          <w:rFonts w:ascii="David" w:eastAsia="Calibri" w:hAnsi="David" w:cs="David" w:hint="cs"/>
          <w:sz w:val="24"/>
          <w:szCs w:val="24"/>
          <w:rtl/>
          <w14:ligatures w14:val="none"/>
        </w:rPr>
        <w:t xml:space="preserve">הצעה </w:t>
      </w:r>
      <w:r w:rsidR="003A2323">
        <w:rPr>
          <w:rFonts w:ascii="David" w:eastAsia="Calibri" w:hAnsi="David" w:cs="David" w:hint="cs"/>
          <w:sz w:val="24"/>
          <w:szCs w:val="24"/>
          <w:rtl/>
          <w14:ligatures w14:val="none"/>
        </w:rPr>
        <w:t xml:space="preserve">לסיום הדיון על דרך </w:t>
      </w:r>
      <w:r w:rsidR="007859D1">
        <w:rPr>
          <w:rFonts w:ascii="David" w:eastAsia="Calibri" w:hAnsi="David" w:cs="David" w:hint="cs"/>
          <w:sz w:val="24"/>
          <w:szCs w:val="24"/>
          <w:rtl/>
          <w14:ligatures w14:val="none"/>
        </w:rPr>
        <w:t>ה</w:t>
      </w:r>
      <w:r w:rsidR="003A2323">
        <w:rPr>
          <w:rFonts w:ascii="David" w:eastAsia="Calibri" w:hAnsi="David" w:cs="David" w:hint="cs"/>
          <w:sz w:val="24"/>
          <w:szCs w:val="24"/>
          <w:rtl/>
          <w14:ligatures w14:val="none"/>
        </w:rPr>
        <w:t>הסכמות</w:t>
      </w:r>
      <w:r>
        <w:rPr>
          <w:rFonts w:ascii="David" w:eastAsia="Calibri" w:hAnsi="David" w:cs="David" w:hint="cs"/>
          <w:sz w:val="24"/>
          <w:szCs w:val="24"/>
          <w:rtl/>
          <w14:ligatures w14:val="none"/>
        </w:rPr>
        <w:t xml:space="preserve"> ו</w:t>
      </w:r>
      <w:r w:rsidRPr="00990AC2">
        <w:rPr>
          <w:rFonts w:ascii="David" w:eastAsia="Calibri" w:hAnsi="David" w:cs="David" w:hint="cs"/>
          <w:sz w:val="24"/>
          <w:szCs w:val="24"/>
          <w:rtl/>
          <w14:ligatures w14:val="none"/>
        </w:rPr>
        <w:t>הוחלט כי</w:t>
      </w:r>
      <w:r w:rsidR="00741E6D">
        <w:rPr>
          <w:rFonts w:ascii="David" w:eastAsia="Calibri" w:hAnsi="David" w:cs="David" w:hint="cs"/>
          <w:sz w:val="24"/>
          <w:szCs w:val="24"/>
          <w:rtl/>
          <w14:ligatures w14:val="none"/>
        </w:rPr>
        <w:t xml:space="preserve"> </w:t>
      </w:r>
      <w:r w:rsidR="00501F0F" w:rsidRPr="00990AC2">
        <w:rPr>
          <w:rFonts w:ascii="David" w:eastAsia="Calibri" w:hAnsi="David" w:cs="David" w:hint="cs"/>
          <w:sz w:val="24"/>
          <w:szCs w:val="24"/>
          <w:rtl/>
          <w14:ligatures w14:val="none"/>
        </w:rPr>
        <w:t xml:space="preserve">הצדדים </w:t>
      </w:r>
      <w:r w:rsidRPr="00990AC2">
        <w:rPr>
          <w:rFonts w:ascii="David" w:eastAsia="Calibri" w:hAnsi="David" w:cs="David" w:hint="cs"/>
          <w:sz w:val="24"/>
          <w:szCs w:val="24"/>
          <w:rtl/>
          <w14:ligatures w14:val="none"/>
        </w:rPr>
        <w:t xml:space="preserve">יודיעו האם </w:t>
      </w:r>
      <w:r>
        <w:rPr>
          <w:rFonts w:ascii="David" w:eastAsia="Calibri" w:hAnsi="David" w:cs="David" w:hint="cs"/>
          <w:sz w:val="24"/>
          <w:szCs w:val="24"/>
          <w:rtl/>
          <w14:ligatures w14:val="none"/>
        </w:rPr>
        <w:t xml:space="preserve">הגיעו </w:t>
      </w:r>
      <w:r w:rsidRPr="00520E9C">
        <w:rPr>
          <w:rFonts w:ascii="David" w:eastAsia="Calibri" w:hAnsi="David" w:cs="David" w:hint="eastAsia"/>
          <w:sz w:val="24"/>
          <w:szCs w:val="24"/>
          <w:rtl/>
          <w14:ligatures w14:val="none"/>
        </w:rPr>
        <w:t>להסכמה</w:t>
      </w:r>
      <w:r w:rsidRPr="00520E9C">
        <w:rPr>
          <w:rFonts w:ascii="David" w:eastAsia="Calibri" w:hAnsi="David" w:cs="David"/>
          <w:sz w:val="24"/>
          <w:szCs w:val="24"/>
          <w:rtl/>
          <w14:ligatures w14:val="none"/>
        </w:rPr>
        <w:t xml:space="preserve"> </w:t>
      </w:r>
      <w:r w:rsidRPr="00520E9C">
        <w:rPr>
          <w:rFonts w:ascii="David" w:eastAsia="Calibri" w:hAnsi="David" w:cs="David" w:hint="eastAsia"/>
          <w:sz w:val="24"/>
          <w:szCs w:val="24"/>
          <w:rtl/>
          <w14:ligatures w14:val="none"/>
        </w:rPr>
        <w:t>ביניהם</w:t>
      </w:r>
      <w:r w:rsidRPr="00520E9C">
        <w:rPr>
          <w:rFonts w:ascii="David" w:eastAsia="Calibri" w:hAnsi="David" w:cs="David"/>
          <w:sz w:val="24"/>
          <w:szCs w:val="24"/>
          <w:rtl/>
          <w14:ligatures w14:val="none"/>
        </w:rPr>
        <w:t>.</w:t>
      </w:r>
    </w:p>
    <w:p w14:paraId="5A502056" w14:textId="5FF75CC6" w:rsidR="00780950" w:rsidRPr="00520E9C" w:rsidRDefault="002155E3" w:rsidP="006A51E7">
      <w:pPr>
        <w:numPr>
          <w:ilvl w:val="0"/>
          <w:numId w:val="1"/>
        </w:numPr>
        <w:spacing w:before="100" w:beforeAutospacing="1" w:line="360" w:lineRule="auto"/>
        <w:ind w:left="90" w:hanging="425"/>
        <w:jc w:val="both"/>
        <w:rPr>
          <w:rFonts w:ascii="David" w:eastAsia="Calibri" w:hAnsi="David" w:cs="David"/>
          <w:sz w:val="24"/>
          <w:szCs w:val="24"/>
          <w14:ligatures w14:val="none"/>
        </w:rPr>
      </w:pPr>
      <w:r w:rsidRPr="00520E9C">
        <w:rPr>
          <w:rFonts w:ascii="David" w:eastAsia="Calibri" w:hAnsi="David" w:cs="David"/>
          <w:sz w:val="24"/>
          <w:szCs w:val="24"/>
          <w:rtl/>
          <w14:ligatures w14:val="none"/>
        </w:rPr>
        <w:t xml:space="preserve">בהתאם לכך, </w:t>
      </w:r>
      <w:r w:rsidR="00990AC2" w:rsidRPr="00520E9C">
        <w:rPr>
          <w:rFonts w:ascii="David" w:eastAsia="Calibri" w:hAnsi="David" w:cs="David" w:hint="eastAsia"/>
          <w:sz w:val="24"/>
          <w:szCs w:val="24"/>
          <w:rtl/>
          <w14:ligatures w14:val="none"/>
        </w:rPr>
        <w:t>הוגשה</w:t>
      </w:r>
      <w:r w:rsidR="00990AC2" w:rsidRPr="00520E9C">
        <w:rPr>
          <w:rFonts w:ascii="David" w:eastAsia="Calibri" w:hAnsi="David" w:cs="David"/>
          <w:sz w:val="24"/>
          <w:szCs w:val="24"/>
          <w:rtl/>
          <w14:ligatures w14:val="none"/>
        </w:rPr>
        <w:t xml:space="preserve"> התייחסות </w:t>
      </w:r>
      <w:r w:rsidR="002914EC" w:rsidRPr="00520E9C">
        <w:rPr>
          <w:rFonts w:ascii="David" w:eastAsia="Calibri" w:hAnsi="David" w:cs="David" w:hint="eastAsia"/>
          <w:sz w:val="24"/>
          <w:szCs w:val="24"/>
          <w:rtl/>
          <w14:ligatures w14:val="none"/>
        </w:rPr>
        <w:t>הוועדה</w:t>
      </w:r>
      <w:r w:rsidR="002914EC" w:rsidRPr="00520E9C">
        <w:rPr>
          <w:rFonts w:ascii="David" w:eastAsia="Calibri" w:hAnsi="David" w:cs="David"/>
          <w:sz w:val="24"/>
          <w:szCs w:val="24"/>
          <w:rtl/>
          <w14:ligatures w14:val="none"/>
        </w:rPr>
        <w:t xml:space="preserve"> </w:t>
      </w:r>
      <w:r w:rsidR="002914EC" w:rsidRPr="00520E9C">
        <w:rPr>
          <w:rFonts w:ascii="David" w:eastAsia="Calibri" w:hAnsi="David" w:cs="David" w:hint="eastAsia"/>
          <w:sz w:val="24"/>
          <w:szCs w:val="24"/>
          <w:rtl/>
          <w14:ligatures w14:val="none"/>
        </w:rPr>
        <w:t>המקומית</w:t>
      </w:r>
      <w:r w:rsidR="00990AC2" w:rsidRPr="00520E9C">
        <w:rPr>
          <w:rFonts w:ascii="David" w:eastAsia="Calibri" w:hAnsi="David" w:cs="David"/>
          <w:sz w:val="24"/>
          <w:szCs w:val="24"/>
          <w:rtl/>
          <w14:ligatures w14:val="none"/>
        </w:rPr>
        <w:t xml:space="preserve"> להצע</w:t>
      </w:r>
      <w:r w:rsidR="004360D3">
        <w:rPr>
          <w:rFonts w:ascii="David" w:eastAsia="Calibri" w:hAnsi="David" w:cs="David" w:hint="cs"/>
          <w:sz w:val="24"/>
          <w:szCs w:val="24"/>
          <w:rtl/>
          <w14:ligatures w14:val="none"/>
        </w:rPr>
        <w:t>ה האמורה</w:t>
      </w:r>
      <w:r w:rsidR="00F9486A">
        <w:rPr>
          <w:rFonts w:ascii="David" w:eastAsia="Calibri" w:hAnsi="David" w:cs="David" w:hint="cs"/>
          <w:sz w:val="24"/>
          <w:szCs w:val="24"/>
          <w:rtl/>
          <w14:ligatures w14:val="none"/>
        </w:rPr>
        <w:t>,</w:t>
      </w:r>
      <w:r w:rsidR="00237BD1">
        <w:rPr>
          <w:rFonts w:ascii="David" w:eastAsia="Calibri" w:hAnsi="David" w:cs="David" w:hint="cs"/>
          <w:sz w:val="24"/>
          <w:szCs w:val="24"/>
          <w:rtl/>
          <w14:ligatures w14:val="none"/>
        </w:rPr>
        <w:t xml:space="preserve"> </w:t>
      </w:r>
      <w:r w:rsidR="009D10DA">
        <w:rPr>
          <w:rFonts w:ascii="David" w:eastAsia="Calibri" w:hAnsi="David" w:cs="David" w:hint="cs"/>
          <w:sz w:val="24"/>
          <w:szCs w:val="24"/>
          <w:rtl/>
          <w14:ligatures w14:val="none"/>
        </w:rPr>
        <w:t>במסגרתה</w:t>
      </w:r>
      <w:r w:rsidR="00650C7E" w:rsidRPr="00520E9C">
        <w:rPr>
          <w:rFonts w:ascii="David" w:eastAsia="Calibri" w:hAnsi="David" w:cs="David"/>
          <w:sz w:val="24"/>
          <w:szCs w:val="24"/>
          <w:rtl/>
          <w14:ligatures w14:val="none"/>
        </w:rPr>
        <w:t xml:space="preserve"> </w:t>
      </w:r>
      <w:r w:rsidR="00650C7E" w:rsidRPr="00520E9C">
        <w:rPr>
          <w:rFonts w:ascii="David" w:eastAsia="Calibri" w:hAnsi="David" w:cs="David" w:hint="eastAsia"/>
          <w:sz w:val="24"/>
          <w:szCs w:val="24"/>
          <w:rtl/>
          <w14:ligatures w14:val="none"/>
        </w:rPr>
        <w:t>הציגה</w:t>
      </w:r>
      <w:r w:rsidR="00650C7E" w:rsidRPr="00520E9C">
        <w:rPr>
          <w:rFonts w:ascii="David" w:eastAsia="Calibri" w:hAnsi="David" w:cs="David"/>
          <w:sz w:val="24"/>
          <w:szCs w:val="24"/>
          <w:rtl/>
          <w14:ligatures w14:val="none"/>
        </w:rPr>
        <w:t xml:space="preserve"> </w:t>
      </w:r>
      <w:r w:rsidR="00650C7E" w:rsidRPr="00520E9C">
        <w:rPr>
          <w:rFonts w:ascii="David" w:eastAsia="Calibri" w:hAnsi="David" w:cs="David" w:hint="eastAsia"/>
          <w:sz w:val="24"/>
          <w:szCs w:val="24"/>
          <w:rtl/>
          <w14:ligatures w14:val="none"/>
        </w:rPr>
        <w:t>הוועדה</w:t>
      </w:r>
      <w:r w:rsidR="002914EC" w:rsidRPr="00520E9C">
        <w:rPr>
          <w:rFonts w:ascii="David" w:eastAsia="Calibri" w:hAnsi="David" w:cs="David"/>
          <w:sz w:val="24"/>
          <w:szCs w:val="24"/>
          <w:rtl/>
          <w14:ligatures w14:val="none"/>
        </w:rPr>
        <w:t xml:space="preserve"> </w:t>
      </w:r>
      <w:r w:rsidR="00650C7E" w:rsidRPr="00520E9C">
        <w:rPr>
          <w:rFonts w:ascii="David" w:eastAsia="Calibri" w:hAnsi="David" w:cs="David" w:hint="eastAsia"/>
          <w:sz w:val="24"/>
          <w:szCs w:val="24"/>
          <w:rtl/>
          <w14:ligatures w14:val="none"/>
        </w:rPr>
        <w:t>המקומית</w:t>
      </w:r>
      <w:r w:rsidR="00650C7E" w:rsidRPr="00520E9C">
        <w:rPr>
          <w:rFonts w:ascii="David" w:eastAsia="Calibri" w:hAnsi="David" w:cs="David"/>
          <w:sz w:val="24"/>
          <w:szCs w:val="24"/>
          <w:rtl/>
          <w14:ligatures w14:val="none"/>
        </w:rPr>
        <w:t xml:space="preserve"> </w:t>
      </w:r>
      <w:r w:rsidR="00650C7E" w:rsidRPr="00E64CF9">
        <w:rPr>
          <w:rFonts w:ascii="David" w:eastAsia="Calibri" w:hAnsi="David" w:cs="David"/>
          <w:b/>
          <w:bCs/>
          <w:sz w:val="24"/>
          <w:szCs w:val="24"/>
          <w:rtl/>
          <w14:ligatures w14:val="none"/>
        </w:rPr>
        <w:t xml:space="preserve">עמדה מתוקנת בנוגע לעלות המטלות הציבוריות שיש להפחית משווי </w:t>
      </w:r>
      <w:r w:rsidR="00207C7D" w:rsidRPr="00E64CF9">
        <w:rPr>
          <w:rFonts w:ascii="David" w:eastAsia="Calibri" w:hAnsi="David" w:cs="David" w:hint="eastAsia"/>
          <w:b/>
          <w:bCs/>
          <w:sz w:val="24"/>
          <w:szCs w:val="24"/>
          <w:rtl/>
          <w14:ligatures w14:val="none"/>
        </w:rPr>
        <w:t>ה</w:t>
      </w:r>
      <w:r w:rsidR="00650C7E" w:rsidRPr="00E64CF9">
        <w:rPr>
          <w:rFonts w:ascii="David" w:eastAsia="Calibri" w:hAnsi="David" w:cs="David" w:hint="eastAsia"/>
          <w:b/>
          <w:bCs/>
          <w:sz w:val="24"/>
          <w:szCs w:val="24"/>
          <w:rtl/>
          <w14:ligatures w14:val="none"/>
        </w:rPr>
        <w:t>מצב</w:t>
      </w:r>
      <w:r w:rsidR="00650C7E" w:rsidRPr="00E64CF9">
        <w:rPr>
          <w:rFonts w:ascii="David" w:eastAsia="Calibri" w:hAnsi="David" w:cs="David"/>
          <w:b/>
          <w:bCs/>
          <w:sz w:val="24"/>
          <w:szCs w:val="24"/>
          <w:rtl/>
          <w14:ligatures w14:val="none"/>
        </w:rPr>
        <w:t xml:space="preserve"> </w:t>
      </w:r>
      <w:r w:rsidR="00207C7D" w:rsidRPr="00E64CF9">
        <w:rPr>
          <w:rFonts w:ascii="David" w:eastAsia="Calibri" w:hAnsi="David" w:cs="David" w:hint="eastAsia"/>
          <w:b/>
          <w:bCs/>
          <w:sz w:val="24"/>
          <w:szCs w:val="24"/>
          <w:rtl/>
          <w14:ligatures w14:val="none"/>
        </w:rPr>
        <w:t>ה</w:t>
      </w:r>
      <w:r w:rsidR="00650C7E" w:rsidRPr="00E64CF9">
        <w:rPr>
          <w:rFonts w:ascii="David" w:eastAsia="Calibri" w:hAnsi="David" w:cs="David" w:hint="eastAsia"/>
          <w:b/>
          <w:bCs/>
          <w:sz w:val="24"/>
          <w:szCs w:val="24"/>
          <w:rtl/>
          <w14:ligatures w14:val="none"/>
        </w:rPr>
        <w:t>חדש</w:t>
      </w:r>
      <w:r w:rsidR="00650C7E" w:rsidRPr="00E64CF9">
        <w:rPr>
          <w:rFonts w:ascii="David" w:eastAsia="Calibri" w:hAnsi="David" w:cs="David"/>
          <w:b/>
          <w:bCs/>
          <w:sz w:val="24"/>
          <w:szCs w:val="24"/>
          <w:rtl/>
          <w14:ligatures w14:val="none"/>
        </w:rPr>
        <w:t xml:space="preserve"> </w:t>
      </w:r>
      <w:r w:rsidR="00207C7D" w:rsidRPr="00E64CF9">
        <w:rPr>
          <w:rFonts w:ascii="David" w:eastAsia="Calibri" w:hAnsi="David" w:cs="David" w:hint="eastAsia"/>
          <w:b/>
          <w:bCs/>
          <w:sz w:val="24"/>
          <w:szCs w:val="24"/>
          <w:rtl/>
          <w14:ligatures w14:val="none"/>
        </w:rPr>
        <w:t>לאחר</w:t>
      </w:r>
      <w:r w:rsidR="00207C7D" w:rsidRPr="00E64CF9">
        <w:rPr>
          <w:rFonts w:ascii="David" w:eastAsia="Calibri" w:hAnsi="David" w:cs="David"/>
          <w:b/>
          <w:bCs/>
          <w:sz w:val="24"/>
          <w:szCs w:val="24"/>
          <w:rtl/>
          <w14:ligatures w14:val="none"/>
        </w:rPr>
        <w:t xml:space="preserve"> אישורה של </w:t>
      </w:r>
      <w:r w:rsidR="00650C7E" w:rsidRPr="00E64CF9">
        <w:rPr>
          <w:rFonts w:ascii="David" w:eastAsia="Calibri" w:hAnsi="David" w:cs="David" w:hint="eastAsia"/>
          <w:b/>
          <w:bCs/>
          <w:sz w:val="24"/>
          <w:szCs w:val="24"/>
          <w:rtl/>
          <w14:ligatures w14:val="none"/>
        </w:rPr>
        <w:t>תכנית</w:t>
      </w:r>
      <w:r w:rsidR="00650C7E" w:rsidRPr="00E64CF9">
        <w:rPr>
          <w:rFonts w:ascii="David" w:eastAsia="Calibri" w:hAnsi="David" w:cs="David"/>
          <w:b/>
          <w:bCs/>
          <w:sz w:val="24"/>
          <w:szCs w:val="24"/>
          <w:rtl/>
          <w14:ligatures w14:val="none"/>
        </w:rPr>
        <w:t xml:space="preserve"> 4321</w:t>
      </w:r>
      <w:r w:rsidR="00EA21B1" w:rsidRPr="00E64CF9">
        <w:rPr>
          <w:rFonts w:ascii="David" w:eastAsia="Calibri" w:hAnsi="David" w:cs="David"/>
          <w:b/>
          <w:bCs/>
          <w:sz w:val="24"/>
          <w:szCs w:val="24"/>
          <w:rtl/>
          <w14:ligatures w14:val="none"/>
        </w:rPr>
        <w:t>.</w:t>
      </w:r>
      <w:r w:rsidR="00EA21B1" w:rsidRPr="00520E9C">
        <w:rPr>
          <w:rFonts w:ascii="David" w:eastAsia="Calibri" w:hAnsi="David" w:cs="David"/>
          <w:sz w:val="24"/>
          <w:szCs w:val="24"/>
          <w:rtl/>
          <w14:ligatures w14:val="none"/>
        </w:rPr>
        <w:t xml:space="preserve"> </w:t>
      </w:r>
    </w:p>
    <w:p w14:paraId="4EF56DCA" w14:textId="77777777" w:rsidR="00990AC2" w:rsidRDefault="002914EC" w:rsidP="006A51E7">
      <w:pPr>
        <w:numPr>
          <w:ilvl w:val="0"/>
          <w:numId w:val="1"/>
        </w:numPr>
        <w:spacing w:before="100" w:beforeAutospacing="1" w:line="360" w:lineRule="auto"/>
        <w:ind w:left="90" w:hanging="425"/>
        <w:jc w:val="both"/>
        <w:rPr>
          <w:rFonts w:ascii="David" w:eastAsia="Calibri" w:hAnsi="David" w:cs="David"/>
          <w:sz w:val="24"/>
          <w:szCs w:val="24"/>
          <w14:ligatures w14:val="none"/>
        </w:rPr>
      </w:pPr>
      <w:r>
        <w:rPr>
          <w:rFonts w:ascii="David" w:eastAsia="Calibri" w:hAnsi="David" w:cs="David" w:hint="cs"/>
          <w:sz w:val="24"/>
          <w:szCs w:val="24"/>
          <w:rtl/>
          <w14:ligatures w14:val="none"/>
        </w:rPr>
        <w:t>בנוגע ליתר הסוגיות הודיעה הוועדה המקומית כי היא איננה מקבלת את הצעת הפשרה שהועלתה במהלך הדיון.</w:t>
      </w:r>
    </w:p>
    <w:p w14:paraId="3881C376" w14:textId="58D37D34" w:rsidR="005C1BB3" w:rsidRDefault="005C1BB3" w:rsidP="006A51E7">
      <w:pPr>
        <w:numPr>
          <w:ilvl w:val="0"/>
          <w:numId w:val="1"/>
        </w:numPr>
        <w:spacing w:before="100" w:beforeAutospacing="1" w:line="360" w:lineRule="auto"/>
        <w:ind w:left="90" w:hanging="425"/>
        <w:jc w:val="both"/>
        <w:rPr>
          <w:rFonts w:ascii="David" w:eastAsia="Calibri" w:hAnsi="David" w:cs="David"/>
          <w:sz w:val="24"/>
          <w:szCs w:val="24"/>
          <w14:ligatures w14:val="none"/>
        </w:rPr>
      </w:pPr>
      <w:r>
        <w:rPr>
          <w:rFonts w:ascii="David" w:eastAsia="Calibri" w:hAnsi="David" w:cs="David" w:hint="cs"/>
          <w:sz w:val="24"/>
          <w:szCs w:val="24"/>
          <w:rtl/>
          <w14:ligatures w14:val="none"/>
        </w:rPr>
        <w:t xml:space="preserve">הוועדה המקומית טוענת עוד בהתייחסותה זו כי מבירור מול מחלקת יעודי קרקע עולה כי מגרשי 2000 הינם מגרשים זמניים ובדיקה של דפי המידע שהופקו ערב תכנית 4321 מעלה כי מגרשי 2000 המצוינים בהם תואמים את תכנית </w:t>
      </w:r>
      <w:r>
        <w:rPr>
          <w:rFonts w:ascii="David" w:eastAsia="Calibri" w:hAnsi="David" w:cs="David"/>
          <w:sz w:val="24"/>
          <w:szCs w:val="24"/>
          <w14:ligatures w14:val="none"/>
        </w:rPr>
        <w:t>F</w:t>
      </w:r>
      <w:r>
        <w:rPr>
          <w:rFonts w:ascii="David" w:eastAsia="Calibri" w:hAnsi="David" w:cs="David" w:hint="cs"/>
          <w:sz w:val="24"/>
          <w:szCs w:val="24"/>
          <w:rtl/>
          <w14:ligatures w14:val="none"/>
        </w:rPr>
        <w:t xml:space="preserve"> ואת תכנית 55 שקבעה כי הבניינים בדרך מנחם בגין יהיו בגובה של 4 קומות. כעולה מתשריט תכנית 66, לא כל שטח החלקות מצויות בקו הכחול של התכנית. </w:t>
      </w:r>
      <w:r>
        <w:rPr>
          <w:rFonts w:ascii="David" w:eastAsia="Calibri" w:hAnsi="David" w:cs="David" w:hint="cs"/>
          <w:sz w:val="24"/>
          <w:szCs w:val="24"/>
          <w:rtl/>
          <w14:ligatures w14:val="none"/>
        </w:rPr>
        <w:lastRenderedPageBreak/>
        <w:t>מאחר ותכנית</w:t>
      </w:r>
      <w:r>
        <w:rPr>
          <w:rFonts w:ascii="David" w:eastAsia="Calibri" w:hAnsi="David" w:cs="David"/>
          <w:sz w:val="24"/>
          <w:szCs w:val="24"/>
          <w14:ligatures w14:val="none"/>
        </w:rPr>
        <w:t xml:space="preserve">F </w:t>
      </w:r>
      <w:r w:rsidR="00EA21B1">
        <w:rPr>
          <w:rFonts w:ascii="David" w:eastAsia="Calibri" w:hAnsi="David" w:cs="David" w:hint="cs"/>
          <w:sz w:val="24"/>
          <w:szCs w:val="24"/>
          <w:rtl/>
          <w14:ligatures w14:val="none"/>
        </w:rPr>
        <w:t xml:space="preserve"> </w:t>
      </w:r>
      <w:r>
        <w:rPr>
          <w:rFonts w:ascii="David" w:eastAsia="Calibri" w:hAnsi="David" w:cs="David" w:hint="cs"/>
          <w:sz w:val="24"/>
          <w:szCs w:val="24"/>
          <w:rtl/>
          <w14:ligatures w14:val="none"/>
        </w:rPr>
        <w:t>אינה כוללת חלוקה למגרשים בחלקות מושא השומה הרי שלוועדה המקומית שיקול דעת אם לאשר תשריט איחוד וחלוקה של החלקות.</w:t>
      </w:r>
    </w:p>
    <w:p w14:paraId="653460FA" w14:textId="77777777" w:rsidR="002914EC" w:rsidRDefault="00990AC2" w:rsidP="006A51E7">
      <w:pPr>
        <w:numPr>
          <w:ilvl w:val="0"/>
          <w:numId w:val="1"/>
        </w:numPr>
        <w:spacing w:before="100" w:beforeAutospacing="1" w:line="360" w:lineRule="auto"/>
        <w:ind w:left="90" w:hanging="425"/>
        <w:jc w:val="both"/>
        <w:rPr>
          <w:rFonts w:ascii="David" w:eastAsia="Calibri" w:hAnsi="David" w:cs="David"/>
          <w:sz w:val="24"/>
          <w:szCs w:val="24"/>
          <w14:ligatures w14:val="none"/>
        </w:rPr>
      </w:pPr>
      <w:r>
        <w:rPr>
          <w:rFonts w:ascii="David" w:eastAsia="Calibri" w:hAnsi="David" w:cs="David" w:hint="cs"/>
          <w:sz w:val="24"/>
          <w:szCs w:val="24"/>
          <w:rtl/>
          <w14:ligatures w14:val="none"/>
        </w:rPr>
        <w:t xml:space="preserve">העוררות הגישו תגובה להתייחסות זו וטענו כי </w:t>
      </w:r>
      <w:r w:rsidR="002914EC">
        <w:rPr>
          <w:rFonts w:ascii="David" w:eastAsia="Calibri" w:hAnsi="David" w:cs="David" w:hint="cs"/>
          <w:sz w:val="24"/>
          <w:szCs w:val="24"/>
          <w:rtl/>
          <w14:ligatures w14:val="none"/>
        </w:rPr>
        <w:t xml:space="preserve">על אף שבסיום הדיון הוחלט כי הצדדים יקיימו הדברות ביניהם, כל </w:t>
      </w:r>
      <w:r w:rsidR="00690005">
        <w:rPr>
          <w:rFonts w:ascii="David" w:eastAsia="Calibri" w:hAnsi="David" w:cs="David" w:hint="cs"/>
          <w:sz w:val="24"/>
          <w:szCs w:val="24"/>
          <w:rtl/>
          <w14:ligatures w14:val="none"/>
        </w:rPr>
        <w:t>ניסיונותיהן</w:t>
      </w:r>
      <w:r w:rsidR="002914EC">
        <w:rPr>
          <w:rFonts w:ascii="David" w:eastAsia="Calibri" w:hAnsi="David" w:cs="David" w:hint="cs"/>
          <w:sz w:val="24"/>
          <w:szCs w:val="24"/>
          <w:rtl/>
          <w14:ligatures w14:val="none"/>
        </w:rPr>
        <w:t xml:space="preserve"> לפנות לוועדה המקומית על מנת לנסות לה</w:t>
      </w:r>
      <w:r w:rsidR="00690005">
        <w:rPr>
          <w:rFonts w:ascii="David" w:eastAsia="Calibri" w:hAnsi="David" w:cs="David" w:hint="cs"/>
          <w:sz w:val="24"/>
          <w:szCs w:val="24"/>
          <w:rtl/>
          <w14:ligatures w14:val="none"/>
        </w:rPr>
        <w:t>י</w:t>
      </w:r>
      <w:r w:rsidR="002914EC">
        <w:rPr>
          <w:rFonts w:ascii="David" w:eastAsia="Calibri" w:hAnsi="David" w:cs="David" w:hint="cs"/>
          <w:sz w:val="24"/>
          <w:szCs w:val="24"/>
          <w:rtl/>
          <w14:ligatures w14:val="none"/>
        </w:rPr>
        <w:t>דבר עלו בתוהו.</w:t>
      </w:r>
    </w:p>
    <w:p w14:paraId="2579523B" w14:textId="77777777" w:rsidR="00990AC2" w:rsidRDefault="002914EC" w:rsidP="006A51E7">
      <w:pPr>
        <w:numPr>
          <w:ilvl w:val="0"/>
          <w:numId w:val="1"/>
        </w:numPr>
        <w:spacing w:before="100" w:beforeAutospacing="1" w:line="360" w:lineRule="auto"/>
        <w:ind w:left="90" w:hanging="425"/>
        <w:jc w:val="both"/>
        <w:rPr>
          <w:rFonts w:ascii="David" w:eastAsia="Calibri" w:hAnsi="David" w:cs="David"/>
          <w:sz w:val="24"/>
          <w:szCs w:val="24"/>
          <w14:ligatures w14:val="none"/>
        </w:rPr>
      </w:pPr>
      <w:r>
        <w:rPr>
          <w:rFonts w:ascii="David" w:eastAsia="Calibri" w:hAnsi="David" w:cs="David" w:hint="cs"/>
          <w:sz w:val="24"/>
          <w:szCs w:val="24"/>
          <w:rtl/>
          <w14:ligatures w14:val="none"/>
        </w:rPr>
        <w:t xml:space="preserve">העוררות טענו עוד כי </w:t>
      </w:r>
      <w:r w:rsidR="00990AC2">
        <w:rPr>
          <w:rFonts w:ascii="David" w:eastAsia="Calibri" w:hAnsi="David" w:cs="David" w:hint="cs"/>
          <w:sz w:val="24"/>
          <w:szCs w:val="24"/>
          <w:rtl/>
          <w14:ligatures w14:val="none"/>
        </w:rPr>
        <w:t xml:space="preserve">הוועדה </w:t>
      </w:r>
      <w:r>
        <w:rPr>
          <w:rFonts w:ascii="David" w:eastAsia="Calibri" w:hAnsi="David" w:cs="David" w:hint="cs"/>
          <w:sz w:val="24"/>
          <w:szCs w:val="24"/>
          <w:rtl/>
          <w14:ligatures w14:val="none"/>
        </w:rPr>
        <w:t xml:space="preserve">הגישה התייחסות חד צדדית, בניגוד לסדרי הדין, בה היא </w:t>
      </w:r>
      <w:r w:rsidR="00990AC2">
        <w:rPr>
          <w:rFonts w:ascii="David" w:eastAsia="Calibri" w:hAnsi="David" w:cs="David" w:hint="cs"/>
          <w:sz w:val="24"/>
          <w:szCs w:val="24"/>
          <w:rtl/>
          <w14:ligatures w14:val="none"/>
        </w:rPr>
        <w:t>מנסה, בחוסר תם לב, לבצע מקצה שיפורים ובמסגרת התייחסותה הוסיפה טענות נוספות אשר לא נטענו קודם לכן ומהוות הרחבת חזית אסורה. גם ההפניה לתכנית 55 אינה רלבנטית לענייננו וממילא טרם הועלתה טענה זו בהליכים שהתקיימו עד למועד זה.</w:t>
      </w:r>
    </w:p>
    <w:p w14:paraId="3A545B21" w14:textId="77777777" w:rsidR="00990AC2" w:rsidRPr="007A06FD" w:rsidRDefault="00990AC2" w:rsidP="006A51E7">
      <w:pPr>
        <w:numPr>
          <w:ilvl w:val="0"/>
          <w:numId w:val="1"/>
        </w:numPr>
        <w:spacing w:before="100" w:beforeAutospacing="1" w:line="360" w:lineRule="auto"/>
        <w:ind w:left="90" w:hanging="425"/>
        <w:jc w:val="both"/>
        <w:rPr>
          <w:rFonts w:ascii="David" w:eastAsia="Calibri" w:hAnsi="David" w:cs="David"/>
          <w:sz w:val="24"/>
          <w:szCs w:val="24"/>
          <w14:ligatures w14:val="none"/>
        </w:rPr>
      </w:pPr>
      <w:r w:rsidRPr="007A06FD">
        <w:rPr>
          <w:rFonts w:ascii="David" w:eastAsia="Calibri" w:hAnsi="David" w:cs="David" w:hint="eastAsia"/>
          <w:sz w:val="24"/>
          <w:szCs w:val="24"/>
          <w:rtl/>
          <w14:ligatures w14:val="none"/>
        </w:rPr>
        <w:t>העוררות</w:t>
      </w:r>
      <w:r w:rsidRPr="007A06FD">
        <w:rPr>
          <w:rFonts w:ascii="David" w:eastAsia="Calibri" w:hAnsi="David" w:cs="David"/>
          <w:sz w:val="24"/>
          <w:szCs w:val="24"/>
          <w:rtl/>
          <w14:ligatures w14:val="none"/>
        </w:rPr>
        <w:t xml:space="preserve"> טוענות כי הוועדה המקומית אף הוסיפה טיעון חדש ביחס לתכנית </w:t>
      </w:r>
      <w:r w:rsidRPr="00346D36">
        <w:rPr>
          <w:rFonts w:ascii="David" w:eastAsia="Calibri" w:hAnsi="David" w:cs="David"/>
          <w:sz w:val="24"/>
          <w:szCs w:val="24"/>
          <w14:ligatures w14:val="none"/>
        </w:rPr>
        <w:t>F</w:t>
      </w:r>
      <w:r w:rsidRPr="00A84B35">
        <w:rPr>
          <w:rFonts w:ascii="David" w:eastAsia="Calibri" w:hAnsi="David" w:cs="David"/>
          <w:sz w:val="24"/>
          <w:szCs w:val="24"/>
          <w:rtl/>
          <w14:ligatures w14:val="none"/>
        </w:rPr>
        <w:t xml:space="preserve"> לפיו לצורך הוצאת היתר בניה בתחומה יש צורך באישור </w:t>
      </w:r>
      <w:r w:rsidRPr="00386BA6">
        <w:rPr>
          <w:rFonts w:ascii="David" w:eastAsia="Calibri" w:hAnsi="David" w:cs="David" w:hint="eastAsia"/>
          <w:sz w:val="24"/>
          <w:szCs w:val="24"/>
          <w:rtl/>
          <w14:ligatures w14:val="none"/>
        </w:rPr>
        <w:t>תשריט</w:t>
      </w:r>
      <w:r w:rsidRPr="00386BA6">
        <w:rPr>
          <w:rFonts w:ascii="David" w:eastAsia="Calibri" w:hAnsi="David" w:cs="David"/>
          <w:sz w:val="24"/>
          <w:szCs w:val="24"/>
          <w:rtl/>
          <w14:ligatures w14:val="none"/>
        </w:rPr>
        <w:t xml:space="preserve"> איחוד וחלוקה לפי סעיף 137 לחוק שהינו בשיקול דעת הוועדה המקומית.</w:t>
      </w:r>
      <w:r w:rsidR="001D6CE7" w:rsidRPr="006A51E7">
        <w:rPr>
          <w:rFonts w:ascii="David" w:eastAsia="Calibri" w:hAnsi="David" w:cs="David"/>
          <w:sz w:val="24"/>
          <w:szCs w:val="24"/>
          <w:rtl/>
          <w14:ligatures w14:val="none"/>
        </w:rPr>
        <w:t xml:space="preserve"> </w:t>
      </w:r>
    </w:p>
    <w:p w14:paraId="5138D595" w14:textId="77777777" w:rsidR="00520E9C" w:rsidRDefault="00F613BE" w:rsidP="001A2596">
      <w:pPr>
        <w:numPr>
          <w:ilvl w:val="0"/>
          <w:numId w:val="1"/>
        </w:numPr>
        <w:spacing w:before="100" w:beforeAutospacing="1" w:line="360" w:lineRule="auto"/>
        <w:ind w:left="90" w:hanging="425"/>
        <w:jc w:val="both"/>
        <w:rPr>
          <w:rFonts w:ascii="David" w:eastAsia="Calibri" w:hAnsi="David" w:cs="David"/>
          <w:sz w:val="24"/>
          <w:szCs w:val="24"/>
          <w14:ligatures w14:val="none"/>
        </w:rPr>
      </w:pPr>
      <w:r>
        <w:rPr>
          <w:rFonts w:ascii="David" w:eastAsia="Calibri" w:hAnsi="David" w:cs="David" w:hint="cs"/>
          <w:sz w:val="24"/>
          <w:szCs w:val="24"/>
          <w:rtl/>
          <w14:ligatures w14:val="none"/>
        </w:rPr>
        <w:t xml:space="preserve">נוכח תגובות הצדדים </w:t>
      </w:r>
      <w:r w:rsidR="00650C7E">
        <w:rPr>
          <w:rFonts w:ascii="David" w:eastAsia="Calibri" w:hAnsi="David" w:cs="David" w:hint="cs"/>
          <w:sz w:val="24"/>
          <w:szCs w:val="24"/>
          <w:rtl/>
          <w14:ligatures w14:val="none"/>
        </w:rPr>
        <w:t xml:space="preserve">ניתנה החלטת יו"ר ועדת הערר </w:t>
      </w:r>
      <w:r w:rsidR="00774C68">
        <w:rPr>
          <w:rFonts w:ascii="David" w:eastAsia="Calibri" w:hAnsi="David" w:cs="David" w:hint="cs"/>
          <w:sz w:val="24"/>
          <w:szCs w:val="24"/>
          <w:rtl/>
          <w14:ligatures w14:val="none"/>
        </w:rPr>
        <w:t xml:space="preserve">ולאחריה </w:t>
      </w:r>
      <w:r w:rsidR="00990AC2">
        <w:rPr>
          <w:rFonts w:ascii="David" w:eastAsia="Calibri" w:hAnsi="David" w:cs="David" w:hint="cs"/>
          <w:sz w:val="24"/>
          <w:szCs w:val="24"/>
          <w:rtl/>
          <w14:ligatures w14:val="none"/>
        </w:rPr>
        <w:t xml:space="preserve">הגישה הוועדה המקומית התייחסות </w:t>
      </w:r>
      <w:r w:rsidR="00650C7E">
        <w:rPr>
          <w:rFonts w:ascii="David" w:eastAsia="Calibri" w:hAnsi="David" w:cs="David" w:hint="cs"/>
          <w:sz w:val="24"/>
          <w:szCs w:val="24"/>
          <w:rtl/>
          <w14:ligatures w14:val="none"/>
        </w:rPr>
        <w:t>להחלטת יו"ר ועדת הערר</w:t>
      </w:r>
      <w:r w:rsidR="002914EC">
        <w:rPr>
          <w:rFonts w:ascii="David" w:eastAsia="Calibri" w:hAnsi="David" w:cs="David" w:hint="cs"/>
          <w:sz w:val="24"/>
          <w:szCs w:val="24"/>
          <w:rtl/>
          <w14:ligatures w14:val="none"/>
        </w:rPr>
        <w:t>.</w:t>
      </w:r>
      <w:r w:rsidR="00650C7E">
        <w:rPr>
          <w:rFonts w:ascii="David" w:eastAsia="Calibri" w:hAnsi="David" w:cs="David" w:hint="cs"/>
          <w:sz w:val="24"/>
          <w:szCs w:val="24"/>
          <w:rtl/>
          <w14:ligatures w14:val="none"/>
        </w:rPr>
        <w:t xml:space="preserve"> </w:t>
      </w:r>
    </w:p>
    <w:p w14:paraId="0C6691BE" w14:textId="1A03E842" w:rsidR="00990AC2" w:rsidRDefault="00F9486A" w:rsidP="006A51E7">
      <w:pPr>
        <w:numPr>
          <w:ilvl w:val="0"/>
          <w:numId w:val="1"/>
        </w:numPr>
        <w:spacing w:before="100" w:beforeAutospacing="1" w:line="360" w:lineRule="auto"/>
        <w:ind w:left="90" w:hanging="425"/>
        <w:jc w:val="both"/>
        <w:rPr>
          <w:rFonts w:ascii="David" w:eastAsia="Calibri" w:hAnsi="David" w:cs="David"/>
          <w:sz w:val="24"/>
          <w:szCs w:val="24"/>
          <w14:ligatures w14:val="none"/>
        </w:rPr>
      </w:pPr>
      <w:r>
        <w:rPr>
          <w:rFonts w:ascii="David" w:eastAsia="Calibri" w:hAnsi="David" w:cs="David" w:hint="cs"/>
          <w:sz w:val="24"/>
          <w:szCs w:val="24"/>
          <w:rtl/>
          <w14:ligatures w14:val="none"/>
        </w:rPr>
        <w:t xml:space="preserve">הוועדה המקומית הבהירה את עמדתה ביחס לסוגיית המטלות הציבוריות וסוגיית המע"מ תוך שהיא מביעה הסכמה לחלק מטענות העוררות. </w:t>
      </w:r>
      <w:r w:rsidR="009A2BAA">
        <w:rPr>
          <w:rFonts w:ascii="David" w:eastAsia="Calibri" w:hAnsi="David" w:cs="David" w:hint="cs"/>
          <w:sz w:val="24"/>
          <w:szCs w:val="24"/>
          <w:rtl/>
          <w14:ligatures w14:val="none"/>
        </w:rPr>
        <w:t xml:space="preserve">ביחס לנושאים הנותרים, הוועדה המקומית </w:t>
      </w:r>
      <w:r w:rsidR="00690005">
        <w:rPr>
          <w:rFonts w:ascii="David" w:eastAsia="Calibri" w:hAnsi="David" w:cs="David" w:hint="cs"/>
          <w:sz w:val="24"/>
          <w:szCs w:val="24"/>
          <w:rtl/>
          <w14:ligatures w14:val="none"/>
        </w:rPr>
        <w:t xml:space="preserve">טענה </w:t>
      </w:r>
      <w:r w:rsidR="009A2BAA">
        <w:rPr>
          <w:rFonts w:ascii="David" w:eastAsia="Calibri" w:hAnsi="David" w:cs="David" w:hint="cs"/>
          <w:sz w:val="24"/>
          <w:szCs w:val="24"/>
          <w:rtl/>
          <w14:ligatures w14:val="none"/>
        </w:rPr>
        <w:t xml:space="preserve">כי </w:t>
      </w:r>
      <w:r w:rsidR="00C21637">
        <w:rPr>
          <w:rFonts w:ascii="David" w:eastAsia="Calibri" w:hAnsi="David" w:cs="David" w:hint="cs"/>
          <w:sz w:val="24"/>
          <w:szCs w:val="24"/>
          <w:rtl/>
          <w14:ligatures w14:val="none"/>
        </w:rPr>
        <w:t>מלבד הסוגיות בהן שינתה את עמדתה, היא ממילא</w:t>
      </w:r>
      <w:r w:rsidR="009A2BAA">
        <w:rPr>
          <w:rFonts w:ascii="David" w:eastAsia="Calibri" w:hAnsi="David" w:cs="David" w:hint="cs"/>
          <w:sz w:val="24"/>
          <w:szCs w:val="24"/>
          <w:rtl/>
          <w14:ligatures w14:val="none"/>
        </w:rPr>
        <w:t xml:space="preserve"> אינה מסכימה להידברות</w:t>
      </w:r>
      <w:r w:rsidR="00345E00">
        <w:rPr>
          <w:rFonts w:ascii="David" w:eastAsia="Calibri" w:hAnsi="David" w:cs="David" w:hint="cs"/>
          <w:sz w:val="24"/>
          <w:szCs w:val="24"/>
          <w:rtl/>
          <w14:ligatures w14:val="none"/>
        </w:rPr>
        <w:t xml:space="preserve"> ביתר הסוגיות </w:t>
      </w:r>
      <w:r w:rsidR="009A2BAA">
        <w:rPr>
          <w:rFonts w:ascii="David" w:eastAsia="Calibri" w:hAnsi="David" w:cs="David" w:hint="cs"/>
          <w:sz w:val="24"/>
          <w:szCs w:val="24"/>
          <w:rtl/>
          <w14:ligatures w14:val="none"/>
        </w:rPr>
        <w:t>ועל כן לא ראתה צורך לפנות לעוררים בעניין זה.</w:t>
      </w:r>
    </w:p>
    <w:p w14:paraId="55F1ECFB" w14:textId="77777777" w:rsidR="005C1BB3" w:rsidRDefault="005C1BB3" w:rsidP="006A51E7">
      <w:pPr>
        <w:numPr>
          <w:ilvl w:val="0"/>
          <w:numId w:val="1"/>
        </w:numPr>
        <w:spacing w:before="100" w:beforeAutospacing="1" w:line="360" w:lineRule="auto"/>
        <w:ind w:left="90" w:hanging="425"/>
        <w:jc w:val="both"/>
        <w:rPr>
          <w:rFonts w:ascii="David" w:eastAsia="Calibri" w:hAnsi="David" w:cs="David"/>
          <w:sz w:val="24"/>
          <w:szCs w:val="24"/>
          <w14:ligatures w14:val="none"/>
        </w:rPr>
      </w:pPr>
      <w:r>
        <w:rPr>
          <w:rFonts w:ascii="David" w:eastAsia="Calibri" w:hAnsi="David" w:cs="David" w:hint="cs"/>
          <w:sz w:val="24"/>
          <w:szCs w:val="24"/>
          <w:rtl/>
          <w14:ligatures w14:val="none"/>
        </w:rPr>
        <w:t xml:space="preserve">הוועדה המקומית טוענת כי טענותיה בעניין מגרשי 2000 אינן מהוות הרחבת חזית אלא בהשלמה </w:t>
      </w:r>
      <w:r w:rsidR="00AD78BC">
        <w:rPr>
          <w:rFonts w:ascii="David" w:eastAsia="Calibri" w:hAnsi="David" w:cs="David" w:hint="cs"/>
          <w:sz w:val="24"/>
          <w:szCs w:val="24"/>
          <w:rtl/>
          <w14:ligatures w14:val="none"/>
        </w:rPr>
        <w:t xml:space="preserve">בעקבות שאלות חברי ועדת הערר </w:t>
      </w:r>
      <w:r>
        <w:rPr>
          <w:rFonts w:ascii="David" w:eastAsia="Calibri" w:hAnsi="David" w:cs="David" w:hint="cs"/>
          <w:sz w:val="24"/>
          <w:szCs w:val="24"/>
          <w:rtl/>
          <w14:ligatures w14:val="none"/>
        </w:rPr>
        <w:t xml:space="preserve">שנועדה לתת את מלוא התמונה התכנונית והעובדתית. </w:t>
      </w:r>
    </w:p>
    <w:p w14:paraId="3D1D338C" w14:textId="77777777" w:rsidR="005C1BB3" w:rsidRDefault="00343B14" w:rsidP="006A51E7">
      <w:pPr>
        <w:numPr>
          <w:ilvl w:val="0"/>
          <w:numId w:val="1"/>
        </w:numPr>
        <w:spacing w:before="100" w:beforeAutospacing="1" w:line="360" w:lineRule="auto"/>
        <w:ind w:left="90" w:hanging="425"/>
        <w:jc w:val="both"/>
        <w:rPr>
          <w:rFonts w:ascii="David" w:eastAsia="Calibri" w:hAnsi="David" w:cs="David"/>
          <w:sz w:val="24"/>
          <w:szCs w:val="24"/>
          <w14:ligatures w14:val="none"/>
        </w:rPr>
      </w:pPr>
      <w:r>
        <w:rPr>
          <w:rFonts w:ascii="David" w:eastAsia="Calibri" w:hAnsi="David" w:cs="David" w:hint="cs"/>
          <w:sz w:val="24"/>
          <w:szCs w:val="24"/>
          <w:rtl/>
          <w14:ligatures w14:val="none"/>
        </w:rPr>
        <w:t xml:space="preserve">נוכח </w:t>
      </w:r>
      <w:r w:rsidR="00690005">
        <w:rPr>
          <w:rFonts w:ascii="David" w:eastAsia="Calibri" w:hAnsi="David" w:cs="David" w:hint="cs"/>
          <w:sz w:val="24"/>
          <w:szCs w:val="24"/>
          <w:rtl/>
          <w14:ligatures w14:val="none"/>
        </w:rPr>
        <w:t xml:space="preserve">התייחסות </w:t>
      </w:r>
      <w:r>
        <w:rPr>
          <w:rFonts w:ascii="David" w:eastAsia="Calibri" w:hAnsi="David" w:cs="David" w:hint="cs"/>
          <w:sz w:val="24"/>
          <w:szCs w:val="24"/>
          <w:rtl/>
          <w14:ligatures w14:val="none"/>
        </w:rPr>
        <w:t>הוועדה המקומית</w:t>
      </w:r>
      <w:r w:rsidR="005C1BB3">
        <w:rPr>
          <w:rFonts w:ascii="David" w:eastAsia="Calibri" w:hAnsi="David" w:cs="David" w:hint="cs"/>
          <w:sz w:val="24"/>
          <w:szCs w:val="24"/>
          <w:rtl/>
          <w14:ligatures w14:val="none"/>
        </w:rPr>
        <w:t xml:space="preserve"> הגיש</w:t>
      </w:r>
      <w:r w:rsidR="00AD78BC">
        <w:rPr>
          <w:rFonts w:ascii="David" w:eastAsia="Calibri" w:hAnsi="David" w:cs="David" w:hint="cs"/>
          <w:sz w:val="24"/>
          <w:szCs w:val="24"/>
          <w:rtl/>
          <w14:ligatures w14:val="none"/>
        </w:rPr>
        <w:t>ו העוררות תגובה</w:t>
      </w:r>
      <w:r w:rsidR="00690005">
        <w:rPr>
          <w:rFonts w:ascii="David" w:eastAsia="Calibri" w:hAnsi="David" w:cs="David" w:hint="cs"/>
          <w:sz w:val="24"/>
          <w:szCs w:val="24"/>
          <w:rtl/>
          <w14:ligatures w14:val="none"/>
        </w:rPr>
        <w:t>.</w:t>
      </w:r>
      <w:r w:rsidR="00AD78BC">
        <w:rPr>
          <w:rFonts w:ascii="David" w:eastAsia="Calibri" w:hAnsi="David" w:cs="David" w:hint="cs"/>
          <w:sz w:val="24"/>
          <w:szCs w:val="24"/>
          <w:rtl/>
          <w14:ligatures w14:val="none"/>
        </w:rPr>
        <w:t xml:space="preserve"> העוררות </w:t>
      </w:r>
      <w:r w:rsidR="00690005">
        <w:rPr>
          <w:rFonts w:ascii="David" w:eastAsia="Calibri" w:hAnsi="David" w:cs="David" w:hint="cs"/>
          <w:sz w:val="24"/>
          <w:szCs w:val="24"/>
          <w:rtl/>
          <w14:ligatures w14:val="none"/>
        </w:rPr>
        <w:t xml:space="preserve">טענו </w:t>
      </w:r>
      <w:r w:rsidR="00AD78BC">
        <w:rPr>
          <w:rFonts w:ascii="David" w:eastAsia="Calibri" w:hAnsi="David" w:cs="David" w:hint="cs"/>
          <w:sz w:val="24"/>
          <w:szCs w:val="24"/>
          <w:rtl/>
          <w14:ligatures w14:val="none"/>
        </w:rPr>
        <w:t>כי בניגוד לטענת הוועדה המקומית, היא לא התבקשה להגיש השלמת טיעון בסוגיית מגרשי 2000 והשאלות שנשאלו במהלך הדיון נדונו במועד הדיון ומשכך יש להורות על מחיקת הטענות החדשות שהועלו על ידי הוועדה המקומית בהתייחסותה.</w:t>
      </w:r>
    </w:p>
    <w:p w14:paraId="244F5DF3" w14:textId="77777777" w:rsidR="00702036" w:rsidRPr="00702036" w:rsidRDefault="00343B14" w:rsidP="006A51E7">
      <w:pPr>
        <w:numPr>
          <w:ilvl w:val="0"/>
          <w:numId w:val="1"/>
        </w:numPr>
        <w:spacing w:before="100" w:beforeAutospacing="1" w:line="360" w:lineRule="auto"/>
        <w:ind w:left="90" w:hanging="425"/>
        <w:jc w:val="both"/>
        <w:rPr>
          <w:rFonts w:ascii="David" w:eastAsia="Calibri" w:hAnsi="David" w:cs="David"/>
          <w:sz w:val="24"/>
          <w:szCs w:val="24"/>
          <w14:ligatures w14:val="none"/>
        </w:rPr>
      </w:pPr>
      <w:r>
        <w:rPr>
          <w:rFonts w:ascii="David" w:eastAsia="Calibri" w:hAnsi="David" w:cs="David" w:hint="cs"/>
          <w:sz w:val="24"/>
          <w:szCs w:val="24"/>
          <w:rtl/>
          <w14:ligatures w14:val="none"/>
        </w:rPr>
        <w:t xml:space="preserve">לאחר הודעה זו </w:t>
      </w:r>
      <w:r w:rsidR="00702036" w:rsidRPr="00702036">
        <w:rPr>
          <w:rFonts w:ascii="David" w:eastAsia="Calibri" w:hAnsi="David" w:cs="David" w:hint="cs"/>
          <w:sz w:val="24"/>
          <w:szCs w:val="24"/>
          <w:rtl/>
          <w14:ligatures w14:val="none"/>
        </w:rPr>
        <w:t xml:space="preserve">הגישה הוועדה המקומית בקשה להוספת אסמכתא </w:t>
      </w:r>
      <w:r w:rsidR="00702036" w:rsidRPr="00702036">
        <w:rPr>
          <w:rFonts w:ascii="David" w:eastAsia="Calibri" w:hAnsi="David" w:cs="David"/>
          <w:sz w:val="24"/>
          <w:szCs w:val="24"/>
          <w:rtl/>
          <w14:ligatures w14:val="none"/>
        </w:rPr>
        <w:t>–</w:t>
      </w:r>
      <w:r w:rsidR="00702036" w:rsidRPr="00702036">
        <w:rPr>
          <w:rFonts w:ascii="David" w:eastAsia="Calibri" w:hAnsi="David" w:cs="David" w:hint="cs"/>
          <w:sz w:val="24"/>
          <w:szCs w:val="24"/>
          <w:rtl/>
          <w14:ligatures w14:val="none"/>
        </w:rPr>
        <w:t xml:space="preserve"> פסק </w:t>
      </w:r>
      <w:r w:rsidR="00702036">
        <w:rPr>
          <w:rFonts w:ascii="David" w:eastAsia="Calibri" w:hAnsi="David" w:cs="David" w:hint="cs"/>
          <w:sz w:val="24"/>
          <w:szCs w:val="24"/>
          <w:rtl/>
          <w14:ligatures w14:val="none"/>
        </w:rPr>
        <w:t xml:space="preserve">הדין בעניין </w:t>
      </w:r>
      <w:proofErr w:type="spellStart"/>
      <w:r w:rsidR="00702036" w:rsidRPr="00702036">
        <w:rPr>
          <w:rFonts w:ascii="David" w:eastAsia="Calibri" w:hAnsi="David" w:cs="David" w:hint="cs"/>
          <w:b/>
          <w:bCs/>
          <w:sz w:val="24"/>
          <w:szCs w:val="24"/>
          <w:rtl/>
          <w14:ligatures w14:val="none"/>
        </w:rPr>
        <w:t>נת"ע</w:t>
      </w:r>
      <w:proofErr w:type="spellEnd"/>
      <w:r w:rsidR="00702036">
        <w:rPr>
          <w:rStyle w:val="af0"/>
          <w:rFonts w:ascii="David" w:eastAsia="Calibri" w:hAnsi="David" w:cs="David"/>
          <w:sz w:val="24"/>
          <w:szCs w:val="24"/>
          <w:rtl/>
          <w14:ligatures w14:val="none"/>
        </w:rPr>
        <w:footnoteReference w:id="1"/>
      </w:r>
      <w:r w:rsidR="00702036">
        <w:rPr>
          <w:rFonts w:ascii="David" w:eastAsia="Calibri" w:hAnsi="David" w:cs="David" w:hint="cs"/>
          <w:sz w:val="24"/>
          <w:szCs w:val="24"/>
          <w:rtl/>
          <w14:ligatures w14:val="none"/>
        </w:rPr>
        <w:t xml:space="preserve">. הוועדה המקומית טוענת כי בעניין </w:t>
      </w:r>
      <w:proofErr w:type="spellStart"/>
      <w:r w:rsidR="00702036">
        <w:rPr>
          <w:rFonts w:ascii="David" w:eastAsia="Calibri" w:hAnsi="David" w:cs="David" w:hint="cs"/>
          <w:sz w:val="24"/>
          <w:szCs w:val="24"/>
          <w:rtl/>
          <w14:ligatures w14:val="none"/>
        </w:rPr>
        <w:t>נת"ע</w:t>
      </w:r>
      <w:proofErr w:type="spellEnd"/>
      <w:r w:rsidR="00702036">
        <w:rPr>
          <w:rFonts w:ascii="David" w:eastAsia="Calibri" w:hAnsi="David" w:cs="David" w:hint="cs"/>
          <w:sz w:val="24"/>
          <w:szCs w:val="24"/>
          <w:rtl/>
          <w14:ligatures w14:val="none"/>
        </w:rPr>
        <w:t xml:space="preserve"> נקבע כי ועדת הערר שגתה כשהתערבה בשומה מכרעת בנוגע למקדם דחי</w:t>
      </w:r>
      <w:r w:rsidR="00457BCD">
        <w:rPr>
          <w:rFonts w:ascii="David" w:eastAsia="Calibri" w:hAnsi="David" w:cs="David" w:hint="cs"/>
          <w:sz w:val="24"/>
          <w:szCs w:val="24"/>
          <w:rtl/>
          <w14:ligatures w14:val="none"/>
        </w:rPr>
        <w:t xml:space="preserve">יה לניצול הזכויות לפי תכנית יפו </w:t>
      </w:r>
      <w:r w:rsidR="00457BCD">
        <w:rPr>
          <w:rFonts w:ascii="David" w:eastAsia="Calibri" w:hAnsi="David" w:cs="David"/>
          <w:sz w:val="24"/>
          <w:szCs w:val="24"/>
          <w14:ligatures w14:val="none"/>
        </w:rPr>
        <w:t>A</w:t>
      </w:r>
      <w:r w:rsidR="00457BCD">
        <w:rPr>
          <w:rFonts w:ascii="David" w:eastAsia="Calibri" w:hAnsi="David" w:cs="David" w:hint="cs"/>
          <w:sz w:val="24"/>
          <w:szCs w:val="24"/>
          <w:rtl/>
          <w14:ligatures w14:val="none"/>
        </w:rPr>
        <w:t xml:space="preserve"> במצב הקודם לתכנית הפוגעת.</w:t>
      </w:r>
    </w:p>
    <w:p w14:paraId="13D3EFD3" w14:textId="77777777" w:rsidR="00990AC2" w:rsidRDefault="00AD78BC" w:rsidP="006A51E7">
      <w:pPr>
        <w:numPr>
          <w:ilvl w:val="0"/>
          <w:numId w:val="1"/>
        </w:numPr>
        <w:spacing w:before="100" w:beforeAutospacing="1" w:line="360" w:lineRule="auto"/>
        <w:ind w:left="90" w:hanging="425"/>
        <w:jc w:val="both"/>
        <w:rPr>
          <w:rFonts w:ascii="David" w:eastAsia="Calibri" w:hAnsi="David" w:cs="David"/>
          <w:sz w:val="24"/>
          <w:szCs w:val="24"/>
          <w14:ligatures w14:val="none"/>
        </w:rPr>
      </w:pPr>
      <w:r>
        <w:rPr>
          <w:rFonts w:ascii="David" w:eastAsia="Calibri" w:hAnsi="David" w:cs="David" w:hint="cs"/>
          <w:sz w:val="24"/>
          <w:szCs w:val="24"/>
          <w:rtl/>
          <w14:ligatures w14:val="none"/>
        </w:rPr>
        <w:t xml:space="preserve">העוררות </w:t>
      </w:r>
      <w:r w:rsidR="0033222B">
        <w:rPr>
          <w:rFonts w:ascii="David" w:eastAsia="Calibri" w:hAnsi="David" w:cs="David" w:hint="cs"/>
          <w:sz w:val="24"/>
          <w:szCs w:val="24"/>
          <w:rtl/>
          <w14:ligatures w14:val="none"/>
        </w:rPr>
        <w:t xml:space="preserve">הגישו </w:t>
      </w:r>
      <w:r>
        <w:rPr>
          <w:rFonts w:ascii="David" w:eastAsia="Calibri" w:hAnsi="David" w:cs="David" w:hint="cs"/>
          <w:sz w:val="24"/>
          <w:szCs w:val="24"/>
          <w:rtl/>
          <w14:ligatures w14:val="none"/>
        </w:rPr>
        <w:t>את תגובתן לבקשה. העוררות אינן מתנגדות להוספת האסמכתא אולם טענו כי הדרך בה נוקטת הוועדה המקומית, שמביאה ציטוטים מגמתיים מפסק הדין ורומזת על מקדם דחיה ארוך כנקוב בשומה נשוא פסק הדין, אינה ראויה ומהווה המשך ישיר להתנהלותה המקוממת של הוועדה.</w:t>
      </w:r>
    </w:p>
    <w:p w14:paraId="44A41C23" w14:textId="77777777" w:rsidR="00AD78BC" w:rsidRDefault="00AD78BC" w:rsidP="006A51E7">
      <w:pPr>
        <w:numPr>
          <w:ilvl w:val="0"/>
          <w:numId w:val="1"/>
        </w:numPr>
        <w:spacing w:before="100" w:beforeAutospacing="1" w:line="360" w:lineRule="auto"/>
        <w:ind w:left="90" w:hanging="425"/>
        <w:jc w:val="both"/>
        <w:rPr>
          <w:rFonts w:ascii="David" w:eastAsia="Calibri" w:hAnsi="David" w:cs="David"/>
          <w:sz w:val="24"/>
          <w:szCs w:val="24"/>
          <w14:ligatures w14:val="none"/>
        </w:rPr>
      </w:pPr>
      <w:r>
        <w:rPr>
          <w:rFonts w:ascii="David" w:eastAsia="Calibri" w:hAnsi="David" w:cs="David" w:hint="cs"/>
          <w:sz w:val="24"/>
          <w:szCs w:val="24"/>
          <w:rtl/>
          <w14:ligatures w14:val="none"/>
        </w:rPr>
        <w:lastRenderedPageBreak/>
        <w:t xml:space="preserve">העוררות טוענות כי פסק הדין המצורף דווקא מחזק את עמדתן שכן בניגוד למקרה שלפנינו, פסק הדין עסק בתכנית יפו </w:t>
      </w:r>
      <w:r>
        <w:rPr>
          <w:rFonts w:ascii="David" w:eastAsia="Calibri" w:hAnsi="David" w:cs="David"/>
          <w:sz w:val="24"/>
          <w:szCs w:val="24"/>
          <w14:ligatures w14:val="none"/>
        </w:rPr>
        <w:t>A</w:t>
      </w:r>
      <w:r>
        <w:rPr>
          <w:rFonts w:ascii="David" w:eastAsia="Calibri" w:hAnsi="David" w:cs="David" w:hint="cs"/>
          <w:sz w:val="24"/>
          <w:szCs w:val="24"/>
          <w:rtl/>
          <w14:ligatures w14:val="none"/>
        </w:rPr>
        <w:t xml:space="preserve"> אשר לא מומשה במשך למעלה מ-70 שנה. כמו כן טוענות העוררות כי פסק הדין אינו קובע כי ועדת הערר אינה רשאית להתערב בקביעת השמאי המכריע מקום בו השמאי המכריע שגה טעות מהותית בנוגע לזמינות זכויות הבניה.</w:t>
      </w:r>
    </w:p>
    <w:p w14:paraId="66D8442D" w14:textId="77777777" w:rsidR="001A2596" w:rsidRDefault="00511999" w:rsidP="001A2596">
      <w:pPr>
        <w:spacing w:before="100" w:beforeAutospacing="1" w:line="360" w:lineRule="auto"/>
        <w:ind w:left="90" w:hanging="425"/>
        <w:rPr>
          <w:rFonts w:ascii="David" w:eastAsia="Calibri" w:hAnsi="David" w:cs="David"/>
          <w:b/>
          <w:bCs/>
          <w:color w:val="000000"/>
          <w:sz w:val="28"/>
          <w:szCs w:val="28"/>
          <w:u w:val="single"/>
          <w:rtl/>
          <w14:ligatures w14:val="none"/>
        </w:rPr>
      </w:pPr>
      <w:r w:rsidRPr="00863BF7">
        <w:rPr>
          <w:rFonts w:ascii="David" w:eastAsia="Calibri" w:hAnsi="David" w:cs="David" w:hint="eastAsia"/>
          <w:b/>
          <w:bCs/>
          <w:color w:val="000000"/>
          <w:sz w:val="28"/>
          <w:szCs w:val="28"/>
          <w:u w:val="single"/>
          <w:rtl/>
          <w14:ligatures w14:val="none"/>
        </w:rPr>
        <w:t>הסוגיות</w:t>
      </w:r>
      <w:r w:rsidRPr="00863BF7">
        <w:rPr>
          <w:rFonts w:ascii="David" w:eastAsia="Calibri" w:hAnsi="David" w:cs="David"/>
          <w:b/>
          <w:bCs/>
          <w:color w:val="000000"/>
          <w:sz w:val="28"/>
          <w:szCs w:val="28"/>
          <w:u w:val="single"/>
          <w:rtl/>
          <w14:ligatures w14:val="none"/>
        </w:rPr>
        <w:t xml:space="preserve"> שהועלו בערר - </w:t>
      </w:r>
      <w:r w:rsidR="00856782" w:rsidRPr="00863BF7">
        <w:rPr>
          <w:rFonts w:ascii="David" w:eastAsia="Calibri" w:hAnsi="David" w:cs="David" w:hint="eastAsia"/>
          <w:b/>
          <w:bCs/>
          <w:color w:val="000000"/>
          <w:sz w:val="28"/>
          <w:szCs w:val="28"/>
          <w:u w:val="single"/>
          <w:rtl/>
          <w14:ligatures w14:val="none"/>
        </w:rPr>
        <w:t>דיון</w:t>
      </w:r>
      <w:r w:rsidR="00856782" w:rsidRPr="00863BF7">
        <w:rPr>
          <w:rFonts w:ascii="David" w:eastAsia="Calibri" w:hAnsi="David" w:cs="David"/>
          <w:b/>
          <w:bCs/>
          <w:color w:val="000000"/>
          <w:sz w:val="28"/>
          <w:szCs w:val="28"/>
          <w:u w:val="single"/>
          <w:rtl/>
          <w14:ligatures w14:val="none"/>
        </w:rPr>
        <w:t xml:space="preserve"> </w:t>
      </w:r>
      <w:r w:rsidR="00856782" w:rsidRPr="00863BF7">
        <w:rPr>
          <w:rFonts w:ascii="David" w:eastAsia="Calibri" w:hAnsi="David" w:cs="David" w:hint="eastAsia"/>
          <w:b/>
          <w:bCs/>
          <w:color w:val="000000"/>
          <w:sz w:val="28"/>
          <w:szCs w:val="28"/>
          <w:u w:val="single"/>
          <w:rtl/>
          <w14:ligatures w14:val="none"/>
        </w:rPr>
        <w:t>והכ</w:t>
      </w:r>
      <w:r w:rsidR="00856782" w:rsidRPr="006A51E7">
        <w:rPr>
          <w:rFonts w:ascii="David" w:eastAsia="Calibri" w:hAnsi="David" w:cs="David" w:hint="eastAsia"/>
          <w:b/>
          <w:bCs/>
          <w:color w:val="000000"/>
          <w:sz w:val="28"/>
          <w:szCs w:val="28"/>
          <w:u w:val="single"/>
          <w:rtl/>
          <w14:ligatures w14:val="none"/>
        </w:rPr>
        <w:t>רע</w:t>
      </w:r>
      <w:r w:rsidR="001A2596">
        <w:rPr>
          <w:rFonts w:ascii="David" w:eastAsia="Calibri" w:hAnsi="David" w:cs="David" w:hint="cs"/>
          <w:b/>
          <w:bCs/>
          <w:color w:val="000000"/>
          <w:sz w:val="28"/>
          <w:szCs w:val="28"/>
          <w:u w:val="single"/>
          <w:rtl/>
          <w14:ligatures w14:val="none"/>
        </w:rPr>
        <w:t>ה</w:t>
      </w:r>
    </w:p>
    <w:p w14:paraId="11BC6DE8" w14:textId="77777777" w:rsidR="001A2596" w:rsidRPr="00FD403C" w:rsidRDefault="001A2596" w:rsidP="00FD403C">
      <w:pPr>
        <w:spacing w:before="100" w:beforeAutospacing="1" w:line="360" w:lineRule="auto"/>
        <w:ind w:left="90" w:hanging="425"/>
        <w:rPr>
          <w:rFonts w:ascii="David" w:eastAsia="Calibri" w:hAnsi="David" w:cs="David"/>
          <w:b/>
          <w:bCs/>
          <w:color w:val="000000"/>
          <w:sz w:val="26"/>
          <w:szCs w:val="26"/>
          <w:u w:val="single"/>
          <w14:ligatures w14:val="none"/>
        </w:rPr>
      </w:pPr>
      <w:r w:rsidRPr="00FD403C">
        <w:rPr>
          <w:rFonts w:ascii="David" w:eastAsia="Calibri" w:hAnsi="David" w:cs="David" w:hint="eastAsia"/>
          <w:b/>
          <w:bCs/>
          <w:color w:val="000000"/>
          <w:sz w:val="26"/>
          <w:szCs w:val="26"/>
          <w:u w:val="single"/>
          <w:rtl/>
          <w14:ligatures w14:val="none"/>
        </w:rPr>
        <w:t>מקדם</w:t>
      </w:r>
      <w:r w:rsidRPr="00FD403C">
        <w:rPr>
          <w:rFonts w:ascii="David" w:eastAsia="Calibri" w:hAnsi="David" w:cs="David"/>
          <w:b/>
          <w:bCs/>
          <w:color w:val="000000"/>
          <w:sz w:val="26"/>
          <w:szCs w:val="26"/>
          <w:u w:val="single"/>
          <w:rtl/>
          <w14:ligatures w14:val="none"/>
        </w:rPr>
        <w:t xml:space="preserve"> </w:t>
      </w:r>
      <w:r w:rsidRPr="00FD403C">
        <w:rPr>
          <w:rFonts w:ascii="David" w:eastAsia="Calibri" w:hAnsi="David" w:cs="David" w:hint="eastAsia"/>
          <w:b/>
          <w:bCs/>
          <w:color w:val="000000"/>
          <w:sz w:val="26"/>
          <w:szCs w:val="26"/>
          <w:u w:val="single"/>
          <w:rtl/>
          <w14:ligatures w14:val="none"/>
        </w:rPr>
        <w:t>הזמינות</w:t>
      </w:r>
      <w:r w:rsidRPr="00FD403C">
        <w:rPr>
          <w:rFonts w:ascii="David" w:eastAsia="Calibri" w:hAnsi="David" w:cs="David"/>
          <w:b/>
          <w:bCs/>
          <w:color w:val="000000"/>
          <w:sz w:val="26"/>
          <w:szCs w:val="26"/>
          <w:u w:val="single"/>
          <w:rtl/>
          <w14:ligatures w14:val="none"/>
        </w:rPr>
        <w:t xml:space="preserve"> </w:t>
      </w:r>
      <w:r w:rsidRPr="00FD403C">
        <w:rPr>
          <w:rFonts w:ascii="David" w:eastAsia="Calibri" w:hAnsi="David" w:cs="David" w:hint="eastAsia"/>
          <w:b/>
          <w:bCs/>
          <w:color w:val="000000"/>
          <w:sz w:val="26"/>
          <w:szCs w:val="26"/>
          <w:u w:val="single"/>
          <w:rtl/>
          <w14:ligatures w14:val="none"/>
        </w:rPr>
        <w:t>במצב</w:t>
      </w:r>
      <w:r w:rsidRPr="00FD403C">
        <w:rPr>
          <w:rFonts w:ascii="David" w:eastAsia="Calibri" w:hAnsi="David" w:cs="David"/>
          <w:b/>
          <w:bCs/>
          <w:color w:val="000000"/>
          <w:sz w:val="26"/>
          <w:szCs w:val="26"/>
          <w:u w:val="single"/>
          <w:rtl/>
          <w14:ligatures w14:val="none"/>
        </w:rPr>
        <w:t xml:space="preserve"> </w:t>
      </w:r>
      <w:r w:rsidRPr="00FD403C">
        <w:rPr>
          <w:rFonts w:ascii="David" w:eastAsia="Calibri" w:hAnsi="David" w:cs="David" w:hint="eastAsia"/>
          <w:b/>
          <w:bCs/>
          <w:color w:val="000000"/>
          <w:sz w:val="26"/>
          <w:szCs w:val="26"/>
          <w:u w:val="single"/>
          <w:rtl/>
          <w14:ligatures w14:val="none"/>
        </w:rPr>
        <w:t>הקודם</w:t>
      </w:r>
    </w:p>
    <w:p w14:paraId="04D124EB" w14:textId="77777777" w:rsidR="00A55D28" w:rsidRDefault="00A55D28" w:rsidP="00FD403C">
      <w:pPr>
        <w:numPr>
          <w:ilvl w:val="0"/>
          <w:numId w:val="1"/>
        </w:numPr>
        <w:spacing w:before="100" w:beforeAutospacing="1" w:line="360" w:lineRule="auto"/>
        <w:ind w:left="90" w:hanging="425"/>
        <w:jc w:val="both"/>
        <w:rPr>
          <w:rFonts w:ascii="David" w:eastAsia="Calibri" w:hAnsi="David" w:cs="David"/>
          <w:sz w:val="24"/>
          <w:szCs w:val="24"/>
          <w14:ligatures w14:val="none"/>
        </w:rPr>
      </w:pPr>
      <w:r w:rsidRPr="00A55D28">
        <w:rPr>
          <w:rFonts w:ascii="David" w:eastAsia="Calibri" w:hAnsi="David" w:cs="David"/>
          <w:sz w:val="24"/>
          <w:szCs w:val="24"/>
          <w:rtl/>
          <w14:ligatures w14:val="none"/>
        </w:rPr>
        <w:t xml:space="preserve">העוררים טוענים כי </w:t>
      </w:r>
      <w:r w:rsidR="006E016C">
        <w:rPr>
          <w:rFonts w:ascii="David" w:eastAsia="Calibri" w:hAnsi="David" w:cs="David" w:hint="cs"/>
          <w:sz w:val="24"/>
          <w:szCs w:val="24"/>
          <w:rtl/>
          <w14:ligatures w14:val="none"/>
        </w:rPr>
        <w:t xml:space="preserve">בשומת </w:t>
      </w:r>
      <w:r w:rsidRPr="00A55D28">
        <w:rPr>
          <w:rFonts w:ascii="David" w:eastAsia="Calibri" w:hAnsi="David" w:cs="David"/>
          <w:sz w:val="24"/>
          <w:szCs w:val="24"/>
          <w:rtl/>
          <w14:ligatures w14:val="none"/>
        </w:rPr>
        <w:t xml:space="preserve">השמאי המכריע </w:t>
      </w:r>
      <w:r w:rsidR="006E016C">
        <w:rPr>
          <w:rFonts w:ascii="David" w:eastAsia="Calibri" w:hAnsi="David" w:cs="David" w:hint="cs"/>
          <w:sz w:val="24"/>
          <w:szCs w:val="24"/>
          <w:rtl/>
          <w14:ligatures w14:val="none"/>
        </w:rPr>
        <w:t xml:space="preserve">נפלה טעות משפטית מובהקת ביחס לזמינות זכויות הבניה במצב הקודם. </w:t>
      </w:r>
    </w:p>
    <w:p w14:paraId="6681F15C" w14:textId="77777777" w:rsidR="006E016C" w:rsidRDefault="006E016C" w:rsidP="00FD403C">
      <w:pPr>
        <w:numPr>
          <w:ilvl w:val="0"/>
          <w:numId w:val="1"/>
        </w:numPr>
        <w:spacing w:before="100" w:beforeAutospacing="1" w:line="360" w:lineRule="auto"/>
        <w:ind w:left="90" w:hanging="425"/>
        <w:jc w:val="both"/>
        <w:rPr>
          <w:rFonts w:ascii="David" w:eastAsia="Calibri" w:hAnsi="David" w:cs="David"/>
          <w:sz w:val="24"/>
          <w:szCs w:val="24"/>
          <w14:ligatures w14:val="none"/>
        </w:rPr>
      </w:pPr>
      <w:r>
        <w:rPr>
          <w:rFonts w:ascii="David" w:eastAsia="Calibri" w:hAnsi="David" w:cs="David" w:hint="cs"/>
          <w:sz w:val="24"/>
          <w:szCs w:val="24"/>
          <w:rtl/>
          <w14:ligatures w14:val="none"/>
        </w:rPr>
        <w:t>כך קבע השמאי המכריע בעניין זה</w:t>
      </w:r>
      <w:r w:rsidR="00741E6D" w:rsidRPr="00FD403C">
        <w:rPr>
          <w:rFonts w:ascii="David" w:eastAsia="Calibri" w:hAnsi="David" w:cs="David"/>
          <w:sz w:val="24"/>
          <w:szCs w:val="24"/>
          <w:rtl/>
          <w14:ligatures w14:val="none"/>
        </w:rPr>
        <w:t>:</w:t>
      </w:r>
    </w:p>
    <w:p w14:paraId="221533C9" w14:textId="77777777" w:rsidR="0026688D" w:rsidRDefault="00046BBC" w:rsidP="00FD403C">
      <w:pPr>
        <w:spacing w:before="100" w:beforeAutospacing="1" w:line="360" w:lineRule="auto"/>
        <w:ind w:left="90" w:hanging="425"/>
        <w:jc w:val="both"/>
        <w:rPr>
          <w:rFonts w:ascii="David" w:eastAsia="Calibri" w:hAnsi="David" w:cs="David"/>
          <w:sz w:val="24"/>
          <w:szCs w:val="24"/>
          <w14:ligatures w14:val="none"/>
        </w:rPr>
      </w:pPr>
      <w:r>
        <w:rPr>
          <w:rFonts w:ascii="David" w:eastAsia="Calibri" w:hAnsi="David" w:cs="David"/>
          <w:noProof/>
          <w:sz w:val="24"/>
          <w:szCs w:val="24"/>
          <w14:ligatures w14:val="none"/>
        </w:rPr>
        <w:drawing>
          <wp:anchor distT="0" distB="0" distL="114300" distR="114300" simplePos="0" relativeHeight="251666432" behindDoc="0" locked="0" layoutInCell="1" allowOverlap="1" wp14:anchorId="5D38EBCE" wp14:editId="6BBB284F">
            <wp:simplePos x="0" y="0"/>
            <wp:positionH relativeFrom="margin">
              <wp:posOffset>254442</wp:posOffset>
            </wp:positionH>
            <wp:positionV relativeFrom="paragraph">
              <wp:posOffset>0</wp:posOffset>
            </wp:positionV>
            <wp:extent cx="4816475" cy="4109085"/>
            <wp:effectExtent l="0" t="0" r="3175" b="5715"/>
            <wp:wrapTopAndBottom/>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6475" cy="4109085"/>
                    </a:xfrm>
                    <a:prstGeom prst="rect">
                      <a:avLst/>
                    </a:prstGeom>
                    <a:noFill/>
                  </pic:spPr>
                </pic:pic>
              </a:graphicData>
            </a:graphic>
            <wp14:sizeRelH relativeFrom="page">
              <wp14:pctWidth>0</wp14:pctWidth>
            </wp14:sizeRelH>
            <wp14:sizeRelV relativeFrom="page">
              <wp14:pctHeight>0</wp14:pctHeight>
            </wp14:sizeRelV>
          </wp:anchor>
        </w:drawing>
      </w:r>
    </w:p>
    <w:p w14:paraId="227065EF" w14:textId="77777777" w:rsidR="006E016C" w:rsidRPr="00A55D28" w:rsidRDefault="006E016C" w:rsidP="00FD403C">
      <w:pPr>
        <w:numPr>
          <w:ilvl w:val="0"/>
          <w:numId w:val="1"/>
        </w:numPr>
        <w:spacing w:before="100" w:beforeAutospacing="1" w:line="360" w:lineRule="auto"/>
        <w:ind w:left="90" w:hanging="425"/>
        <w:jc w:val="both"/>
        <w:rPr>
          <w:rFonts w:ascii="David" w:eastAsia="Calibri" w:hAnsi="David" w:cs="David"/>
          <w:sz w:val="24"/>
          <w:szCs w:val="24"/>
          <w14:ligatures w14:val="none"/>
        </w:rPr>
      </w:pPr>
      <w:r>
        <w:rPr>
          <w:rFonts w:ascii="David" w:eastAsia="Calibri" w:hAnsi="David" w:cs="David" w:hint="cs"/>
          <w:sz w:val="24"/>
          <w:szCs w:val="24"/>
          <w:rtl/>
          <w14:ligatures w14:val="none"/>
        </w:rPr>
        <w:t xml:space="preserve">לעמדת העוררות, זכויות הבניה במצב הקודם מכח תכנית </w:t>
      </w:r>
      <w:r>
        <w:rPr>
          <w:rFonts w:ascii="David" w:eastAsia="Calibri" w:hAnsi="David" w:cs="David"/>
          <w:sz w:val="24"/>
          <w:szCs w:val="24"/>
          <w14:ligatures w14:val="none"/>
        </w:rPr>
        <w:t>F</w:t>
      </w:r>
      <w:r>
        <w:rPr>
          <w:rFonts w:ascii="David" w:eastAsia="Calibri" w:hAnsi="David" w:cs="David" w:hint="cs"/>
          <w:sz w:val="24"/>
          <w:szCs w:val="24"/>
          <w:rtl/>
          <w14:ligatures w14:val="none"/>
        </w:rPr>
        <w:t xml:space="preserve"> הן זכויות זמינות לבניה ומשכך, קביעה זו של השמאי המכריע הינה מוטעית ואין כל בסיס לקביעת מקדם בגין העדר זמינות. </w:t>
      </w:r>
    </w:p>
    <w:p w14:paraId="4D035957" w14:textId="69C0C635" w:rsidR="00A55D28" w:rsidRPr="00A55D28" w:rsidRDefault="006E016C" w:rsidP="00F368C5">
      <w:pPr>
        <w:numPr>
          <w:ilvl w:val="0"/>
          <w:numId w:val="1"/>
        </w:numPr>
        <w:spacing w:before="100" w:beforeAutospacing="1" w:line="360" w:lineRule="auto"/>
        <w:ind w:left="90" w:hanging="425"/>
        <w:jc w:val="both"/>
        <w:rPr>
          <w:rFonts w:ascii="David" w:eastAsia="Calibri" w:hAnsi="David" w:cs="David"/>
          <w:sz w:val="24"/>
          <w:szCs w:val="24"/>
          <w14:ligatures w14:val="none"/>
        </w:rPr>
      </w:pPr>
      <w:r>
        <w:rPr>
          <w:rFonts w:ascii="David" w:eastAsia="Calibri" w:hAnsi="David" w:cs="David" w:hint="cs"/>
          <w:sz w:val="24"/>
          <w:szCs w:val="24"/>
          <w:rtl/>
          <w14:ligatures w14:val="none"/>
        </w:rPr>
        <w:t>העוררות טוענות כי אישור תצ"ר הינו הליך פרוצדורלי טכני המהווה, לכל היותר, חלק מהליך הוצאת היתר בניה ולפיכך אין מקום לקביעת מקדם בגינו, כפי שהצורך באישור גופים כגון כיבוי אש, איכות סביבה וכד' כתנאי להיתר בניה אינו גורע מזמינות זכויות הבניה או משו</w:t>
      </w:r>
      <w:r w:rsidR="00C02084">
        <w:rPr>
          <w:rFonts w:ascii="David" w:eastAsia="Calibri" w:hAnsi="David" w:cs="David" w:hint="cs"/>
          <w:sz w:val="24"/>
          <w:szCs w:val="24"/>
          <w:rtl/>
          <w14:ligatures w14:val="none"/>
        </w:rPr>
        <w:t>ו</w:t>
      </w:r>
      <w:r>
        <w:rPr>
          <w:rFonts w:ascii="David" w:eastAsia="Calibri" w:hAnsi="David" w:cs="David" w:hint="cs"/>
          <w:sz w:val="24"/>
          <w:szCs w:val="24"/>
          <w:rtl/>
          <w14:ligatures w14:val="none"/>
        </w:rPr>
        <w:t>יין.</w:t>
      </w:r>
    </w:p>
    <w:p w14:paraId="14873E71" w14:textId="77777777" w:rsidR="00A55D28" w:rsidRPr="00A55D28" w:rsidRDefault="006E016C" w:rsidP="00F368C5">
      <w:pPr>
        <w:numPr>
          <w:ilvl w:val="0"/>
          <w:numId w:val="1"/>
        </w:numPr>
        <w:spacing w:before="100" w:beforeAutospacing="1" w:line="360" w:lineRule="auto"/>
        <w:ind w:left="90" w:hanging="425"/>
        <w:jc w:val="both"/>
        <w:rPr>
          <w:rFonts w:ascii="David" w:eastAsia="Calibri" w:hAnsi="David" w:cs="David"/>
          <w:sz w:val="24"/>
          <w:szCs w:val="24"/>
          <w14:ligatures w14:val="none"/>
        </w:rPr>
      </w:pPr>
      <w:r>
        <w:rPr>
          <w:rFonts w:ascii="David" w:eastAsia="Calibri" w:hAnsi="David" w:cs="David" w:hint="cs"/>
          <w:sz w:val="24"/>
          <w:szCs w:val="24"/>
          <w:rtl/>
          <w14:ligatures w14:val="none"/>
        </w:rPr>
        <w:lastRenderedPageBreak/>
        <w:t xml:space="preserve">יתרה מזאת, טוענות העוררות כי מעיון בתכנית </w:t>
      </w:r>
      <w:r>
        <w:rPr>
          <w:rFonts w:ascii="David" w:eastAsia="Calibri" w:hAnsi="David" w:cs="David"/>
          <w:sz w:val="24"/>
          <w:szCs w:val="24"/>
          <w14:ligatures w14:val="none"/>
        </w:rPr>
        <w:t>F</w:t>
      </w:r>
      <w:r>
        <w:rPr>
          <w:rFonts w:ascii="David" w:eastAsia="Calibri" w:hAnsi="David" w:cs="David" w:hint="cs"/>
          <w:sz w:val="24"/>
          <w:szCs w:val="24"/>
          <w:rtl/>
          <w14:ligatures w14:val="none"/>
        </w:rPr>
        <w:t xml:space="preserve"> עולה כי אין כל יסוד עובדתי לקביעת השמאי המכריע לפיה עריכת תצ"ר הינו תנאי להוצאת היתר בניה. העוררות אף מפנות לתיק המידע לאי מתן ההיתר שם נכתב כי הנימוק הוא פרסום תנאים בגין הכנת תכנית מרחב השומרון ולא מוזכרת כל מגבלה מכח תכנית </w:t>
      </w:r>
      <w:r>
        <w:rPr>
          <w:rFonts w:ascii="David" w:eastAsia="Calibri" w:hAnsi="David" w:cs="David"/>
          <w:sz w:val="24"/>
          <w:szCs w:val="24"/>
          <w14:ligatures w14:val="none"/>
        </w:rPr>
        <w:t>F</w:t>
      </w:r>
      <w:r>
        <w:rPr>
          <w:rFonts w:ascii="David" w:eastAsia="Calibri" w:hAnsi="David" w:cs="David" w:hint="cs"/>
          <w:sz w:val="24"/>
          <w:szCs w:val="24"/>
          <w:rtl/>
          <w14:ligatures w14:val="none"/>
        </w:rPr>
        <w:t>.</w:t>
      </w:r>
      <w:r w:rsidR="00B9297C">
        <w:rPr>
          <w:rFonts w:ascii="David" w:eastAsia="Calibri" w:hAnsi="David" w:cs="David" w:hint="cs"/>
          <w:sz w:val="24"/>
          <w:szCs w:val="24"/>
          <w:rtl/>
          <w14:ligatures w14:val="none"/>
        </w:rPr>
        <w:t xml:space="preserve"> ביחס לנימוק בדבר "סימון דרכים </w:t>
      </w:r>
      <w:r w:rsidR="009D56C3">
        <w:rPr>
          <w:rFonts w:ascii="David" w:eastAsia="Calibri" w:hAnsi="David" w:cs="David" w:hint="cs"/>
          <w:sz w:val="24"/>
          <w:szCs w:val="24"/>
          <w:rtl/>
          <w14:ligatures w14:val="none"/>
        </w:rPr>
        <w:t xml:space="preserve">ומדרכות" טוענות העוררת כי </w:t>
      </w:r>
      <w:r w:rsidR="00E42349">
        <w:rPr>
          <w:rFonts w:ascii="David" w:eastAsia="Calibri" w:hAnsi="David" w:cs="David" w:hint="cs"/>
          <w:sz w:val="24"/>
          <w:szCs w:val="24"/>
          <w:rtl/>
          <w14:ligatures w14:val="none"/>
        </w:rPr>
        <w:t>מדובר בטענה "תלושה ומופרכת"</w:t>
      </w:r>
      <w:r w:rsidR="00F7422B">
        <w:rPr>
          <w:rFonts w:ascii="David" w:eastAsia="Calibri" w:hAnsi="David" w:cs="David" w:hint="cs"/>
          <w:sz w:val="24"/>
          <w:szCs w:val="24"/>
          <w:rtl/>
          <w14:ligatures w14:val="none"/>
        </w:rPr>
        <w:t xml:space="preserve"> וכן כי מדובר בהיתר תואם תכנית שאינו דורש הליך נוסף</w:t>
      </w:r>
      <w:r w:rsidR="00E42349">
        <w:rPr>
          <w:rFonts w:ascii="David" w:eastAsia="Calibri" w:hAnsi="David" w:cs="David" w:hint="cs"/>
          <w:sz w:val="24"/>
          <w:szCs w:val="24"/>
          <w:rtl/>
          <w14:ligatures w14:val="none"/>
        </w:rPr>
        <w:t>.</w:t>
      </w:r>
    </w:p>
    <w:p w14:paraId="237334BE" w14:textId="77777777" w:rsidR="00A55D28" w:rsidRPr="00F3516B" w:rsidRDefault="00A55D28" w:rsidP="00F368C5">
      <w:pPr>
        <w:numPr>
          <w:ilvl w:val="0"/>
          <w:numId w:val="1"/>
        </w:numPr>
        <w:spacing w:before="100" w:beforeAutospacing="1" w:line="360" w:lineRule="auto"/>
        <w:ind w:left="90" w:hanging="425"/>
        <w:jc w:val="both"/>
        <w:rPr>
          <w:rFonts w:ascii="David" w:eastAsia="Calibri" w:hAnsi="David" w:cs="David"/>
          <w:sz w:val="24"/>
          <w:szCs w:val="24"/>
          <w14:ligatures w14:val="none"/>
        </w:rPr>
      </w:pPr>
      <w:r w:rsidRPr="00A55D28">
        <w:rPr>
          <w:rFonts w:ascii="David" w:eastAsia="Calibri" w:hAnsi="David" w:cs="David"/>
          <w:sz w:val="24"/>
          <w:szCs w:val="24"/>
          <w:rtl/>
          <w14:ligatures w14:val="none"/>
        </w:rPr>
        <w:t>בנוסף, העורר</w:t>
      </w:r>
      <w:r w:rsidR="006E016C">
        <w:rPr>
          <w:rFonts w:ascii="David" w:eastAsia="Calibri" w:hAnsi="David" w:cs="David" w:hint="cs"/>
          <w:sz w:val="24"/>
          <w:szCs w:val="24"/>
          <w:rtl/>
          <w14:ligatures w14:val="none"/>
        </w:rPr>
        <w:t>ות</w:t>
      </w:r>
      <w:r w:rsidRPr="00A55D28">
        <w:rPr>
          <w:rFonts w:ascii="David" w:eastAsia="Calibri" w:hAnsi="David" w:cs="David"/>
          <w:sz w:val="24"/>
          <w:szCs w:val="24"/>
          <w:rtl/>
          <w14:ligatures w14:val="none"/>
        </w:rPr>
        <w:t xml:space="preserve"> טוענ</w:t>
      </w:r>
      <w:r w:rsidR="006E016C">
        <w:rPr>
          <w:rFonts w:ascii="David" w:eastAsia="Calibri" w:hAnsi="David" w:cs="David" w:hint="cs"/>
          <w:sz w:val="24"/>
          <w:szCs w:val="24"/>
          <w:rtl/>
          <w14:ligatures w14:val="none"/>
        </w:rPr>
        <w:t>ות</w:t>
      </w:r>
      <w:r w:rsidRPr="00A55D28">
        <w:rPr>
          <w:rFonts w:ascii="David" w:eastAsia="Calibri" w:hAnsi="David" w:cs="David"/>
          <w:sz w:val="24"/>
          <w:szCs w:val="24"/>
          <w:rtl/>
          <w14:ligatures w14:val="none"/>
        </w:rPr>
        <w:t xml:space="preserve"> כי השמאי המכריע </w:t>
      </w:r>
      <w:r w:rsidR="006E016C">
        <w:rPr>
          <w:rFonts w:ascii="David" w:eastAsia="Calibri" w:hAnsi="David" w:cs="David" w:hint="cs"/>
          <w:sz w:val="24"/>
          <w:szCs w:val="24"/>
          <w:rtl/>
          <w14:ligatures w14:val="none"/>
        </w:rPr>
        <w:t xml:space="preserve">התעלם משומות מכריעות אחרות מהן עולה כי זכויות הבניה מכח תכנית </w:t>
      </w:r>
      <w:r w:rsidR="006E016C">
        <w:rPr>
          <w:rFonts w:ascii="David" w:eastAsia="Calibri" w:hAnsi="David" w:cs="David"/>
          <w:sz w:val="24"/>
          <w:szCs w:val="24"/>
          <w14:ligatures w14:val="none"/>
        </w:rPr>
        <w:t>F</w:t>
      </w:r>
      <w:r w:rsidR="006E016C">
        <w:rPr>
          <w:rFonts w:ascii="David" w:eastAsia="Calibri" w:hAnsi="David" w:cs="David" w:hint="cs"/>
          <w:sz w:val="24"/>
          <w:szCs w:val="24"/>
          <w:rtl/>
          <w14:ligatures w14:val="none"/>
        </w:rPr>
        <w:t xml:space="preserve"> הינן זמינות לחלוטין וכן טוענות כי השומה אינה מנומקת ומתעלמת מכל </w:t>
      </w:r>
      <w:r w:rsidR="006E016C" w:rsidRPr="00F3516B">
        <w:rPr>
          <w:rFonts w:ascii="David" w:eastAsia="Calibri" w:hAnsi="David" w:cs="David" w:hint="eastAsia"/>
          <w:sz w:val="24"/>
          <w:szCs w:val="24"/>
          <w:rtl/>
          <w14:ligatures w14:val="none"/>
        </w:rPr>
        <w:t>האמור</w:t>
      </w:r>
      <w:r w:rsidR="006E016C" w:rsidRPr="00F3516B">
        <w:rPr>
          <w:rFonts w:ascii="David" w:eastAsia="Calibri" w:hAnsi="David" w:cs="David"/>
          <w:sz w:val="24"/>
          <w:szCs w:val="24"/>
          <w:rtl/>
          <w14:ligatures w14:val="none"/>
        </w:rPr>
        <w:t xml:space="preserve"> </w:t>
      </w:r>
      <w:r w:rsidR="006E016C" w:rsidRPr="00F3516B">
        <w:rPr>
          <w:rFonts w:ascii="David" w:eastAsia="Calibri" w:hAnsi="David" w:cs="David" w:hint="eastAsia"/>
          <w:sz w:val="24"/>
          <w:szCs w:val="24"/>
          <w:rtl/>
          <w14:ligatures w14:val="none"/>
        </w:rPr>
        <w:t>בעניין</w:t>
      </w:r>
      <w:r w:rsidR="006E016C" w:rsidRPr="00F3516B">
        <w:rPr>
          <w:rFonts w:ascii="David" w:eastAsia="Calibri" w:hAnsi="David" w:cs="David"/>
          <w:sz w:val="24"/>
          <w:szCs w:val="24"/>
          <w:rtl/>
          <w14:ligatures w14:val="none"/>
        </w:rPr>
        <w:t xml:space="preserve"> </w:t>
      </w:r>
      <w:r w:rsidR="006E016C" w:rsidRPr="00F3516B">
        <w:rPr>
          <w:rFonts w:ascii="David" w:eastAsia="Calibri" w:hAnsi="David" w:cs="David" w:hint="eastAsia"/>
          <w:sz w:val="24"/>
          <w:szCs w:val="24"/>
          <w:rtl/>
          <w14:ligatures w14:val="none"/>
        </w:rPr>
        <w:t>זה</w:t>
      </w:r>
      <w:r w:rsidR="006E016C" w:rsidRPr="00F3516B">
        <w:rPr>
          <w:rFonts w:ascii="David" w:eastAsia="Calibri" w:hAnsi="David" w:cs="David"/>
          <w:sz w:val="24"/>
          <w:szCs w:val="24"/>
          <w:rtl/>
          <w14:ligatures w14:val="none"/>
        </w:rPr>
        <w:t>.</w:t>
      </w:r>
    </w:p>
    <w:p w14:paraId="15BB1FA3" w14:textId="27B455A2" w:rsidR="00A55D28" w:rsidRPr="00F3516B" w:rsidRDefault="00113E8B" w:rsidP="00F368C5">
      <w:pPr>
        <w:numPr>
          <w:ilvl w:val="0"/>
          <w:numId w:val="1"/>
        </w:numPr>
        <w:spacing w:before="100" w:beforeAutospacing="1" w:line="360" w:lineRule="auto"/>
        <w:ind w:left="90" w:hanging="425"/>
        <w:jc w:val="both"/>
        <w:rPr>
          <w:rFonts w:ascii="David" w:eastAsia="Calibri" w:hAnsi="David" w:cs="David"/>
          <w:sz w:val="24"/>
          <w:szCs w:val="24"/>
          <w14:ligatures w14:val="none"/>
        </w:rPr>
      </w:pPr>
      <w:r w:rsidRPr="00F3516B">
        <w:rPr>
          <w:rFonts w:ascii="David" w:eastAsia="Calibri" w:hAnsi="David" w:cs="David" w:hint="eastAsia"/>
          <w:sz w:val="24"/>
          <w:szCs w:val="24"/>
          <w:rtl/>
          <w14:ligatures w14:val="none"/>
        </w:rPr>
        <w:t>המשיבה</w:t>
      </w:r>
      <w:r w:rsidRPr="00F3516B">
        <w:rPr>
          <w:rFonts w:ascii="David" w:eastAsia="Calibri" w:hAnsi="David" w:cs="David"/>
          <w:sz w:val="24"/>
          <w:szCs w:val="24"/>
          <w:rtl/>
          <w14:ligatures w14:val="none"/>
        </w:rPr>
        <w:t xml:space="preserve"> טוענת כי שמאית הוועדה קבעה דחיה של 3 שנים למימוש הזכויות במצב הקודם עד לאישור תכנית איחוד וחלוקה ופינוי מחזיקים ודחיה של 5 שנים במתחם 1 בהתחשב </w:t>
      </w:r>
      <w:proofErr w:type="spellStart"/>
      <w:r w:rsidRPr="00F3516B">
        <w:rPr>
          <w:rFonts w:ascii="David" w:eastAsia="Calibri" w:hAnsi="David" w:cs="David" w:hint="eastAsia"/>
          <w:sz w:val="24"/>
          <w:szCs w:val="24"/>
          <w:rtl/>
          <w14:ligatures w14:val="none"/>
        </w:rPr>
        <w:t>בתת</w:t>
      </w:r>
      <w:r w:rsidRPr="00F3516B">
        <w:rPr>
          <w:rFonts w:ascii="David" w:eastAsia="Calibri" w:hAnsi="David" w:cs="David"/>
          <w:sz w:val="24"/>
          <w:szCs w:val="24"/>
          <w:rtl/>
          <w14:ligatures w14:val="none"/>
        </w:rPr>
        <w:t>"ל</w:t>
      </w:r>
      <w:proofErr w:type="spellEnd"/>
      <w:r w:rsidRPr="00F3516B">
        <w:rPr>
          <w:rFonts w:ascii="David" w:eastAsia="Calibri" w:hAnsi="David" w:cs="David"/>
          <w:sz w:val="24"/>
          <w:szCs w:val="24"/>
          <w:rtl/>
          <w14:ligatures w14:val="none"/>
        </w:rPr>
        <w:t xml:space="preserve"> 71/ב. שמאית הוועדה</w:t>
      </w:r>
      <w:r w:rsidR="00475FB3">
        <w:rPr>
          <w:rFonts w:ascii="David" w:eastAsia="Calibri" w:hAnsi="David" w:cs="David" w:hint="cs"/>
          <w:sz w:val="24"/>
          <w:szCs w:val="24"/>
          <w:rtl/>
          <w14:ligatures w14:val="none"/>
        </w:rPr>
        <w:t xml:space="preserve"> המקומית</w:t>
      </w:r>
      <w:r w:rsidRPr="00F3516B">
        <w:rPr>
          <w:rFonts w:ascii="David" w:eastAsia="Calibri" w:hAnsi="David" w:cs="David"/>
          <w:sz w:val="24"/>
          <w:szCs w:val="24"/>
          <w:rtl/>
          <w14:ligatures w14:val="none"/>
        </w:rPr>
        <w:t xml:space="preserve"> הסתמכה על חוות דעת היועצת המשפטית לוועדה המקומית לפיה יש להכין תכנית איחוד וחלוקה על מנת להוציא היתרי בניה מאחר והחלקות לא עברו פרצלציה והן משתרעות על מספר יעודים.</w:t>
      </w:r>
    </w:p>
    <w:p w14:paraId="46B9760C" w14:textId="77777777" w:rsidR="0011127D" w:rsidRPr="00F368C5" w:rsidRDefault="00113E8B" w:rsidP="00F368C5">
      <w:pPr>
        <w:numPr>
          <w:ilvl w:val="0"/>
          <w:numId w:val="1"/>
        </w:numPr>
        <w:spacing w:before="100" w:beforeAutospacing="1" w:line="360" w:lineRule="auto"/>
        <w:ind w:left="90" w:hanging="425"/>
        <w:jc w:val="both"/>
        <w:rPr>
          <w:rFonts w:ascii="David" w:eastAsia="Calibri" w:hAnsi="David" w:cs="David"/>
          <w:sz w:val="24"/>
          <w:szCs w:val="24"/>
          <w14:ligatures w14:val="none"/>
        </w:rPr>
      </w:pPr>
      <w:r w:rsidRPr="00F3516B">
        <w:rPr>
          <w:rFonts w:ascii="David" w:eastAsia="Calibri" w:hAnsi="David" w:cs="David" w:hint="eastAsia"/>
          <w:sz w:val="24"/>
          <w:szCs w:val="24"/>
          <w:rtl/>
          <w14:ligatures w14:val="none"/>
        </w:rPr>
        <w:t>לעמדת</w:t>
      </w:r>
      <w:r w:rsidRPr="00F3516B">
        <w:rPr>
          <w:rFonts w:ascii="David" w:eastAsia="Calibri" w:hAnsi="David" w:cs="David"/>
          <w:sz w:val="24"/>
          <w:szCs w:val="24"/>
          <w:rtl/>
          <w14:ligatures w14:val="none"/>
        </w:rPr>
        <w:t xml:space="preserve"> הוועדה המקומית, המתחם היה בהליכי תכנון במהלך שנים רבות ומשכך לא </w:t>
      </w:r>
      <w:r w:rsidRPr="00F3516B">
        <w:rPr>
          <w:rFonts w:ascii="David" w:eastAsia="Calibri" w:hAnsi="David" w:cs="David" w:hint="eastAsia"/>
          <w:sz w:val="24"/>
          <w:szCs w:val="24"/>
          <w:rtl/>
          <w14:ligatures w14:val="none"/>
        </w:rPr>
        <w:t>היתה</w:t>
      </w:r>
      <w:r w:rsidRPr="00F3516B">
        <w:rPr>
          <w:rFonts w:ascii="David" w:eastAsia="Calibri" w:hAnsi="David" w:cs="David"/>
          <w:sz w:val="24"/>
          <w:szCs w:val="24"/>
          <w:rtl/>
          <w14:ligatures w14:val="none"/>
        </w:rPr>
        <w:t xml:space="preserve"> </w:t>
      </w:r>
      <w:r w:rsidR="00741E6D" w:rsidRPr="00F3516B">
        <w:rPr>
          <w:rFonts w:ascii="David" w:eastAsia="Calibri" w:hAnsi="David" w:cs="David" w:hint="eastAsia"/>
          <w:sz w:val="24"/>
          <w:szCs w:val="24"/>
          <w:rtl/>
          <w14:ligatures w14:val="none"/>
        </w:rPr>
        <w:t>ציפייה</w:t>
      </w:r>
      <w:r w:rsidRPr="00F3516B">
        <w:rPr>
          <w:rFonts w:ascii="David" w:eastAsia="Calibri" w:hAnsi="David" w:cs="David"/>
          <w:sz w:val="24"/>
          <w:szCs w:val="24"/>
          <w:rtl/>
          <w14:ligatures w14:val="none"/>
        </w:rPr>
        <w:t xml:space="preserve"> סבירה להוצאת היתרי בניה לכל מגרש בנפרד </w:t>
      </w:r>
      <w:r w:rsidRPr="00F3516B">
        <w:rPr>
          <w:rFonts w:ascii="David" w:eastAsia="Calibri" w:hAnsi="David" w:cs="David" w:hint="eastAsia"/>
          <w:sz w:val="24"/>
          <w:szCs w:val="24"/>
          <w:rtl/>
          <w14:ligatures w14:val="none"/>
        </w:rPr>
        <w:t>מכח</w:t>
      </w:r>
      <w:r w:rsidRPr="00F3516B">
        <w:rPr>
          <w:rFonts w:ascii="David" w:eastAsia="Calibri" w:hAnsi="David" w:cs="David"/>
          <w:sz w:val="24"/>
          <w:szCs w:val="24"/>
          <w:rtl/>
          <w14:ligatures w14:val="none"/>
        </w:rPr>
        <w:t xml:space="preserve"> תכנית </w:t>
      </w:r>
      <w:r w:rsidRPr="00F3516B">
        <w:rPr>
          <w:rFonts w:ascii="David" w:eastAsia="Calibri" w:hAnsi="David" w:cs="David"/>
          <w:sz w:val="24"/>
          <w:szCs w:val="24"/>
          <w14:ligatures w14:val="none"/>
        </w:rPr>
        <w:t>F</w:t>
      </w:r>
      <w:r w:rsidRPr="00F3516B">
        <w:rPr>
          <w:rFonts w:ascii="David" w:eastAsia="Calibri" w:hAnsi="David" w:cs="David"/>
          <w:sz w:val="24"/>
          <w:szCs w:val="24"/>
          <w:rtl/>
          <w14:ligatures w14:val="none"/>
        </w:rPr>
        <w:t xml:space="preserve"> שכן ברור היה כי היתרי הבניה יינתנו בהתאם לתכנית מפורטת שתאושר לכל המתחם.</w:t>
      </w:r>
    </w:p>
    <w:p w14:paraId="53F28F49" w14:textId="7EDEF22F" w:rsidR="0011127D" w:rsidRPr="0011127D" w:rsidRDefault="0011127D" w:rsidP="00F368C5">
      <w:pPr>
        <w:numPr>
          <w:ilvl w:val="0"/>
          <w:numId w:val="1"/>
        </w:numPr>
        <w:spacing w:before="100" w:beforeAutospacing="1" w:line="360" w:lineRule="auto"/>
        <w:ind w:left="90" w:hanging="425"/>
        <w:jc w:val="both"/>
        <w:rPr>
          <w:rFonts w:ascii="David" w:eastAsia="Calibri" w:hAnsi="David" w:cs="David"/>
          <w:sz w:val="24"/>
          <w:szCs w:val="24"/>
          <w:rtl/>
          <w14:ligatures w14:val="none"/>
        </w:rPr>
      </w:pPr>
      <w:r w:rsidRPr="00F3516B">
        <w:rPr>
          <w:rFonts w:ascii="David" w:eastAsia="Calibri" w:hAnsi="David" w:cs="David" w:hint="eastAsia"/>
          <w:sz w:val="24"/>
          <w:szCs w:val="24"/>
          <w:rtl/>
          <w14:ligatures w14:val="none"/>
        </w:rPr>
        <w:t>הוועדה</w:t>
      </w:r>
      <w:r w:rsidRPr="00F3516B">
        <w:rPr>
          <w:rFonts w:ascii="David" w:eastAsia="Calibri" w:hAnsi="David" w:cs="David"/>
          <w:sz w:val="24"/>
          <w:szCs w:val="24"/>
          <w:rtl/>
          <w14:ligatures w14:val="none"/>
        </w:rPr>
        <w:t xml:space="preserve"> </w:t>
      </w:r>
      <w:r w:rsidRPr="00F3516B">
        <w:rPr>
          <w:rFonts w:ascii="David" w:eastAsia="Calibri" w:hAnsi="David" w:cs="David" w:hint="eastAsia"/>
          <w:sz w:val="24"/>
          <w:szCs w:val="24"/>
          <w:rtl/>
          <w14:ligatures w14:val="none"/>
        </w:rPr>
        <w:t>המקומית</w:t>
      </w:r>
      <w:r w:rsidRPr="00F3516B">
        <w:rPr>
          <w:rFonts w:ascii="David" w:eastAsia="Calibri" w:hAnsi="David" w:cs="David"/>
          <w:sz w:val="24"/>
          <w:szCs w:val="24"/>
          <w:rtl/>
          <w14:ligatures w14:val="none"/>
        </w:rPr>
        <w:t xml:space="preserve"> </w:t>
      </w:r>
      <w:r w:rsidRPr="00F3516B">
        <w:rPr>
          <w:rFonts w:ascii="David" w:eastAsia="Calibri" w:hAnsi="David" w:cs="David" w:hint="eastAsia"/>
          <w:sz w:val="24"/>
          <w:szCs w:val="24"/>
          <w:rtl/>
          <w14:ligatures w14:val="none"/>
        </w:rPr>
        <w:t>מציינת</w:t>
      </w:r>
      <w:r w:rsidRPr="00F3516B">
        <w:rPr>
          <w:rFonts w:ascii="David" w:eastAsia="Calibri" w:hAnsi="David" w:cs="David"/>
          <w:sz w:val="24"/>
          <w:szCs w:val="24"/>
          <w:rtl/>
          <w14:ligatures w14:val="none"/>
        </w:rPr>
        <w:t xml:space="preserve"> </w:t>
      </w:r>
      <w:r w:rsidRPr="00F3516B">
        <w:rPr>
          <w:rFonts w:ascii="David" w:eastAsia="Calibri" w:hAnsi="David" w:cs="David" w:hint="eastAsia"/>
          <w:sz w:val="24"/>
          <w:szCs w:val="24"/>
          <w:rtl/>
          <w14:ligatures w14:val="none"/>
        </w:rPr>
        <w:t>כי</w:t>
      </w:r>
      <w:r w:rsidRPr="00F3516B">
        <w:rPr>
          <w:rFonts w:ascii="David" w:eastAsia="Calibri" w:hAnsi="David" w:cs="David"/>
          <w:sz w:val="24"/>
          <w:szCs w:val="24"/>
          <w:rtl/>
          <w14:ligatures w14:val="none"/>
        </w:rPr>
        <w:t xml:space="preserve"> </w:t>
      </w:r>
      <w:r w:rsidRPr="00F3516B">
        <w:rPr>
          <w:rFonts w:ascii="David" w:eastAsia="Calibri" w:hAnsi="David" w:cs="David" w:hint="eastAsia"/>
          <w:sz w:val="24"/>
          <w:szCs w:val="24"/>
          <w:rtl/>
          <w14:ligatures w14:val="none"/>
        </w:rPr>
        <w:t>מטרתה</w:t>
      </w:r>
      <w:r w:rsidRPr="00F3516B">
        <w:rPr>
          <w:rFonts w:ascii="David" w:eastAsia="Calibri" w:hAnsi="David" w:cs="David"/>
          <w:sz w:val="24"/>
          <w:szCs w:val="24"/>
          <w:rtl/>
          <w14:ligatures w14:val="none"/>
        </w:rPr>
        <w:t xml:space="preserve"> של </w:t>
      </w:r>
      <w:r w:rsidRPr="00F3516B">
        <w:rPr>
          <w:rFonts w:ascii="David" w:eastAsia="Calibri" w:hAnsi="David" w:cs="David" w:hint="eastAsia"/>
          <w:sz w:val="24"/>
          <w:szCs w:val="24"/>
          <w:rtl/>
          <w14:ligatures w14:val="none"/>
        </w:rPr>
        <w:t>תכנית</w:t>
      </w:r>
      <w:r w:rsidRPr="00F3516B">
        <w:rPr>
          <w:rFonts w:ascii="David" w:eastAsia="Calibri" w:hAnsi="David" w:cs="David"/>
          <w:sz w:val="24"/>
          <w:szCs w:val="24"/>
          <w:rtl/>
          <w14:ligatures w14:val="none"/>
        </w:rPr>
        <w:t xml:space="preserve"> 4678 שפורסמה להפקדה </w:t>
      </w:r>
      <w:r w:rsidRPr="00F3516B">
        <w:rPr>
          <w:rFonts w:ascii="David" w:eastAsia="Calibri" w:hAnsi="David" w:cs="David" w:hint="eastAsia"/>
          <w:sz w:val="24"/>
          <w:szCs w:val="24"/>
          <w:rtl/>
          <w14:ligatures w14:val="none"/>
        </w:rPr>
        <w:t>ביום</w:t>
      </w:r>
      <w:r w:rsidRPr="00F3516B">
        <w:rPr>
          <w:rFonts w:ascii="David" w:eastAsia="Calibri" w:hAnsi="David" w:cs="David"/>
          <w:sz w:val="24"/>
          <w:szCs w:val="24"/>
          <w:rtl/>
          <w14:ligatures w14:val="none"/>
        </w:rPr>
        <w:t xml:space="preserve"> 27.11.2017 </w:t>
      </w:r>
      <w:r w:rsidRPr="00F3516B">
        <w:rPr>
          <w:rFonts w:ascii="David" w:eastAsia="Calibri" w:hAnsi="David" w:cs="David" w:hint="eastAsia"/>
          <w:sz w:val="24"/>
          <w:szCs w:val="24"/>
          <w:rtl/>
          <w14:ligatures w14:val="none"/>
        </w:rPr>
        <w:t>היתה</w:t>
      </w:r>
      <w:r w:rsidRPr="00F3516B">
        <w:rPr>
          <w:rFonts w:ascii="David" w:eastAsia="Calibri" w:hAnsi="David" w:cs="David"/>
          <w:sz w:val="24"/>
          <w:szCs w:val="24"/>
          <w:rtl/>
          <w14:ligatures w14:val="none"/>
        </w:rPr>
        <w:t xml:space="preserve"> לייעד את המתחם ל</w:t>
      </w:r>
      <w:r w:rsidRPr="00F3516B">
        <w:rPr>
          <w:rFonts w:ascii="David" w:eastAsia="Calibri" w:hAnsi="David" w:cs="David" w:hint="eastAsia"/>
          <w:sz w:val="24"/>
          <w:szCs w:val="24"/>
          <w:rtl/>
          <w14:ligatures w14:val="none"/>
        </w:rPr>
        <w:t>שטח</w:t>
      </w:r>
      <w:r w:rsidRPr="00F3516B">
        <w:rPr>
          <w:rFonts w:ascii="David" w:eastAsia="Calibri" w:hAnsi="David" w:cs="David"/>
          <w:sz w:val="24"/>
          <w:szCs w:val="24"/>
          <w:rtl/>
          <w14:ligatures w14:val="none"/>
        </w:rPr>
        <w:t xml:space="preserve"> </w:t>
      </w:r>
      <w:r w:rsidRPr="00F3516B">
        <w:rPr>
          <w:rFonts w:ascii="David" w:eastAsia="Calibri" w:hAnsi="David" w:cs="David" w:hint="eastAsia"/>
          <w:sz w:val="24"/>
          <w:szCs w:val="24"/>
          <w:rtl/>
          <w14:ligatures w14:val="none"/>
        </w:rPr>
        <w:t>לאיחוד</w:t>
      </w:r>
      <w:r w:rsidRPr="00F3516B">
        <w:rPr>
          <w:rFonts w:ascii="David" w:eastAsia="Calibri" w:hAnsi="David" w:cs="David"/>
          <w:sz w:val="24"/>
          <w:szCs w:val="24"/>
          <w:rtl/>
          <w14:ligatures w14:val="none"/>
        </w:rPr>
        <w:t xml:space="preserve"> </w:t>
      </w:r>
      <w:r w:rsidRPr="00F3516B">
        <w:rPr>
          <w:rFonts w:ascii="David" w:eastAsia="Calibri" w:hAnsi="David" w:cs="David" w:hint="eastAsia"/>
          <w:sz w:val="24"/>
          <w:szCs w:val="24"/>
          <w:rtl/>
          <w14:ligatures w14:val="none"/>
        </w:rPr>
        <w:t>וחלוקה</w:t>
      </w:r>
      <w:r w:rsidRPr="00F3516B">
        <w:rPr>
          <w:rFonts w:ascii="David" w:eastAsia="Calibri" w:hAnsi="David" w:cs="David"/>
          <w:sz w:val="24"/>
          <w:szCs w:val="24"/>
          <w:rtl/>
          <w14:ligatures w14:val="none"/>
        </w:rPr>
        <w:t xml:space="preserve"> </w:t>
      </w:r>
      <w:r w:rsidRPr="00F3516B">
        <w:rPr>
          <w:rFonts w:ascii="David" w:eastAsia="Calibri" w:hAnsi="David" w:cs="David" w:hint="eastAsia"/>
          <w:sz w:val="24"/>
          <w:szCs w:val="24"/>
          <w:rtl/>
          <w14:ligatures w14:val="none"/>
        </w:rPr>
        <w:t>בעתיד</w:t>
      </w:r>
      <w:r w:rsidRPr="00F3516B">
        <w:rPr>
          <w:rFonts w:ascii="David" w:eastAsia="Calibri" w:hAnsi="David" w:cs="David"/>
          <w:sz w:val="24"/>
          <w:szCs w:val="24"/>
          <w:rtl/>
          <w14:ligatures w14:val="none"/>
        </w:rPr>
        <w:t xml:space="preserve"> </w:t>
      </w:r>
      <w:r w:rsidRPr="00F3516B">
        <w:rPr>
          <w:rFonts w:ascii="David" w:eastAsia="Calibri" w:hAnsi="David" w:cs="David" w:hint="eastAsia"/>
          <w:sz w:val="24"/>
          <w:szCs w:val="24"/>
          <w:rtl/>
          <w14:ligatures w14:val="none"/>
        </w:rPr>
        <w:t>כך</w:t>
      </w:r>
      <w:r w:rsidRPr="00F3516B">
        <w:rPr>
          <w:rFonts w:ascii="David" w:eastAsia="Calibri" w:hAnsi="David" w:cs="David"/>
          <w:sz w:val="24"/>
          <w:szCs w:val="24"/>
          <w:rtl/>
          <w14:ligatures w14:val="none"/>
        </w:rPr>
        <w:t xml:space="preserve"> </w:t>
      </w:r>
      <w:r w:rsidRPr="00F3516B">
        <w:rPr>
          <w:rFonts w:ascii="David" w:eastAsia="Calibri" w:hAnsi="David" w:cs="David" w:hint="eastAsia"/>
          <w:sz w:val="24"/>
          <w:szCs w:val="24"/>
          <w:rtl/>
          <w14:ligatures w14:val="none"/>
        </w:rPr>
        <w:t>שכלל</w:t>
      </w:r>
      <w:r w:rsidRPr="00F3516B">
        <w:rPr>
          <w:rFonts w:ascii="David" w:eastAsia="Calibri" w:hAnsi="David" w:cs="David"/>
          <w:sz w:val="24"/>
          <w:szCs w:val="24"/>
          <w:rtl/>
          <w14:ligatures w14:val="none"/>
        </w:rPr>
        <w:t xml:space="preserve"> </w:t>
      </w:r>
      <w:r w:rsidRPr="00F3516B">
        <w:rPr>
          <w:rFonts w:ascii="David" w:eastAsia="Calibri" w:hAnsi="David" w:cs="David" w:hint="eastAsia"/>
          <w:sz w:val="24"/>
          <w:szCs w:val="24"/>
          <w:rtl/>
          <w14:ligatures w14:val="none"/>
        </w:rPr>
        <w:t>הקרקעות</w:t>
      </w:r>
      <w:r w:rsidRPr="00F3516B">
        <w:rPr>
          <w:rFonts w:ascii="David" w:eastAsia="Calibri" w:hAnsi="David" w:cs="David"/>
          <w:sz w:val="24"/>
          <w:szCs w:val="24"/>
          <w:rtl/>
          <w14:ligatures w14:val="none"/>
        </w:rPr>
        <w:t xml:space="preserve"> </w:t>
      </w:r>
      <w:r w:rsidRPr="00F3516B">
        <w:rPr>
          <w:rFonts w:ascii="David" w:eastAsia="Calibri" w:hAnsi="David" w:cs="David" w:hint="eastAsia"/>
          <w:sz w:val="24"/>
          <w:szCs w:val="24"/>
          <w:rtl/>
          <w14:ligatures w14:val="none"/>
        </w:rPr>
        <w:t>במתחם</w:t>
      </w:r>
      <w:r w:rsidRPr="00F3516B">
        <w:rPr>
          <w:rFonts w:ascii="David" w:eastAsia="Calibri" w:hAnsi="David" w:cs="David"/>
          <w:sz w:val="24"/>
          <w:szCs w:val="24"/>
          <w:rtl/>
          <w14:ligatures w14:val="none"/>
        </w:rPr>
        <w:t xml:space="preserve"> </w:t>
      </w:r>
      <w:r w:rsidRPr="00F3516B">
        <w:rPr>
          <w:rFonts w:ascii="David" w:eastAsia="Calibri" w:hAnsi="David" w:cs="David" w:hint="eastAsia"/>
          <w:sz w:val="24"/>
          <w:szCs w:val="24"/>
          <w:rtl/>
          <w14:ligatures w14:val="none"/>
        </w:rPr>
        <w:t>במצב</w:t>
      </w:r>
      <w:r w:rsidRPr="00F3516B">
        <w:rPr>
          <w:rFonts w:ascii="David" w:eastAsia="Calibri" w:hAnsi="David" w:cs="David"/>
          <w:sz w:val="24"/>
          <w:szCs w:val="24"/>
          <w:rtl/>
          <w14:ligatures w14:val="none"/>
        </w:rPr>
        <w:t xml:space="preserve"> </w:t>
      </w:r>
      <w:r w:rsidRPr="00F3516B">
        <w:rPr>
          <w:rFonts w:ascii="David" w:eastAsia="Calibri" w:hAnsi="David" w:cs="David" w:hint="eastAsia"/>
          <w:sz w:val="24"/>
          <w:szCs w:val="24"/>
          <w:rtl/>
          <w14:ligatures w14:val="none"/>
        </w:rPr>
        <w:t>הנכנס</w:t>
      </w:r>
      <w:r w:rsidRPr="00F3516B">
        <w:rPr>
          <w:rFonts w:ascii="David" w:eastAsia="Calibri" w:hAnsi="David" w:cs="David"/>
          <w:sz w:val="24"/>
          <w:szCs w:val="24"/>
          <w:rtl/>
          <w14:ligatures w14:val="none"/>
        </w:rPr>
        <w:t xml:space="preserve"> </w:t>
      </w:r>
      <w:r w:rsidRPr="00F3516B">
        <w:rPr>
          <w:rFonts w:ascii="David" w:eastAsia="Calibri" w:hAnsi="David" w:cs="David" w:hint="eastAsia"/>
          <w:sz w:val="24"/>
          <w:szCs w:val="24"/>
          <w:rtl/>
          <w14:ligatures w14:val="none"/>
        </w:rPr>
        <w:t>בתכנית</w:t>
      </w:r>
      <w:r>
        <w:rPr>
          <w:rFonts w:ascii="David" w:eastAsia="Calibri" w:hAnsi="David" w:cs="David" w:hint="cs"/>
          <w:sz w:val="24"/>
          <w:szCs w:val="24"/>
          <w:rtl/>
          <w14:ligatures w14:val="none"/>
        </w:rPr>
        <w:t xml:space="preserve"> האיחוד וחלוקה שתאושר יהיו בייעוד הקרקע הקבוע בתכניות התקפות במועד אישורה של התכנית ולא בייעודי הקרקע הציבוריים שייכנסו לתוקף בעתיד לפי התכנית לקו הירוק. משכך, בזמן הפקדתה של תכנית 4678 לא ניתן היה להוציא היתר בניה מכח תכנית </w:t>
      </w:r>
      <w:r>
        <w:rPr>
          <w:rFonts w:ascii="David" w:eastAsia="Calibri" w:hAnsi="David" w:cs="David" w:hint="cs"/>
          <w:sz w:val="24"/>
          <w:szCs w:val="24"/>
          <w14:ligatures w14:val="none"/>
        </w:rPr>
        <w:t>F</w:t>
      </w:r>
      <w:r>
        <w:rPr>
          <w:rFonts w:ascii="David" w:eastAsia="Calibri" w:hAnsi="David" w:cs="David" w:hint="cs"/>
          <w:sz w:val="24"/>
          <w:szCs w:val="24"/>
          <w:rtl/>
          <w14:ligatures w14:val="none"/>
        </w:rPr>
        <w:t xml:space="preserve"> ללא אישור הוועדה המקומית ולאחר שמיעת התנגדויות ולאור הליכי התכנון של המתחם לא נראה כי היה סיכוי שהוועדה המקומית היתה מאשרת היתר הסות</w:t>
      </w:r>
      <w:r w:rsidR="001A2596">
        <w:rPr>
          <w:rFonts w:ascii="David" w:eastAsia="Calibri" w:hAnsi="David" w:cs="David" w:hint="cs"/>
          <w:sz w:val="24"/>
          <w:szCs w:val="24"/>
          <w:rtl/>
          <w14:ligatures w14:val="none"/>
        </w:rPr>
        <w:t>ר</w:t>
      </w:r>
      <w:r>
        <w:rPr>
          <w:rFonts w:ascii="David" w:eastAsia="Calibri" w:hAnsi="David" w:cs="David" w:hint="cs"/>
          <w:sz w:val="24"/>
          <w:szCs w:val="24"/>
          <w:rtl/>
          <w14:ligatures w14:val="none"/>
        </w:rPr>
        <w:t xml:space="preserve"> את תכנית 4678.</w:t>
      </w:r>
    </w:p>
    <w:p w14:paraId="1B6FD710" w14:textId="77777777" w:rsidR="00113E8B" w:rsidRPr="00A55D28" w:rsidRDefault="00113E8B" w:rsidP="00F368C5">
      <w:pPr>
        <w:numPr>
          <w:ilvl w:val="0"/>
          <w:numId w:val="1"/>
        </w:numPr>
        <w:spacing w:before="100" w:beforeAutospacing="1" w:line="360" w:lineRule="auto"/>
        <w:ind w:left="90" w:hanging="425"/>
        <w:jc w:val="both"/>
        <w:rPr>
          <w:rFonts w:ascii="David" w:eastAsia="Calibri" w:hAnsi="David" w:cs="David"/>
          <w:sz w:val="24"/>
          <w:szCs w:val="24"/>
          <w14:ligatures w14:val="none"/>
        </w:rPr>
      </w:pPr>
      <w:r>
        <w:rPr>
          <w:rFonts w:ascii="David" w:eastAsia="Calibri" w:hAnsi="David" w:cs="David" w:hint="cs"/>
          <w:sz w:val="24"/>
          <w:szCs w:val="24"/>
          <w:rtl/>
          <w14:ligatures w14:val="none"/>
        </w:rPr>
        <w:t xml:space="preserve">הוועדה המקומית טוענת כי קביעת מקדם דחיה למימוש זכויות הינה פרקטיקה מקובלת ולעמדתה מקדם הדחיה צריך היה להיות </w:t>
      </w:r>
      <w:r w:rsidR="00246FB6">
        <w:rPr>
          <w:rFonts w:ascii="David" w:eastAsia="Calibri" w:hAnsi="David" w:cs="David" w:hint="cs"/>
          <w:sz w:val="24"/>
          <w:szCs w:val="24"/>
          <w:rtl/>
          <w14:ligatures w14:val="none"/>
        </w:rPr>
        <w:t xml:space="preserve">ארוך </w:t>
      </w:r>
      <w:r>
        <w:rPr>
          <w:rFonts w:ascii="David" w:eastAsia="Calibri" w:hAnsi="David" w:cs="David" w:hint="cs"/>
          <w:sz w:val="24"/>
          <w:szCs w:val="24"/>
          <w:rtl/>
          <w14:ligatures w14:val="none"/>
        </w:rPr>
        <w:t>יותר ולשקף את הדרישה לתכנית איחוד וחלוקה לצורך הוצאת היתרי בניה.</w:t>
      </w:r>
    </w:p>
    <w:p w14:paraId="2C9A37BD" w14:textId="77777777" w:rsidR="00A55D28" w:rsidRPr="001E11B8" w:rsidRDefault="00A55D28" w:rsidP="00F368C5">
      <w:pPr>
        <w:spacing w:before="100" w:beforeAutospacing="1" w:line="360" w:lineRule="auto"/>
        <w:ind w:left="90" w:hanging="425"/>
        <w:jc w:val="both"/>
        <w:rPr>
          <w:rFonts w:ascii="David" w:eastAsia="Calibri" w:hAnsi="David" w:cs="David"/>
          <w:b/>
          <w:bCs/>
          <w:sz w:val="24"/>
          <w:szCs w:val="24"/>
          <w:u w:val="single"/>
          <w:rtl/>
          <w14:ligatures w14:val="none"/>
        </w:rPr>
      </w:pPr>
      <w:r w:rsidRPr="001E11B8">
        <w:rPr>
          <w:rFonts w:ascii="David" w:eastAsia="Calibri" w:hAnsi="David" w:cs="David"/>
          <w:b/>
          <w:bCs/>
          <w:sz w:val="24"/>
          <w:szCs w:val="24"/>
          <w:u w:val="single"/>
          <w:rtl/>
          <w14:ligatures w14:val="none"/>
        </w:rPr>
        <w:t>דיון</w:t>
      </w:r>
      <w:r w:rsidR="007615B2" w:rsidRPr="001E11B8">
        <w:rPr>
          <w:rFonts w:ascii="David" w:eastAsia="Calibri" w:hAnsi="David" w:cs="David" w:hint="cs"/>
          <w:b/>
          <w:bCs/>
          <w:sz w:val="24"/>
          <w:szCs w:val="24"/>
          <w:u w:val="single"/>
          <w:rtl/>
          <w14:ligatures w14:val="none"/>
        </w:rPr>
        <w:t xml:space="preserve"> והכרעה</w:t>
      </w:r>
    </w:p>
    <w:p w14:paraId="3359069B" w14:textId="49FDE132" w:rsidR="00760DA0" w:rsidRPr="00760DA0" w:rsidRDefault="00760DA0" w:rsidP="003D1C98">
      <w:pPr>
        <w:numPr>
          <w:ilvl w:val="0"/>
          <w:numId w:val="1"/>
        </w:numPr>
        <w:spacing w:before="100" w:beforeAutospacing="1" w:line="360" w:lineRule="auto"/>
        <w:ind w:left="90" w:hanging="425"/>
        <w:jc w:val="both"/>
        <w:rPr>
          <w:rFonts w:ascii="David" w:eastAsia="Calibri" w:hAnsi="David" w:cs="David"/>
          <w:sz w:val="24"/>
          <w:szCs w:val="24"/>
          <w:rtl/>
          <w14:ligatures w14:val="none"/>
        </w:rPr>
      </w:pPr>
      <w:r w:rsidRPr="00760DA0">
        <w:rPr>
          <w:rFonts w:ascii="David" w:eastAsia="Calibri" w:hAnsi="David" w:cs="David"/>
          <w:sz w:val="24"/>
          <w:szCs w:val="24"/>
          <w:rtl/>
          <w14:ligatures w14:val="none"/>
        </w:rPr>
        <w:t xml:space="preserve">לאחר ששקלנו את עמדות הצדדים לא מצאנו מקום להתערב </w:t>
      </w:r>
      <w:r w:rsidR="00F368C5">
        <w:rPr>
          <w:rFonts w:ascii="David" w:eastAsia="Calibri" w:hAnsi="David" w:cs="David" w:hint="cs"/>
          <w:sz w:val="24"/>
          <w:szCs w:val="24"/>
          <w:rtl/>
          <w14:ligatures w14:val="none"/>
        </w:rPr>
        <w:t xml:space="preserve">בקביעת השמאי המכריע </w:t>
      </w:r>
      <w:r w:rsidR="00877AB6">
        <w:rPr>
          <w:rFonts w:ascii="David" w:eastAsia="Calibri" w:hAnsi="David" w:cs="David" w:hint="cs"/>
          <w:sz w:val="24"/>
          <w:szCs w:val="24"/>
          <w:rtl/>
          <w14:ligatures w14:val="none"/>
        </w:rPr>
        <w:t>ביחס לקביעת מקדם זמינות במצב הקודם</w:t>
      </w:r>
      <w:r w:rsidRPr="00760DA0">
        <w:rPr>
          <w:rFonts w:ascii="David" w:eastAsia="Calibri" w:hAnsi="David" w:cs="David"/>
          <w:sz w:val="24"/>
          <w:szCs w:val="24"/>
          <w:rtl/>
          <w14:ligatures w14:val="none"/>
        </w:rPr>
        <w:t>.</w:t>
      </w:r>
    </w:p>
    <w:p w14:paraId="795F43F1" w14:textId="77777777" w:rsidR="00760DA0" w:rsidRPr="00760DA0" w:rsidRDefault="003D1C98" w:rsidP="003D1C98">
      <w:pPr>
        <w:numPr>
          <w:ilvl w:val="0"/>
          <w:numId w:val="1"/>
        </w:numPr>
        <w:spacing w:before="100" w:beforeAutospacing="1" w:line="360" w:lineRule="auto"/>
        <w:ind w:left="90" w:hanging="425"/>
        <w:jc w:val="both"/>
        <w:rPr>
          <w:rFonts w:ascii="David" w:eastAsia="Calibri" w:hAnsi="David" w:cs="David"/>
          <w:sz w:val="24"/>
          <w:szCs w:val="24"/>
          <w:rtl/>
          <w14:ligatures w14:val="none"/>
        </w:rPr>
      </w:pPr>
      <w:r>
        <w:rPr>
          <w:rFonts w:ascii="David" w:eastAsia="Calibri" w:hAnsi="David" w:cs="David" w:hint="cs"/>
          <w:sz w:val="24"/>
          <w:szCs w:val="24"/>
          <w:rtl/>
          <w14:ligatures w14:val="none"/>
        </w:rPr>
        <w:t xml:space="preserve">נבהיר- </w:t>
      </w:r>
      <w:r w:rsidR="00760DA0" w:rsidRPr="00760DA0">
        <w:rPr>
          <w:rFonts w:ascii="David" w:eastAsia="Calibri" w:hAnsi="David" w:cs="David"/>
          <w:sz w:val="24"/>
          <w:szCs w:val="24"/>
          <w:rtl/>
          <w14:ligatures w14:val="none"/>
        </w:rPr>
        <w:t>במסגרת שומת העוררות סקרו הן מספר היתרים תוך שהן מבהירות מפורשות כי:</w:t>
      </w:r>
    </w:p>
    <w:p w14:paraId="56BE7A5F" w14:textId="77777777" w:rsidR="00760DA0" w:rsidRPr="00760DA0" w:rsidRDefault="00760DA0" w:rsidP="00760DA0">
      <w:pPr>
        <w:spacing w:before="100" w:beforeAutospacing="1" w:line="360" w:lineRule="auto"/>
        <w:ind w:left="90" w:hanging="425"/>
        <w:rPr>
          <w:rFonts w:ascii="David" w:eastAsia="Calibri" w:hAnsi="David" w:cs="David"/>
          <w:sz w:val="24"/>
          <w:szCs w:val="24"/>
          <w:rtl/>
          <w14:ligatures w14:val="none"/>
        </w:rPr>
      </w:pPr>
      <w:r w:rsidRPr="00760DA0">
        <w:rPr>
          <w:rFonts w:ascii="David" w:eastAsia="Calibri" w:hAnsi="David" w:cs="David"/>
          <w:sz w:val="24"/>
          <w:szCs w:val="24"/>
          <w:rtl/>
          <w14:ligatures w14:val="none"/>
        </w:rPr>
        <w:t xml:space="preserve"> </w:t>
      </w:r>
      <w:r w:rsidRPr="005165D4">
        <w:rPr>
          <w:rFonts w:cs="Arial"/>
          <w:noProof/>
          <w:rtl/>
        </w:rPr>
        <w:drawing>
          <wp:inline distT="0" distB="0" distL="0" distR="0" wp14:anchorId="06063CD0" wp14:editId="3857B06F">
            <wp:extent cx="5274310" cy="970280"/>
            <wp:effectExtent l="0" t="0" r="2540" b="127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970280"/>
                    </a:xfrm>
                    <a:prstGeom prst="rect">
                      <a:avLst/>
                    </a:prstGeom>
                    <a:noFill/>
                    <a:ln>
                      <a:noFill/>
                    </a:ln>
                  </pic:spPr>
                </pic:pic>
              </a:graphicData>
            </a:graphic>
          </wp:inline>
        </w:drawing>
      </w:r>
    </w:p>
    <w:p w14:paraId="6469783C" w14:textId="77777777" w:rsidR="00760DA0" w:rsidRPr="00760DA0" w:rsidRDefault="00760DA0" w:rsidP="00631A65">
      <w:pPr>
        <w:numPr>
          <w:ilvl w:val="0"/>
          <w:numId w:val="1"/>
        </w:numPr>
        <w:spacing w:before="100" w:beforeAutospacing="1" w:line="360" w:lineRule="auto"/>
        <w:ind w:left="90" w:hanging="425"/>
        <w:jc w:val="both"/>
        <w:rPr>
          <w:rFonts w:ascii="David" w:eastAsia="Calibri" w:hAnsi="David" w:cs="David"/>
          <w:sz w:val="24"/>
          <w:szCs w:val="24"/>
          <w:rtl/>
          <w14:ligatures w14:val="none"/>
        </w:rPr>
      </w:pPr>
      <w:r w:rsidRPr="00760DA0">
        <w:rPr>
          <w:rFonts w:ascii="David" w:eastAsia="Calibri" w:hAnsi="David" w:cs="David"/>
          <w:sz w:val="24"/>
          <w:szCs w:val="24"/>
          <w:rtl/>
          <w14:ligatures w14:val="none"/>
        </w:rPr>
        <w:lastRenderedPageBreak/>
        <w:t>גם בדיון בפני השמאי המכריע חזרו העוררות על קביעה זו והבהירו כך:</w:t>
      </w:r>
    </w:p>
    <w:p w14:paraId="3D367AF3" w14:textId="77777777" w:rsidR="00760DA0" w:rsidRPr="00631A65" w:rsidRDefault="00760DA0" w:rsidP="00631A65">
      <w:pPr>
        <w:pStyle w:val="a9"/>
        <w:spacing w:line="360" w:lineRule="auto"/>
        <w:ind w:left="658" w:right="851"/>
        <w:jc w:val="both"/>
        <w:rPr>
          <w:rFonts w:ascii="David" w:hAnsi="David" w:cs="David"/>
          <w:b/>
          <w:bCs/>
          <w:sz w:val="24"/>
          <w:szCs w:val="24"/>
          <w:rtl/>
        </w:rPr>
      </w:pPr>
      <w:r w:rsidRPr="00631A65">
        <w:rPr>
          <w:rFonts w:ascii="David" w:hAnsi="David" w:cs="David"/>
          <w:b/>
          <w:bCs/>
          <w:sz w:val="24"/>
          <w:szCs w:val="24"/>
          <w:rtl/>
        </w:rPr>
        <w:tab/>
        <w:t xml:space="preserve">לא היה צורך באיחוד חלקות על מנת לממש בניה מכח תכנית </w:t>
      </w:r>
      <w:r w:rsidRPr="00631A65">
        <w:rPr>
          <w:rFonts w:ascii="David" w:hAnsi="David" w:cs="David"/>
          <w:b/>
          <w:bCs/>
          <w:sz w:val="24"/>
          <w:szCs w:val="24"/>
        </w:rPr>
        <w:t>F</w:t>
      </w:r>
      <w:r w:rsidRPr="00631A65">
        <w:rPr>
          <w:rFonts w:ascii="David" w:hAnsi="David" w:cs="David"/>
          <w:b/>
          <w:bCs/>
          <w:sz w:val="24"/>
          <w:szCs w:val="24"/>
          <w:rtl/>
        </w:rPr>
        <w:t>. החלקות שבנדון מוגדרות הן גדולות דיין למימוש גם ללא איחוד, ולכל היותר בחלק מן המקרים היה צורך בעריכת תצ"ר. כאמו</w:t>
      </w:r>
      <w:r w:rsidRPr="00631A65">
        <w:rPr>
          <w:rFonts w:ascii="David" w:hAnsi="David" w:cs="David" w:hint="eastAsia"/>
          <w:b/>
          <w:bCs/>
          <w:sz w:val="24"/>
          <w:szCs w:val="24"/>
          <w:rtl/>
        </w:rPr>
        <w:t>ר</w:t>
      </w:r>
      <w:r w:rsidRPr="00631A65">
        <w:rPr>
          <w:rFonts w:ascii="David" w:hAnsi="David" w:cs="David"/>
          <w:b/>
          <w:bCs/>
          <w:sz w:val="24"/>
          <w:szCs w:val="24"/>
          <w:rtl/>
        </w:rPr>
        <w:t xml:space="preserve">, כפי שהראנו בהיתרים שהוצאו בפועל הדבר בוצע. גם סימון דרכים ומדרכות מכח תכנית </w:t>
      </w:r>
      <w:r w:rsidRPr="00631A65">
        <w:rPr>
          <w:rFonts w:ascii="David" w:hAnsi="David" w:cs="David"/>
          <w:b/>
          <w:bCs/>
          <w:sz w:val="24"/>
          <w:szCs w:val="24"/>
        </w:rPr>
        <w:t>F</w:t>
      </w:r>
      <w:r w:rsidRPr="00631A65">
        <w:rPr>
          <w:rFonts w:ascii="David" w:hAnsi="David" w:cs="David"/>
          <w:b/>
          <w:bCs/>
          <w:sz w:val="24"/>
          <w:szCs w:val="24"/>
          <w:rtl/>
        </w:rPr>
        <w:t xml:space="preserve"> לא מנע הוצאת היתרים וזאת אף מבלי לאשר תצ"ר.</w:t>
      </w:r>
    </w:p>
    <w:p w14:paraId="6E179E5B" w14:textId="725E2D96" w:rsidR="00760DA0" w:rsidRPr="00760DA0" w:rsidRDefault="00760DA0" w:rsidP="00631A65">
      <w:pPr>
        <w:numPr>
          <w:ilvl w:val="0"/>
          <w:numId w:val="1"/>
        </w:numPr>
        <w:spacing w:before="100" w:beforeAutospacing="1" w:line="360" w:lineRule="auto"/>
        <w:ind w:left="90" w:hanging="425"/>
        <w:jc w:val="both"/>
        <w:rPr>
          <w:rFonts w:ascii="David" w:eastAsia="Calibri" w:hAnsi="David" w:cs="David"/>
          <w:sz w:val="24"/>
          <w:szCs w:val="24"/>
          <w:rtl/>
          <w14:ligatures w14:val="none"/>
        </w:rPr>
      </w:pPr>
      <w:r w:rsidRPr="00760DA0">
        <w:rPr>
          <w:rFonts w:ascii="David" w:eastAsia="Calibri" w:hAnsi="David" w:cs="David"/>
          <w:sz w:val="24"/>
          <w:szCs w:val="24"/>
          <w:rtl/>
          <w14:ligatures w14:val="none"/>
        </w:rPr>
        <w:t xml:space="preserve">הווי אומר קביעת השמאי המכריע לפיה יש צורך ב"סימון דרכים" ועריכת תצ"ר </w:t>
      </w:r>
      <w:r w:rsidR="00475FB3">
        <w:rPr>
          <w:rFonts w:ascii="David" w:eastAsia="Calibri" w:hAnsi="David" w:cs="David" w:hint="cs"/>
          <w:sz w:val="24"/>
          <w:szCs w:val="24"/>
          <w:rtl/>
          <w14:ligatures w14:val="none"/>
        </w:rPr>
        <w:t>מקבלת</w:t>
      </w:r>
      <w:r w:rsidRPr="00760DA0">
        <w:rPr>
          <w:rFonts w:ascii="David" w:eastAsia="Calibri" w:hAnsi="David" w:cs="David"/>
          <w:sz w:val="24"/>
          <w:szCs w:val="24"/>
          <w:rtl/>
          <w14:ligatures w14:val="none"/>
        </w:rPr>
        <w:t xml:space="preserve"> למעשה </w:t>
      </w:r>
      <w:r w:rsidR="00475FB3">
        <w:rPr>
          <w:rFonts w:ascii="David" w:eastAsia="Calibri" w:hAnsi="David" w:cs="David" w:hint="cs"/>
          <w:sz w:val="24"/>
          <w:szCs w:val="24"/>
          <w:rtl/>
          <w14:ligatures w14:val="none"/>
        </w:rPr>
        <w:t>את</w:t>
      </w:r>
      <w:r w:rsidRPr="00760DA0">
        <w:rPr>
          <w:rFonts w:ascii="David" w:eastAsia="Calibri" w:hAnsi="David" w:cs="David"/>
          <w:sz w:val="24"/>
          <w:szCs w:val="24"/>
          <w:rtl/>
          <w14:ligatures w14:val="none"/>
        </w:rPr>
        <w:t xml:space="preserve"> שומת העוררות וטענותיהן בדיון לפני</w:t>
      </w:r>
      <w:r w:rsidR="00475FB3">
        <w:rPr>
          <w:rFonts w:ascii="David" w:eastAsia="Calibri" w:hAnsi="David" w:cs="David" w:hint="cs"/>
          <w:sz w:val="24"/>
          <w:szCs w:val="24"/>
          <w:rtl/>
          <w14:ligatures w14:val="none"/>
        </w:rPr>
        <w:t xml:space="preserve"> השמאי המכריע</w:t>
      </w:r>
      <w:r w:rsidRPr="00760DA0">
        <w:rPr>
          <w:rFonts w:ascii="David" w:eastAsia="Calibri" w:hAnsi="David" w:cs="David"/>
          <w:sz w:val="24"/>
          <w:szCs w:val="24"/>
          <w:rtl/>
          <w14:ligatures w14:val="none"/>
        </w:rPr>
        <w:t>.</w:t>
      </w:r>
    </w:p>
    <w:p w14:paraId="1B230059" w14:textId="78560F84" w:rsidR="00760DA0" w:rsidRPr="00760DA0" w:rsidRDefault="00760DA0" w:rsidP="00631A65">
      <w:pPr>
        <w:numPr>
          <w:ilvl w:val="0"/>
          <w:numId w:val="1"/>
        </w:numPr>
        <w:spacing w:before="100" w:beforeAutospacing="1" w:line="360" w:lineRule="auto"/>
        <w:ind w:left="90" w:hanging="425"/>
        <w:jc w:val="both"/>
        <w:rPr>
          <w:rFonts w:ascii="David" w:eastAsia="Calibri" w:hAnsi="David" w:cs="David"/>
          <w:sz w:val="24"/>
          <w:szCs w:val="24"/>
          <w:rtl/>
          <w14:ligatures w14:val="none"/>
        </w:rPr>
      </w:pPr>
      <w:r w:rsidRPr="00760DA0">
        <w:rPr>
          <w:rFonts w:ascii="David" w:eastAsia="Calibri" w:hAnsi="David" w:cs="David"/>
          <w:sz w:val="24"/>
          <w:szCs w:val="24"/>
          <w:rtl/>
          <w14:ligatures w14:val="none"/>
        </w:rPr>
        <w:t>נציין כי במסגרת שומת העוררת הציגו הן</w:t>
      </w:r>
      <w:r w:rsidR="00CB29F5">
        <w:rPr>
          <w:rFonts w:ascii="David" w:eastAsia="Calibri" w:hAnsi="David" w:cs="David" w:hint="cs"/>
          <w:sz w:val="24"/>
          <w:szCs w:val="24"/>
          <w:rtl/>
          <w14:ligatures w14:val="none"/>
        </w:rPr>
        <w:t xml:space="preserve"> גם</w:t>
      </w:r>
      <w:r w:rsidRPr="00760DA0">
        <w:rPr>
          <w:rFonts w:ascii="David" w:eastAsia="Calibri" w:hAnsi="David" w:cs="David"/>
          <w:sz w:val="24"/>
          <w:szCs w:val="24"/>
          <w:rtl/>
          <w14:ligatures w14:val="none"/>
        </w:rPr>
        <w:t xml:space="preserve"> היתרי בניה, בהם לא נדרש תצ"ר או סימון דרכים. ואולם היתרים אלו אינם </w:t>
      </w:r>
      <w:r w:rsidR="00BA42B8">
        <w:rPr>
          <w:rFonts w:ascii="David" w:eastAsia="Calibri" w:hAnsi="David" w:cs="David" w:hint="cs"/>
          <w:sz w:val="24"/>
          <w:szCs w:val="24"/>
          <w:rtl/>
          <w14:ligatures w14:val="none"/>
        </w:rPr>
        <w:t>כוללים את החלקות מושא הערר על ייחודן התכנוני כפי שמשתקף מהתכניות החלות</w:t>
      </w:r>
      <w:r w:rsidRPr="00760DA0">
        <w:rPr>
          <w:rFonts w:ascii="David" w:eastAsia="Calibri" w:hAnsi="David" w:cs="David"/>
          <w:sz w:val="24"/>
          <w:szCs w:val="24"/>
          <w:rtl/>
          <w14:ligatures w14:val="none"/>
        </w:rPr>
        <w:t xml:space="preserve"> ונראה כי המצב בהם שונה</w:t>
      </w:r>
      <w:r w:rsidR="008D7293">
        <w:rPr>
          <w:rFonts w:ascii="David" w:eastAsia="Calibri" w:hAnsi="David" w:cs="David" w:hint="cs"/>
          <w:sz w:val="24"/>
          <w:szCs w:val="24"/>
          <w:rtl/>
          <w14:ligatures w14:val="none"/>
        </w:rPr>
        <w:t>;</w:t>
      </w:r>
      <w:r w:rsidRPr="00760DA0">
        <w:rPr>
          <w:rFonts w:ascii="David" w:eastAsia="Calibri" w:hAnsi="David" w:cs="David"/>
          <w:sz w:val="24"/>
          <w:szCs w:val="24"/>
          <w:rtl/>
          <w14:ligatures w14:val="none"/>
        </w:rPr>
        <w:t xml:space="preserve"> ו</w:t>
      </w:r>
      <w:r w:rsidR="00BA42B8">
        <w:rPr>
          <w:rFonts w:ascii="David" w:eastAsia="Calibri" w:hAnsi="David" w:cs="David" w:hint="cs"/>
          <w:sz w:val="24"/>
          <w:szCs w:val="24"/>
          <w:rtl/>
          <w14:ligatures w14:val="none"/>
        </w:rPr>
        <w:t xml:space="preserve">על כן </w:t>
      </w:r>
      <w:r w:rsidRPr="00760DA0">
        <w:rPr>
          <w:rFonts w:ascii="David" w:eastAsia="Calibri" w:hAnsi="David" w:cs="David"/>
          <w:sz w:val="24"/>
          <w:szCs w:val="24"/>
          <w:rtl/>
          <w14:ligatures w14:val="none"/>
        </w:rPr>
        <w:t>לא ניתן להסיק מהם לענייננו. כך גם ביחס לשומות המכר</w:t>
      </w:r>
      <w:r w:rsidR="00877AB6">
        <w:rPr>
          <w:rFonts w:ascii="David" w:eastAsia="Calibri" w:hAnsi="David" w:cs="David" w:hint="cs"/>
          <w:sz w:val="24"/>
          <w:szCs w:val="24"/>
          <w:rtl/>
          <w14:ligatures w14:val="none"/>
        </w:rPr>
        <w:t>י</w:t>
      </w:r>
      <w:r w:rsidRPr="00760DA0">
        <w:rPr>
          <w:rFonts w:ascii="David" w:eastAsia="Calibri" w:hAnsi="David" w:cs="David"/>
          <w:sz w:val="24"/>
          <w:szCs w:val="24"/>
          <w:rtl/>
          <w14:ligatures w14:val="none"/>
        </w:rPr>
        <w:t>עות שהוצגו על ידי העוררות – אין מדובר בחלקות מושא הערר.</w:t>
      </w:r>
    </w:p>
    <w:p w14:paraId="28D11067" w14:textId="77777777" w:rsidR="00760DA0" w:rsidRPr="00760DA0" w:rsidRDefault="00EA0243" w:rsidP="00631A65">
      <w:pPr>
        <w:numPr>
          <w:ilvl w:val="0"/>
          <w:numId w:val="1"/>
        </w:numPr>
        <w:spacing w:before="100" w:beforeAutospacing="1" w:line="360" w:lineRule="auto"/>
        <w:ind w:left="90" w:hanging="425"/>
        <w:jc w:val="both"/>
        <w:rPr>
          <w:rFonts w:ascii="David" w:eastAsia="Calibri" w:hAnsi="David" w:cs="David"/>
          <w:sz w:val="24"/>
          <w:szCs w:val="24"/>
          <w:rtl/>
          <w14:ligatures w14:val="none"/>
        </w:rPr>
      </w:pPr>
      <w:r>
        <w:rPr>
          <w:rFonts w:ascii="David" w:eastAsia="Calibri" w:hAnsi="David" w:cs="David" w:hint="cs"/>
          <w:sz w:val="24"/>
          <w:szCs w:val="24"/>
          <w:rtl/>
          <w14:ligatures w14:val="none"/>
        </w:rPr>
        <w:t>לגופו של עניין</w:t>
      </w:r>
      <w:r w:rsidR="00760DA0" w:rsidRPr="00760DA0">
        <w:rPr>
          <w:rFonts w:ascii="David" w:eastAsia="Calibri" w:hAnsi="David" w:cs="David"/>
          <w:sz w:val="24"/>
          <w:szCs w:val="24"/>
          <w:rtl/>
          <w14:ligatures w14:val="none"/>
        </w:rPr>
        <w:t>, במסגרת השומה המכרעת קיבל השמאי המכריע את עמדת העוררות ובהתאם לכך קבע את מקדם הדחייה.</w:t>
      </w:r>
    </w:p>
    <w:p w14:paraId="776F107D" w14:textId="77777777" w:rsidR="00760DA0" w:rsidRPr="00760DA0" w:rsidRDefault="00760DA0" w:rsidP="00631A65">
      <w:pPr>
        <w:numPr>
          <w:ilvl w:val="0"/>
          <w:numId w:val="1"/>
        </w:numPr>
        <w:spacing w:before="100" w:beforeAutospacing="1" w:line="360" w:lineRule="auto"/>
        <w:ind w:left="90" w:hanging="425"/>
        <w:jc w:val="both"/>
        <w:rPr>
          <w:rFonts w:ascii="David" w:eastAsia="Calibri" w:hAnsi="David" w:cs="David"/>
          <w:sz w:val="24"/>
          <w:szCs w:val="24"/>
          <w:rtl/>
          <w14:ligatures w14:val="none"/>
        </w:rPr>
      </w:pPr>
      <w:r w:rsidRPr="00760DA0">
        <w:rPr>
          <w:rFonts w:ascii="David" w:eastAsia="Calibri" w:hAnsi="David" w:cs="David"/>
          <w:sz w:val="24"/>
          <w:szCs w:val="24"/>
          <w:rtl/>
          <w14:ligatures w14:val="none"/>
        </w:rPr>
        <w:t>במסגרת הערר טוענות העוררות כי שגה השמאי המכריע ובה בעת סותרות את האמור בשומתן</w:t>
      </w:r>
      <w:r w:rsidR="004F783D">
        <w:rPr>
          <w:rFonts w:ascii="David" w:eastAsia="Calibri" w:hAnsi="David" w:cs="David" w:hint="cs"/>
          <w:sz w:val="24"/>
          <w:szCs w:val="24"/>
          <w:rtl/>
          <w14:ligatures w14:val="none"/>
        </w:rPr>
        <w:t xml:space="preserve"> אשר למעשה התקבלה על ידי השמאי המכריע</w:t>
      </w:r>
      <w:r w:rsidRPr="00760DA0">
        <w:rPr>
          <w:rFonts w:ascii="David" w:eastAsia="Calibri" w:hAnsi="David" w:cs="David"/>
          <w:sz w:val="24"/>
          <w:szCs w:val="24"/>
          <w:rtl/>
          <w14:ligatures w14:val="none"/>
        </w:rPr>
        <w:t xml:space="preserve"> – התנהלות זו לא ניתן לקבל.</w:t>
      </w:r>
    </w:p>
    <w:p w14:paraId="7AD879C7" w14:textId="77777777" w:rsidR="00760DA0" w:rsidRPr="00760DA0" w:rsidRDefault="00760DA0" w:rsidP="00631A65">
      <w:pPr>
        <w:numPr>
          <w:ilvl w:val="0"/>
          <w:numId w:val="1"/>
        </w:numPr>
        <w:spacing w:before="100" w:beforeAutospacing="1" w:line="360" w:lineRule="auto"/>
        <w:ind w:left="90" w:hanging="425"/>
        <w:jc w:val="both"/>
        <w:rPr>
          <w:rFonts w:ascii="David" w:eastAsia="Calibri" w:hAnsi="David" w:cs="David"/>
          <w:sz w:val="24"/>
          <w:szCs w:val="24"/>
          <w:rtl/>
          <w14:ligatures w14:val="none"/>
        </w:rPr>
      </w:pPr>
      <w:r w:rsidRPr="00760DA0">
        <w:rPr>
          <w:rFonts w:ascii="David" w:eastAsia="Calibri" w:hAnsi="David" w:cs="David"/>
          <w:sz w:val="24"/>
          <w:szCs w:val="24"/>
          <w:rtl/>
          <w14:ligatures w14:val="none"/>
        </w:rPr>
        <w:t>עמדנו על עניין ההשתק השיפוטי שעה שעסקנו בשומת ועדה מקומית. אך דברים אלו נכונים גם שעה שעסקינן בטענות נישום אשר התקבלו על ידי השמאי המכריע.</w:t>
      </w:r>
    </w:p>
    <w:p w14:paraId="5DC4B68F" w14:textId="0CD1D3A6" w:rsidR="00760DA0" w:rsidRPr="00760DA0" w:rsidRDefault="00760DA0" w:rsidP="00631A65">
      <w:pPr>
        <w:numPr>
          <w:ilvl w:val="0"/>
          <w:numId w:val="1"/>
        </w:numPr>
        <w:spacing w:before="100" w:beforeAutospacing="1" w:line="360" w:lineRule="auto"/>
        <w:ind w:left="90" w:hanging="425"/>
        <w:jc w:val="both"/>
        <w:rPr>
          <w:rFonts w:ascii="David" w:eastAsia="Calibri" w:hAnsi="David" w:cs="David"/>
          <w:sz w:val="24"/>
          <w:szCs w:val="24"/>
          <w:rtl/>
          <w14:ligatures w14:val="none"/>
        </w:rPr>
      </w:pPr>
      <w:r w:rsidRPr="00760DA0">
        <w:rPr>
          <w:rFonts w:ascii="David" w:eastAsia="Calibri" w:hAnsi="David" w:cs="David"/>
          <w:sz w:val="24"/>
          <w:szCs w:val="24"/>
          <w:rtl/>
          <w14:ligatures w14:val="none"/>
        </w:rPr>
        <w:t>לא ניתן להעלות על הדעת כי בשומה מטעמו</w:t>
      </w:r>
      <w:r w:rsidR="000327A8">
        <w:rPr>
          <w:rFonts w:ascii="David" w:eastAsia="Calibri" w:hAnsi="David" w:cs="David" w:hint="cs"/>
          <w:sz w:val="24"/>
          <w:szCs w:val="24"/>
          <w:rtl/>
          <w14:ligatures w14:val="none"/>
        </w:rPr>
        <w:t>,</w:t>
      </w:r>
      <w:r w:rsidRPr="00760DA0">
        <w:rPr>
          <w:rFonts w:ascii="David" w:eastAsia="Calibri" w:hAnsi="David" w:cs="David"/>
          <w:sz w:val="24"/>
          <w:szCs w:val="24"/>
          <w:rtl/>
          <w14:ligatures w14:val="none"/>
        </w:rPr>
        <w:t xml:space="preserve"> ייטען נישום טענה מסויימת ושעה שזו תתקבל ותאומץ, אך התוצאה תהיה אחרת </w:t>
      </w:r>
      <w:r w:rsidR="00877AB6">
        <w:rPr>
          <w:rFonts w:ascii="David" w:eastAsia="Calibri" w:hAnsi="David" w:cs="David" w:hint="cs"/>
          <w:sz w:val="24"/>
          <w:szCs w:val="24"/>
          <w:rtl/>
          <w14:ligatures w14:val="none"/>
        </w:rPr>
        <w:t>מ</w:t>
      </w:r>
      <w:r w:rsidRPr="00760DA0">
        <w:rPr>
          <w:rFonts w:ascii="David" w:eastAsia="Calibri" w:hAnsi="David" w:cs="David"/>
          <w:sz w:val="24"/>
          <w:szCs w:val="24"/>
          <w:rtl/>
          <w14:ligatures w14:val="none"/>
        </w:rPr>
        <w:t>המצופה</w:t>
      </w:r>
      <w:r w:rsidR="00877AB6">
        <w:rPr>
          <w:rFonts w:ascii="David" w:eastAsia="Calibri" w:hAnsi="David" w:cs="David" w:hint="cs"/>
          <w:sz w:val="24"/>
          <w:szCs w:val="24"/>
          <w:rtl/>
          <w14:ligatures w14:val="none"/>
        </w:rPr>
        <w:t xml:space="preserve"> על ידו</w:t>
      </w:r>
      <w:r w:rsidRPr="00760DA0">
        <w:rPr>
          <w:rFonts w:ascii="David" w:eastAsia="Calibri" w:hAnsi="David" w:cs="David"/>
          <w:sz w:val="24"/>
          <w:szCs w:val="24"/>
          <w:rtl/>
          <w14:ligatures w14:val="none"/>
        </w:rPr>
        <w:t>, ישנה הנישום את עמדתו. שלב הערר אינו פלטפורמה לתיקון עמדות שאומצו והתקבלו על ידי השמאי המכריע, על מנת לשפר את התוצאה השמאית</w:t>
      </w:r>
      <w:r w:rsidR="001067A3">
        <w:rPr>
          <w:rFonts w:ascii="David" w:eastAsia="Calibri" w:hAnsi="David" w:cs="David" w:hint="cs"/>
          <w:sz w:val="24"/>
          <w:szCs w:val="24"/>
          <w:rtl/>
          <w14:ligatures w14:val="none"/>
        </w:rPr>
        <w:t xml:space="preserve"> אליה חותר הנישום</w:t>
      </w:r>
      <w:r w:rsidRPr="00760DA0">
        <w:rPr>
          <w:rFonts w:ascii="David" w:eastAsia="Calibri" w:hAnsi="David" w:cs="David"/>
          <w:sz w:val="24"/>
          <w:szCs w:val="24"/>
          <w:rtl/>
          <w14:ligatures w14:val="none"/>
        </w:rPr>
        <w:t>.</w:t>
      </w:r>
    </w:p>
    <w:p w14:paraId="5E9C821C" w14:textId="77777777" w:rsidR="00760DA0" w:rsidRPr="00760DA0" w:rsidRDefault="00760DA0" w:rsidP="00631A65">
      <w:pPr>
        <w:numPr>
          <w:ilvl w:val="0"/>
          <w:numId w:val="1"/>
        </w:numPr>
        <w:spacing w:before="100" w:beforeAutospacing="1" w:line="360" w:lineRule="auto"/>
        <w:ind w:left="90" w:hanging="425"/>
        <w:jc w:val="both"/>
        <w:rPr>
          <w:rFonts w:ascii="David" w:eastAsia="Calibri" w:hAnsi="David" w:cs="David"/>
          <w:sz w:val="24"/>
          <w:szCs w:val="24"/>
          <w:rtl/>
          <w14:ligatures w14:val="none"/>
        </w:rPr>
      </w:pPr>
      <w:r w:rsidRPr="00760DA0">
        <w:rPr>
          <w:rFonts w:ascii="David" w:eastAsia="Calibri" w:hAnsi="David" w:cs="David"/>
          <w:sz w:val="24"/>
          <w:szCs w:val="24"/>
          <w:rtl/>
          <w14:ligatures w14:val="none"/>
        </w:rPr>
        <w:t>עקרון זה אומץ הן על ידינו והן על ידי ועדות הערר השונות על הרכביהן השונים.</w:t>
      </w:r>
      <w:r w:rsidR="004849DE">
        <w:rPr>
          <w:rFonts w:ascii="David" w:eastAsia="Calibri" w:hAnsi="David" w:cs="David" w:hint="cs"/>
          <w:sz w:val="24"/>
          <w:szCs w:val="24"/>
          <w:rtl/>
          <w14:ligatures w14:val="none"/>
        </w:rPr>
        <w:t xml:space="preserve"> בחלק מהמקרים עסקה ועדת הערר בשומת הוועדה המקומית, אך עקרון ההשתק האמור נכון גם ביחס לשומות הנישום.</w:t>
      </w:r>
      <w:r w:rsidRPr="00760DA0">
        <w:rPr>
          <w:rFonts w:ascii="David" w:eastAsia="Calibri" w:hAnsi="David" w:cs="David"/>
          <w:sz w:val="24"/>
          <w:szCs w:val="24"/>
          <w:rtl/>
          <w14:ligatures w14:val="none"/>
        </w:rPr>
        <w:t xml:space="preserve"> ראו: ערר (ועדות ערר - תכנון ובנייה תל אביב-יפו) 86005-10-22 </w:t>
      </w:r>
      <w:r w:rsidRPr="00631A65">
        <w:rPr>
          <w:rFonts w:ascii="David" w:eastAsia="Calibri" w:hAnsi="David" w:cs="David"/>
          <w:b/>
          <w:bCs/>
          <w:sz w:val="24"/>
          <w:szCs w:val="24"/>
          <w:rtl/>
          <w14:ligatures w14:val="none"/>
        </w:rPr>
        <w:t>הוועדה המקומית לתכנון ובניה תל אביב-יפו נ' נדר פז ח.מ.1 בע"מ (חברת בנבנישתי 7 תל אביב בע"מ)</w:t>
      </w:r>
      <w:r w:rsidRPr="00760DA0">
        <w:rPr>
          <w:rFonts w:ascii="David" w:eastAsia="Calibri" w:hAnsi="David" w:cs="David"/>
          <w:sz w:val="24"/>
          <w:szCs w:val="24"/>
          <w:rtl/>
          <w14:ligatures w14:val="none"/>
        </w:rPr>
        <w:t xml:space="preserve"> (נבו 20.6.2024)</w:t>
      </w:r>
      <w:r w:rsidR="001067A3">
        <w:rPr>
          <w:rFonts w:ascii="David" w:eastAsia="Calibri" w:hAnsi="David" w:cs="David" w:hint="cs"/>
          <w:sz w:val="24"/>
          <w:szCs w:val="24"/>
          <w:rtl/>
          <w14:ligatures w14:val="none"/>
        </w:rPr>
        <w:t>;</w:t>
      </w:r>
      <w:r w:rsidRPr="00760DA0">
        <w:rPr>
          <w:rFonts w:ascii="David" w:eastAsia="Calibri" w:hAnsi="David" w:cs="David"/>
          <w:sz w:val="24"/>
          <w:szCs w:val="24"/>
          <w:rtl/>
          <w14:ligatures w14:val="none"/>
        </w:rPr>
        <w:t xml:space="preserve"> ערר (ועדות ערר - תכנון ובנייה תל אביב-יפו) 81048-04-24 </w:t>
      </w:r>
      <w:r w:rsidRPr="00631A65">
        <w:rPr>
          <w:rFonts w:ascii="David" w:eastAsia="Calibri" w:hAnsi="David" w:cs="David"/>
          <w:b/>
          <w:bCs/>
          <w:sz w:val="24"/>
          <w:szCs w:val="24"/>
          <w:rtl/>
          <w14:ligatures w14:val="none"/>
        </w:rPr>
        <w:t xml:space="preserve">נעמה </w:t>
      </w:r>
      <w:proofErr w:type="spellStart"/>
      <w:r w:rsidRPr="00631A65">
        <w:rPr>
          <w:rFonts w:ascii="David" w:eastAsia="Calibri" w:hAnsi="David" w:cs="David"/>
          <w:b/>
          <w:bCs/>
          <w:sz w:val="24"/>
          <w:szCs w:val="24"/>
          <w:rtl/>
          <w14:ligatures w14:val="none"/>
        </w:rPr>
        <w:t>יואלס</w:t>
      </w:r>
      <w:proofErr w:type="spellEnd"/>
      <w:r w:rsidRPr="00631A65">
        <w:rPr>
          <w:rFonts w:ascii="David" w:eastAsia="Calibri" w:hAnsi="David" w:cs="David"/>
          <w:b/>
          <w:bCs/>
          <w:sz w:val="24"/>
          <w:szCs w:val="24"/>
          <w:rtl/>
          <w14:ligatures w14:val="none"/>
        </w:rPr>
        <w:t xml:space="preserve"> ואח' נ' הועדה המקומית לתכנון ובניה גבעתיים</w:t>
      </w:r>
      <w:r w:rsidRPr="00760DA0">
        <w:rPr>
          <w:rFonts w:ascii="David" w:eastAsia="Calibri" w:hAnsi="David" w:cs="David"/>
          <w:sz w:val="24"/>
          <w:szCs w:val="24"/>
          <w:rtl/>
          <w14:ligatures w14:val="none"/>
        </w:rPr>
        <w:t xml:space="preserve"> (נבו 16.12.2024); ערר (ועדות ערר - תכנון ובנייה מרכז) 8005-01-23 </w:t>
      </w:r>
      <w:proofErr w:type="spellStart"/>
      <w:r w:rsidRPr="00631A65">
        <w:rPr>
          <w:rFonts w:ascii="David" w:eastAsia="Calibri" w:hAnsi="David" w:cs="David"/>
          <w:b/>
          <w:bCs/>
          <w:sz w:val="24"/>
          <w:szCs w:val="24"/>
          <w:rtl/>
          <w14:ligatures w14:val="none"/>
        </w:rPr>
        <w:t>קטה</w:t>
      </w:r>
      <w:proofErr w:type="spellEnd"/>
      <w:r w:rsidRPr="00631A65">
        <w:rPr>
          <w:rFonts w:ascii="David" w:eastAsia="Calibri" w:hAnsi="David" w:cs="David"/>
          <w:b/>
          <w:bCs/>
          <w:sz w:val="24"/>
          <w:szCs w:val="24"/>
          <w:rtl/>
          <w14:ligatures w14:val="none"/>
        </w:rPr>
        <w:t xml:space="preserve"> אחזקות בע"מ נ' הוועדה המקומית לתכנון ולבנייה גבעת שמואל</w:t>
      </w:r>
      <w:r w:rsidRPr="00760DA0">
        <w:rPr>
          <w:rFonts w:ascii="David" w:eastAsia="Calibri" w:hAnsi="David" w:cs="David"/>
          <w:sz w:val="24"/>
          <w:szCs w:val="24"/>
          <w:rtl/>
          <w14:ligatures w14:val="none"/>
        </w:rPr>
        <w:t xml:space="preserve"> (נבו 25.6.2024); ערר (ועדות ערר - תכנון ובנייה תל אביב-יפו) 95035-04-23 </w:t>
      </w:r>
      <w:r w:rsidRPr="00631A65">
        <w:rPr>
          <w:rFonts w:ascii="David" w:eastAsia="Calibri" w:hAnsi="David" w:cs="David"/>
          <w:b/>
          <w:bCs/>
          <w:sz w:val="24"/>
          <w:szCs w:val="24"/>
          <w:rtl/>
          <w14:ligatures w14:val="none"/>
        </w:rPr>
        <w:t>יהושע נוף נ' הועדה מקומית לתכנון ובניה תל-אביב יפו</w:t>
      </w:r>
      <w:r w:rsidRPr="00760DA0">
        <w:rPr>
          <w:rFonts w:ascii="David" w:eastAsia="Calibri" w:hAnsi="David" w:cs="David"/>
          <w:sz w:val="24"/>
          <w:szCs w:val="24"/>
          <w:rtl/>
          <w14:ligatures w14:val="none"/>
        </w:rPr>
        <w:t xml:space="preserve"> (נבו 4.12.2025)</w:t>
      </w:r>
    </w:p>
    <w:p w14:paraId="3538572C" w14:textId="77777777" w:rsidR="00760DA0" w:rsidRPr="00760DA0" w:rsidRDefault="00760DA0" w:rsidP="00631A65">
      <w:pPr>
        <w:numPr>
          <w:ilvl w:val="0"/>
          <w:numId w:val="1"/>
        </w:numPr>
        <w:spacing w:before="100" w:beforeAutospacing="1" w:line="360" w:lineRule="auto"/>
        <w:ind w:left="90" w:hanging="425"/>
        <w:jc w:val="both"/>
        <w:rPr>
          <w:rFonts w:ascii="David" w:eastAsia="Calibri" w:hAnsi="David" w:cs="David"/>
          <w:sz w:val="24"/>
          <w:szCs w:val="24"/>
          <w:rtl/>
          <w14:ligatures w14:val="none"/>
        </w:rPr>
      </w:pPr>
      <w:r w:rsidRPr="00760DA0">
        <w:rPr>
          <w:rFonts w:ascii="David" w:eastAsia="Calibri" w:hAnsi="David" w:cs="David"/>
          <w:sz w:val="24"/>
          <w:szCs w:val="24"/>
          <w:rtl/>
          <w14:ligatures w14:val="none"/>
        </w:rPr>
        <w:t xml:space="preserve">על כן, איננו מוצאים להתערב </w:t>
      </w:r>
      <w:r w:rsidR="00046C93">
        <w:rPr>
          <w:rFonts w:ascii="David" w:eastAsia="Calibri" w:hAnsi="David" w:cs="David" w:hint="cs"/>
          <w:sz w:val="24"/>
          <w:szCs w:val="24"/>
          <w:rtl/>
          <w14:ligatures w14:val="none"/>
        </w:rPr>
        <w:t xml:space="preserve">בקביעת השמאי המכריע </w:t>
      </w:r>
      <w:r w:rsidR="00046C93" w:rsidRPr="00A93DA3">
        <w:rPr>
          <w:rFonts w:ascii="David" w:eastAsia="Calibri" w:hAnsi="David" w:cs="David" w:hint="cs"/>
          <w:b/>
          <w:bCs/>
          <w:sz w:val="24"/>
          <w:szCs w:val="24"/>
          <w:u w:val="single"/>
          <w:rtl/>
          <w14:ligatures w14:val="none"/>
        </w:rPr>
        <w:t>המאמץ את טענות העוררות</w:t>
      </w:r>
      <w:r w:rsidR="00046C93">
        <w:rPr>
          <w:rFonts w:ascii="David" w:eastAsia="Calibri" w:hAnsi="David" w:cs="David" w:hint="cs"/>
          <w:sz w:val="24"/>
          <w:szCs w:val="24"/>
          <w:rtl/>
          <w14:ligatures w14:val="none"/>
        </w:rPr>
        <w:t xml:space="preserve"> בדבר הצורך</w:t>
      </w:r>
      <w:r w:rsidRPr="00760DA0">
        <w:rPr>
          <w:rFonts w:ascii="David" w:eastAsia="Calibri" w:hAnsi="David" w:cs="David"/>
          <w:sz w:val="24"/>
          <w:szCs w:val="24"/>
          <w:rtl/>
          <w14:ligatures w14:val="none"/>
        </w:rPr>
        <w:t xml:space="preserve"> </w:t>
      </w:r>
      <w:r w:rsidR="00046C93">
        <w:rPr>
          <w:rFonts w:ascii="David" w:eastAsia="Calibri" w:hAnsi="David" w:cs="David" w:hint="cs"/>
          <w:sz w:val="24"/>
          <w:szCs w:val="24"/>
          <w:rtl/>
          <w14:ligatures w14:val="none"/>
        </w:rPr>
        <w:t>בעריכת</w:t>
      </w:r>
      <w:r w:rsidRPr="00760DA0">
        <w:rPr>
          <w:rFonts w:ascii="David" w:eastAsia="Calibri" w:hAnsi="David" w:cs="David"/>
          <w:sz w:val="24"/>
          <w:szCs w:val="24"/>
          <w:rtl/>
          <w14:ligatures w14:val="none"/>
        </w:rPr>
        <w:t xml:space="preserve"> תצ"ר או הצורך בפעולה תכנונית נוספת</w:t>
      </w:r>
      <w:r w:rsidR="00046C93">
        <w:rPr>
          <w:rFonts w:ascii="David" w:eastAsia="Calibri" w:hAnsi="David" w:cs="David" w:hint="cs"/>
          <w:sz w:val="24"/>
          <w:szCs w:val="24"/>
          <w:rtl/>
          <w14:ligatures w14:val="none"/>
        </w:rPr>
        <w:t xml:space="preserve"> </w:t>
      </w:r>
      <w:r w:rsidR="00046C93">
        <w:rPr>
          <w:rFonts w:ascii="David" w:eastAsia="Calibri" w:hAnsi="David" w:cs="David"/>
          <w:sz w:val="24"/>
          <w:szCs w:val="24"/>
          <w:rtl/>
          <w14:ligatures w14:val="none"/>
        </w:rPr>
        <w:t>–</w:t>
      </w:r>
      <w:r w:rsidR="00046C93">
        <w:rPr>
          <w:rFonts w:ascii="David" w:eastAsia="Calibri" w:hAnsi="David" w:cs="David" w:hint="cs"/>
          <w:sz w:val="24"/>
          <w:szCs w:val="24"/>
          <w:rtl/>
          <w14:ligatures w14:val="none"/>
        </w:rPr>
        <w:t xml:space="preserve"> "סימון דרכים ומדרכות" כלשון העוררות בדיון בפניו,</w:t>
      </w:r>
      <w:r w:rsidRPr="00760DA0">
        <w:rPr>
          <w:rFonts w:ascii="David" w:eastAsia="Calibri" w:hAnsi="David" w:cs="David"/>
          <w:sz w:val="24"/>
          <w:szCs w:val="24"/>
          <w:rtl/>
          <w14:ligatures w14:val="none"/>
        </w:rPr>
        <w:t xml:space="preserve"> על מנת שניתן יהיה להוציא את היתר הבניה. </w:t>
      </w:r>
    </w:p>
    <w:p w14:paraId="4D74F525" w14:textId="0C0CC07A" w:rsidR="00760DA0" w:rsidRPr="00760DA0" w:rsidRDefault="00760DA0" w:rsidP="00631A65">
      <w:pPr>
        <w:numPr>
          <w:ilvl w:val="0"/>
          <w:numId w:val="1"/>
        </w:numPr>
        <w:spacing w:before="100" w:beforeAutospacing="1" w:line="360" w:lineRule="auto"/>
        <w:ind w:left="90" w:hanging="425"/>
        <w:jc w:val="both"/>
        <w:rPr>
          <w:rFonts w:ascii="David" w:eastAsia="Calibri" w:hAnsi="David" w:cs="David"/>
          <w:sz w:val="24"/>
          <w:szCs w:val="24"/>
          <w:rtl/>
          <w14:ligatures w14:val="none"/>
        </w:rPr>
      </w:pPr>
      <w:r w:rsidRPr="00760DA0">
        <w:rPr>
          <w:rFonts w:ascii="David" w:eastAsia="Calibri" w:hAnsi="David" w:cs="David"/>
          <w:sz w:val="24"/>
          <w:szCs w:val="24"/>
          <w:rtl/>
          <w14:ligatures w14:val="none"/>
        </w:rPr>
        <w:lastRenderedPageBreak/>
        <w:t>למעלה מן הצורך נציין</w:t>
      </w:r>
      <w:r w:rsidR="007B3931">
        <w:rPr>
          <w:rFonts w:ascii="David" w:eastAsia="Calibri" w:hAnsi="David" w:cs="David" w:hint="cs"/>
          <w:sz w:val="24"/>
          <w:szCs w:val="24"/>
          <w:rtl/>
          <w14:ligatures w14:val="none"/>
        </w:rPr>
        <w:t>,</w:t>
      </w:r>
      <w:r w:rsidRPr="00760DA0">
        <w:rPr>
          <w:rFonts w:ascii="David" w:eastAsia="Calibri" w:hAnsi="David" w:cs="David"/>
          <w:sz w:val="24"/>
          <w:szCs w:val="24"/>
          <w:rtl/>
          <w14:ligatures w14:val="none"/>
        </w:rPr>
        <w:t xml:space="preserve"> כי </w:t>
      </w:r>
      <w:r w:rsidRPr="00E25F4A">
        <w:rPr>
          <w:rFonts w:ascii="David" w:eastAsia="Calibri" w:hAnsi="David" w:cs="David"/>
          <w:b/>
          <w:bCs/>
          <w:sz w:val="24"/>
          <w:szCs w:val="24"/>
          <w:rtl/>
          <w14:ligatures w14:val="none"/>
        </w:rPr>
        <w:t>לא מן הנמנע כי בנסיבות</w:t>
      </w:r>
      <w:r w:rsidR="009E187E" w:rsidRPr="00E25F4A">
        <w:rPr>
          <w:rFonts w:ascii="David" w:eastAsia="Calibri" w:hAnsi="David" w:cs="David" w:hint="cs"/>
          <w:b/>
          <w:bCs/>
          <w:sz w:val="24"/>
          <w:szCs w:val="24"/>
          <w:rtl/>
          <w14:ligatures w14:val="none"/>
        </w:rPr>
        <w:t xml:space="preserve"> הייחודיות של</w:t>
      </w:r>
      <w:r w:rsidRPr="00E25F4A">
        <w:rPr>
          <w:rFonts w:ascii="David" w:eastAsia="Calibri" w:hAnsi="David" w:cs="David"/>
          <w:b/>
          <w:bCs/>
          <w:sz w:val="24"/>
          <w:szCs w:val="24"/>
          <w:rtl/>
          <w14:ligatures w14:val="none"/>
        </w:rPr>
        <w:t xml:space="preserve"> החלקות שלפנינו נדרשת היתה אף פעולה תכנונית מורכבת יותר על מנת לאפשר "סימון </w:t>
      </w:r>
      <w:r w:rsidR="00E25F4A">
        <w:rPr>
          <w:rFonts w:ascii="David" w:eastAsia="Calibri" w:hAnsi="David" w:cs="David" w:hint="cs"/>
          <w:b/>
          <w:bCs/>
          <w:sz w:val="24"/>
          <w:szCs w:val="24"/>
          <w:rtl/>
          <w14:ligatures w14:val="none"/>
        </w:rPr>
        <w:t>דרכים ומדרכות</w:t>
      </w:r>
      <w:r w:rsidRPr="00E25F4A">
        <w:rPr>
          <w:rFonts w:ascii="David" w:eastAsia="Calibri" w:hAnsi="David" w:cs="David"/>
          <w:b/>
          <w:bCs/>
          <w:sz w:val="24"/>
          <w:szCs w:val="24"/>
          <w:rtl/>
          <w14:ligatures w14:val="none"/>
        </w:rPr>
        <w:t>"</w:t>
      </w:r>
      <w:r w:rsidRPr="00760DA0">
        <w:rPr>
          <w:rFonts w:ascii="David" w:eastAsia="Calibri" w:hAnsi="David" w:cs="David"/>
          <w:sz w:val="24"/>
          <w:szCs w:val="24"/>
          <w:rtl/>
          <w14:ligatures w14:val="none"/>
        </w:rPr>
        <w:t xml:space="preserve"> – הן אם מדובר ב</w:t>
      </w:r>
      <w:r w:rsidR="002E527A">
        <w:rPr>
          <w:rFonts w:ascii="David" w:eastAsia="Calibri" w:hAnsi="David" w:cs="David" w:hint="cs"/>
          <w:sz w:val="24"/>
          <w:szCs w:val="24"/>
          <w:rtl/>
          <w14:ligatures w14:val="none"/>
        </w:rPr>
        <w:t xml:space="preserve">אישור </w:t>
      </w:r>
      <w:r w:rsidRPr="00760DA0">
        <w:rPr>
          <w:rFonts w:ascii="David" w:eastAsia="Calibri" w:hAnsi="David" w:cs="David"/>
          <w:sz w:val="24"/>
          <w:szCs w:val="24"/>
          <w:rtl/>
          <w14:ligatures w14:val="none"/>
        </w:rPr>
        <w:t>תכנית איחוד וחלוקה כפי שטענה הוועדה המקומית והן אם מדובר ב</w:t>
      </w:r>
      <w:r w:rsidR="00A16633">
        <w:rPr>
          <w:rFonts w:ascii="David" w:eastAsia="Calibri" w:hAnsi="David" w:cs="David" w:hint="cs"/>
          <w:sz w:val="24"/>
          <w:szCs w:val="24"/>
          <w:rtl/>
          <w14:ligatures w14:val="none"/>
        </w:rPr>
        <w:t xml:space="preserve">הטמעת הייעודים הקיימים </w:t>
      </w:r>
      <w:r w:rsidR="009178B7">
        <w:rPr>
          <w:rFonts w:ascii="David" w:eastAsia="Calibri" w:hAnsi="David" w:cs="David" w:hint="cs"/>
          <w:sz w:val="24"/>
          <w:szCs w:val="24"/>
          <w:rtl/>
          <w14:ligatures w14:val="none"/>
        </w:rPr>
        <w:t>במסגרת</w:t>
      </w:r>
      <w:r w:rsidR="00A16633">
        <w:rPr>
          <w:rFonts w:ascii="David" w:eastAsia="Calibri" w:hAnsi="David" w:cs="David" w:hint="cs"/>
          <w:sz w:val="24"/>
          <w:szCs w:val="24"/>
          <w:rtl/>
          <w14:ligatures w14:val="none"/>
        </w:rPr>
        <w:t xml:space="preserve"> </w:t>
      </w:r>
      <w:r w:rsidRPr="00760DA0">
        <w:rPr>
          <w:rFonts w:ascii="David" w:eastAsia="Calibri" w:hAnsi="David" w:cs="David"/>
          <w:sz w:val="24"/>
          <w:szCs w:val="24"/>
          <w:rtl/>
          <w14:ligatures w14:val="none"/>
        </w:rPr>
        <w:t xml:space="preserve">תשריט </w:t>
      </w:r>
      <w:r w:rsidR="00C92357">
        <w:rPr>
          <w:rFonts w:ascii="David" w:eastAsia="Calibri" w:hAnsi="David" w:cs="David" w:hint="cs"/>
          <w:sz w:val="24"/>
          <w:szCs w:val="24"/>
          <w:rtl/>
          <w14:ligatures w14:val="none"/>
        </w:rPr>
        <w:t>חלוקה</w:t>
      </w:r>
      <w:r w:rsidR="003E1410">
        <w:rPr>
          <w:rFonts w:ascii="David" w:eastAsia="Calibri" w:hAnsi="David" w:cs="David" w:hint="cs"/>
          <w:sz w:val="24"/>
          <w:szCs w:val="24"/>
          <w:rtl/>
          <w14:ligatures w14:val="none"/>
        </w:rPr>
        <w:t xml:space="preserve"> או בדרכים אחרות שניתן היה להעלות על הדעת בנסיבות העניין</w:t>
      </w:r>
      <w:r w:rsidRPr="00760DA0">
        <w:rPr>
          <w:rFonts w:ascii="David" w:eastAsia="Calibri" w:hAnsi="David" w:cs="David"/>
          <w:sz w:val="24"/>
          <w:szCs w:val="24"/>
          <w:rtl/>
          <w14:ligatures w14:val="none"/>
        </w:rPr>
        <w:t>. מכל מקום כאמור לא מצאנו לה</w:t>
      </w:r>
      <w:r w:rsidR="00F472D7">
        <w:rPr>
          <w:rFonts w:ascii="David" w:eastAsia="Calibri" w:hAnsi="David" w:cs="David" w:hint="cs"/>
          <w:sz w:val="24"/>
          <w:szCs w:val="24"/>
          <w:rtl/>
          <w14:ligatures w14:val="none"/>
        </w:rPr>
        <w:t>י</w:t>
      </w:r>
      <w:r w:rsidRPr="00760DA0">
        <w:rPr>
          <w:rFonts w:ascii="David" w:eastAsia="Calibri" w:hAnsi="David" w:cs="David"/>
          <w:sz w:val="24"/>
          <w:szCs w:val="24"/>
          <w:rtl/>
          <w14:ligatures w14:val="none"/>
        </w:rPr>
        <w:t xml:space="preserve">דרש </w:t>
      </w:r>
      <w:r w:rsidR="009E187E">
        <w:rPr>
          <w:rFonts w:ascii="David" w:eastAsia="Calibri" w:hAnsi="David" w:cs="David" w:hint="cs"/>
          <w:sz w:val="24"/>
          <w:szCs w:val="24"/>
          <w:rtl/>
          <w14:ligatures w14:val="none"/>
        </w:rPr>
        <w:t>לסוגיה זו</w:t>
      </w:r>
      <w:r w:rsidRPr="00760DA0">
        <w:rPr>
          <w:rFonts w:ascii="David" w:eastAsia="Calibri" w:hAnsi="David" w:cs="David"/>
          <w:sz w:val="24"/>
          <w:szCs w:val="24"/>
          <w:rtl/>
          <w14:ligatures w14:val="none"/>
        </w:rPr>
        <w:t>, נוכח העובדה כי עמדתן</w:t>
      </w:r>
      <w:r w:rsidR="00D73C26">
        <w:rPr>
          <w:rFonts w:ascii="David" w:eastAsia="Calibri" w:hAnsi="David" w:cs="David" w:hint="cs"/>
          <w:sz w:val="24"/>
          <w:szCs w:val="24"/>
          <w:rtl/>
          <w14:ligatures w14:val="none"/>
        </w:rPr>
        <w:t xml:space="preserve"> של העוררות</w:t>
      </w:r>
      <w:r w:rsidRPr="00760DA0">
        <w:rPr>
          <w:rFonts w:ascii="David" w:eastAsia="Calibri" w:hAnsi="David" w:cs="David"/>
          <w:sz w:val="24"/>
          <w:szCs w:val="24"/>
          <w:rtl/>
          <w14:ligatures w14:val="none"/>
        </w:rPr>
        <w:t xml:space="preserve"> נתקבלה על ידי השמאי המכריע.</w:t>
      </w:r>
      <w:r w:rsidR="00A0020B">
        <w:rPr>
          <w:rFonts w:ascii="David" w:eastAsia="Calibri" w:hAnsi="David" w:cs="David" w:hint="cs"/>
          <w:sz w:val="24"/>
          <w:szCs w:val="24"/>
          <w:rtl/>
          <w14:ligatures w14:val="none"/>
        </w:rPr>
        <w:t xml:space="preserve"> </w:t>
      </w:r>
      <w:r w:rsidR="00D73C26">
        <w:rPr>
          <w:rFonts w:ascii="David" w:eastAsia="Calibri" w:hAnsi="David" w:cs="David" w:hint="cs"/>
          <w:sz w:val="24"/>
          <w:szCs w:val="24"/>
          <w:rtl/>
          <w14:ligatures w14:val="none"/>
        </w:rPr>
        <w:t xml:space="preserve">מאידך, </w:t>
      </w:r>
      <w:r w:rsidR="00A0020B">
        <w:rPr>
          <w:rFonts w:ascii="David" w:eastAsia="Calibri" w:hAnsi="David" w:cs="David" w:hint="cs"/>
          <w:sz w:val="24"/>
          <w:szCs w:val="24"/>
          <w:rtl/>
          <w14:ligatures w14:val="none"/>
        </w:rPr>
        <w:t>הוועדה המקומית לא הגישה ערר ולא עמדה על טענתה</w:t>
      </w:r>
      <w:r w:rsidR="00D73C26">
        <w:rPr>
          <w:rFonts w:ascii="David" w:eastAsia="Calibri" w:hAnsi="David" w:cs="David" w:hint="cs"/>
          <w:sz w:val="24"/>
          <w:szCs w:val="24"/>
          <w:rtl/>
          <w14:ligatures w14:val="none"/>
        </w:rPr>
        <w:t>, לפיה נדרשת תכנית איחוד וחלוקה</w:t>
      </w:r>
      <w:r w:rsidR="00A0020B">
        <w:rPr>
          <w:rFonts w:ascii="David" w:eastAsia="Calibri" w:hAnsi="David" w:cs="David" w:hint="cs"/>
          <w:sz w:val="24"/>
          <w:szCs w:val="24"/>
          <w:rtl/>
          <w14:ligatures w14:val="none"/>
        </w:rPr>
        <w:t xml:space="preserve"> בפני השמאי המכריע ועל כן לא מצאנו להאריך בסוגיה זו או לקבוע בה מסמרות. </w:t>
      </w:r>
      <w:r w:rsidR="00A0020B" w:rsidRPr="00D73C26">
        <w:rPr>
          <w:rFonts w:ascii="David" w:eastAsia="Calibri" w:hAnsi="David" w:cs="David" w:hint="cs"/>
          <w:b/>
          <w:bCs/>
          <w:sz w:val="24"/>
          <w:szCs w:val="24"/>
          <w:rtl/>
          <w14:ligatures w14:val="none"/>
        </w:rPr>
        <w:t>אך</w:t>
      </w:r>
      <w:r w:rsidR="00D73C26" w:rsidRPr="00D73C26">
        <w:rPr>
          <w:rFonts w:ascii="David" w:eastAsia="Calibri" w:hAnsi="David" w:cs="David" w:hint="cs"/>
          <w:b/>
          <w:bCs/>
          <w:sz w:val="24"/>
          <w:szCs w:val="24"/>
          <w:rtl/>
          <w14:ligatures w14:val="none"/>
        </w:rPr>
        <w:t xml:space="preserve"> ודאי</w:t>
      </w:r>
      <w:r w:rsidR="00A0020B" w:rsidRPr="00D73C26">
        <w:rPr>
          <w:rFonts w:ascii="David" w:eastAsia="Calibri" w:hAnsi="David" w:cs="David" w:hint="cs"/>
          <w:b/>
          <w:bCs/>
          <w:sz w:val="24"/>
          <w:szCs w:val="24"/>
          <w:rtl/>
          <w14:ligatures w14:val="none"/>
        </w:rPr>
        <w:t xml:space="preserve"> </w:t>
      </w:r>
      <w:r w:rsidR="00D73C26" w:rsidRPr="00D73C26">
        <w:rPr>
          <w:rFonts w:ascii="David" w:eastAsia="Calibri" w:hAnsi="David" w:cs="David" w:hint="cs"/>
          <w:b/>
          <w:bCs/>
          <w:sz w:val="24"/>
          <w:szCs w:val="24"/>
          <w:rtl/>
          <w14:ligatures w14:val="none"/>
        </w:rPr>
        <w:t>ש</w:t>
      </w:r>
      <w:r w:rsidR="00A0020B" w:rsidRPr="00D73C26">
        <w:rPr>
          <w:rFonts w:ascii="David" w:eastAsia="Calibri" w:hAnsi="David" w:cs="David" w:hint="cs"/>
          <w:b/>
          <w:bCs/>
          <w:sz w:val="24"/>
          <w:szCs w:val="24"/>
          <w:rtl/>
          <w14:ligatures w14:val="none"/>
        </w:rPr>
        <w:t>איננו קובעים מפורשות כי עמדת הוועדה המקומית שגויה ביחס לחלקות מושא הערר</w:t>
      </w:r>
      <w:r w:rsidR="00D73C26">
        <w:rPr>
          <w:rFonts w:ascii="David" w:eastAsia="Calibri" w:hAnsi="David" w:cs="David" w:hint="cs"/>
          <w:sz w:val="24"/>
          <w:szCs w:val="24"/>
          <w:rtl/>
          <w14:ligatures w14:val="none"/>
        </w:rPr>
        <w:t xml:space="preserve"> או שבנסיבות העניין לא נדרש היה מקדם דחייה המשקף תקופת דחייה ארוכה יותר</w:t>
      </w:r>
      <w:r w:rsidR="00A0020B">
        <w:rPr>
          <w:rFonts w:ascii="David" w:eastAsia="Calibri" w:hAnsi="David" w:cs="David" w:hint="cs"/>
          <w:sz w:val="24"/>
          <w:szCs w:val="24"/>
          <w:rtl/>
          <w14:ligatures w14:val="none"/>
        </w:rPr>
        <w:t>.</w:t>
      </w:r>
    </w:p>
    <w:p w14:paraId="1AED7532" w14:textId="46168410" w:rsidR="00760DA0" w:rsidRPr="00760DA0" w:rsidRDefault="00D64A0F" w:rsidP="00631A65">
      <w:pPr>
        <w:numPr>
          <w:ilvl w:val="0"/>
          <w:numId w:val="1"/>
        </w:numPr>
        <w:spacing w:before="100" w:beforeAutospacing="1" w:line="360" w:lineRule="auto"/>
        <w:ind w:left="90" w:hanging="425"/>
        <w:jc w:val="both"/>
        <w:rPr>
          <w:rFonts w:ascii="David" w:eastAsia="Calibri" w:hAnsi="David" w:cs="David"/>
          <w:sz w:val="24"/>
          <w:szCs w:val="24"/>
          <w:rtl/>
          <w14:ligatures w14:val="none"/>
        </w:rPr>
      </w:pPr>
      <w:r>
        <w:rPr>
          <w:rFonts w:ascii="David" w:eastAsia="Calibri" w:hAnsi="David" w:cs="David" w:hint="cs"/>
          <w:sz w:val="24"/>
          <w:szCs w:val="24"/>
          <w:rtl/>
          <w14:ligatures w14:val="none"/>
        </w:rPr>
        <w:t xml:space="preserve">מכל מקום, </w:t>
      </w:r>
      <w:r w:rsidR="009E187E">
        <w:rPr>
          <w:rFonts w:ascii="David" w:eastAsia="Calibri" w:hAnsi="David" w:cs="David" w:hint="cs"/>
          <w:sz w:val="24"/>
          <w:szCs w:val="24"/>
          <w:rtl/>
          <w14:ligatures w14:val="none"/>
        </w:rPr>
        <w:t>מהאמור עולה כי</w:t>
      </w:r>
      <w:r w:rsidR="00760DA0" w:rsidRPr="00760DA0">
        <w:rPr>
          <w:rFonts w:ascii="David" w:eastAsia="Calibri" w:hAnsi="David" w:cs="David"/>
          <w:sz w:val="24"/>
          <w:szCs w:val="24"/>
          <w:rtl/>
          <w14:ligatures w14:val="none"/>
        </w:rPr>
        <w:t xml:space="preserve"> יסוד המחלוקת הוא עניין שמאי</w:t>
      </w:r>
      <w:r w:rsidR="00D73C26">
        <w:rPr>
          <w:rFonts w:ascii="David" w:eastAsia="Calibri" w:hAnsi="David" w:cs="David" w:hint="cs"/>
          <w:sz w:val="24"/>
          <w:szCs w:val="24"/>
          <w:rtl/>
          <w14:ligatures w14:val="none"/>
        </w:rPr>
        <w:t xml:space="preserve">: </w:t>
      </w:r>
      <w:r w:rsidR="00760DA0" w:rsidRPr="00760DA0">
        <w:rPr>
          <w:rFonts w:ascii="David" w:eastAsia="Calibri" w:hAnsi="David" w:cs="David"/>
          <w:sz w:val="24"/>
          <w:szCs w:val="24"/>
          <w:rtl/>
          <w14:ligatures w14:val="none"/>
        </w:rPr>
        <w:t>תקופת הדחייה הנדרשת על מנת לבצע את ההליכים עליהם הסכימו העוררות בשומתן ואותן אימץ השמאי המכריע.</w:t>
      </w:r>
    </w:p>
    <w:p w14:paraId="22B5B018" w14:textId="77777777" w:rsidR="003168E8" w:rsidRPr="00631A65" w:rsidRDefault="008E52E3" w:rsidP="00631A65">
      <w:pPr>
        <w:numPr>
          <w:ilvl w:val="0"/>
          <w:numId w:val="1"/>
        </w:numPr>
        <w:spacing w:before="100" w:beforeAutospacing="1" w:line="360" w:lineRule="auto"/>
        <w:ind w:left="90" w:hanging="425"/>
        <w:jc w:val="both"/>
        <w:rPr>
          <w:rFonts w:ascii="David" w:eastAsia="Calibri" w:hAnsi="David" w:cs="David"/>
          <w:sz w:val="24"/>
          <w:szCs w:val="24"/>
          <w:rtl/>
          <w14:ligatures w14:val="none"/>
        </w:rPr>
      </w:pPr>
      <w:r>
        <w:rPr>
          <w:rFonts w:ascii="David" w:eastAsia="Calibri" w:hAnsi="David" w:cs="David" w:hint="cs"/>
          <w:sz w:val="24"/>
          <w:szCs w:val="24"/>
          <w:rtl/>
          <w14:ligatures w14:val="none"/>
        </w:rPr>
        <w:t xml:space="preserve">למעשה </w:t>
      </w:r>
      <w:r w:rsidR="00760DA0" w:rsidRPr="00AC5123">
        <w:rPr>
          <w:rFonts w:ascii="David" w:eastAsia="Calibri" w:hAnsi="David" w:cs="David"/>
          <w:sz w:val="24"/>
          <w:szCs w:val="24"/>
          <w:rtl/>
          <w14:ligatures w14:val="none"/>
        </w:rPr>
        <w:t xml:space="preserve"> מדובר בנושא המצוי בלב ליב</w:t>
      </w:r>
      <w:r>
        <w:rPr>
          <w:rFonts w:ascii="David" w:eastAsia="Calibri" w:hAnsi="David" w:cs="David" w:hint="cs"/>
          <w:sz w:val="24"/>
          <w:szCs w:val="24"/>
          <w:rtl/>
          <w14:ligatures w14:val="none"/>
        </w:rPr>
        <w:t>ו של</w:t>
      </w:r>
      <w:r w:rsidR="00760DA0" w:rsidRPr="00AC5123">
        <w:rPr>
          <w:rFonts w:ascii="David" w:eastAsia="Calibri" w:hAnsi="David" w:cs="David"/>
          <w:sz w:val="24"/>
          <w:szCs w:val="24"/>
          <w:rtl/>
          <w14:ligatures w14:val="none"/>
        </w:rPr>
        <w:t xml:space="preserve"> שיקול דעתו המקצועי של השמאי המכריע. אכן העוררות מחזיקות בעמדה שמאית אחרת, ודומה שבכך מתמצית טענתן. מדובר </w:t>
      </w:r>
      <w:proofErr w:type="spellStart"/>
      <w:r w:rsidR="00760DA0" w:rsidRPr="00AC5123">
        <w:rPr>
          <w:rFonts w:ascii="David" w:eastAsia="Calibri" w:hAnsi="David" w:cs="David"/>
          <w:sz w:val="24"/>
          <w:szCs w:val="24"/>
          <w:rtl/>
          <w14:ligatures w14:val="none"/>
        </w:rPr>
        <w:t>איפוא</w:t>
      </w:r>
      <w:proofErr w:type="spellEnd"/>
      <w:r w:rsidR="00760DA0" w:rsidRPr="00AC5123">
        <w:rPr>
          <w:rFonts w:ascii="David" w:eastAsia="Calibri" w:hAnsi="David" w:cs="David"/>
          <w:sz w:val="24"/>
          <w:szCs w:val="24"/>
          <w:rtl/>
          <w14:ligatures w14:val="none"/>
        </w:rPr>
        <w:t xml:space="preserve"> בטענה </w:t>
      </w:r>
      <w:proofErr w:type="spellStart"/>
      <w:r w:rsidR="00760DA0" w:rsidRPr="00AC5123">
        <w:rPr>
          <w:rFonts w:ascii="David" w:eastAsia="Calibri" w:hAnsi="David" w:cs="David"/>
          <w:sz w:val="24"/>
          <w:szCs w:val="24"/>
          <w:rtl/>
          <w14:ligatures w14:val="none"/>
        </w:rPr>
        <w:t>שאדניה</w:t>
      </w:r>
      <w:proofErr w:type="spellEnd"/>
      <w:r w:rsidR="00760DA0" w:rsidRPr="00AC5123">
        <w:rPr>
          <w:rFonts w:ascii="David" w:eastAsia="Calibri" w:hAnsi="David" w:cs="David"/>
          <w:sz w:val="24"/>
          <w:szCs w:val="24"/>
          <w:rtl/>
          <w14:ligatures w14:val="none"/>
        </w:rPr>
        <w:t xml:space="preserve"> מושתתים על </w:t>
      </w:r>
      <w:r w:rsidR="009721D5">
        <w:rPr>
          <w:rFonts w:ascii="David" w:eastAsia="Calibri" w:hAnsi="David" w:cs="David" w:hint="cs"/>
          <w:sz w:val="24"/>
          <w:szCs w:val="24"/>
          <w:rtl/>
          <w14:ligatures w14:val="none"/>
        </w:rPr>
        <w:t>טענות שמאיות</w:t>
      </w:r>
      <w:r w:rsidR="00760DA0" w:rsidRPr="00AC5123">
        <w:rPr>
          <w:rFonts w:ascii="David" w:eastAsia="Calibri" w:hAnsi="David" w:cs="David"/>
          <w:sz w:val="24"/>
          <w:szCs w:val="24"/>
          <w:rtl/>
          <w14:ligatures w14:val="none"/>
        </w:rPr>
        <w:t xml:space="preserve"> </w:t>
      </w:r>
      <w:r w:rsidR="009721D5">
        <w:rPr>
          <w:rFonts w:ascii="David" w:eastAsia="Calibri" w:hAnsi="David" w:cs="David" w:hint="cs"/>
          <w:sz w:val="24"/>
          <w:szCs w:val="24"/>
          <w:rtl/>
          <w14:ligatures w14:val="none"/>
        </w:rPr>
        <w:t xml:space="preserve">באשר לתקופת הדחייה הנדרשת לצורך אישור </w:t>
      </w:r>
      <w:proofErr w:type="spellStart"/>
      <w:r w:rsidR="009721D5">
        <w:rPr>
          <w:rFonts w:ascii="David" w:eastAsia="Calibri" w:hAnsi="David" w:cs="David" w:hint="cs"/>
          <w:sz w:val="24"/>
          <w:szCs w:val="24"/>
          <w:rtl/>
          <w14:ligatures w14:val="none"/>
        </w:rPr>
        <w:t>התצ"ר</w:t>
      </w:r>
      <w:proofErr w:type="spellEnd"/>
      <w:r w:rsidR="009721D5">
        <w:rPr>
          <w:rFonts w:ascii="David" w:eastAsia="Calibri" w:hAnsi="David" w:cs="David" w:hint="cs"/>
          <w:sz w:val="24"/>
          <w:szCs w:val="24"/>
          <w:rtl/>
          <w14:ligatures w14:val="none"/>
        </w:rPr>
        <w:t xml:space="preserve"> או "סימון הדרכים" </w:t>
      </w:r>
      <w:r w:rsidR="00926B69">
        <w:rPr>
          <w:rFonts w:ascii="David" w:eastAsia="Calibri" w:hAnsi="David" w:cs="David" w:hint="cs"/>
          <w:sz w:val="24"/>
          <w:szCs w:val="24"/>
          <w:rtl/>
          <w14:ligatures w14:val="none"/>
        </w:rPr>
        <w:t>כעמדת</w:t>
      </w:r>
      <w:r w:rsidR="009721D5">
        <w:rPr>
          <w:rFonts w:ascii="David" w:eastAsia="Calibri" w:hAnsi="David" w:cs="David" w:hint="cs"/>
          <w:sz w:val="24"/>
          <w:szCs w:val="24"/>
          <w:rtl/>
          <w14:ligatures w14:val="none"/>
        </w:rPr>
        <w:t xml:space="preserve"> העוררות שאומצה על ידי השמאי המכריע, </w:t>
      </w:r>
      <w:r w:rsidR="00760DA0" w:rsidRPr="00AC5123">
        <w:rPr>
          <w:rFonts w:ascii="David" w:eastAsia="Calibri" w:hAnsi="David" w:cs="David"/>
          <w:sz w:val="24"/>
          <w:szCs w:val="24"/>
          <w:rtl/>
          <w14:ligatures w14:val="none"/>
        </w:rPr>
        <w:t xml:space="preserve">ולא מצאנו עילת התערבות בהקשר זה.  נפנה בעניין זה לקביעותיו של בית המשפט במסגרת עמ"נ (ת"א) 24543-01-18 </w:t>
      </w:r>
      <w:r w:rsidR="00760DA0" w:rsidRPr="00631A65">
        <w:rPr>
          <w:rFonts w:ascii="David" w:eastAsia="Calibri" w:hAnsi="David" w:cs="David"/>
          <w:b/>
          <w:bCs/>
          <w:sz w:val="24"/>
          <w:szCs w:val="24"/>
          <w:rtl/>
          <w14:ligatures w14:val="none"/>
        </w:rPr>
        <w:t xml:space="preserve">שלום </w:t>
      </w:r>
      <w:proofErr w:type="spellStart"/>
      <w:r w:rsidR="00760DA0" w:rsidRPr="00631A65">
        <w:rPr>
          <w:rFonts w:ascii="David" w:eastAsia="Calibri" w:hAnsi="David" w:cs="David"/>
          <w:b/>
          <w:bCs/>
          <w:sz w:val="24"/>
          <w:szCs w:val="24"/>
          <w:rtl/>
          <w14:ligatures w14:val="none"/>
        </w:rPr>
        <w:t>בלכמן</w:t>
      </w:r>
      <w:proofErr w:type="spellEnd"/>
      <w:r w:rsidR="00760DA0" w:rsidRPr="00631A65">
        <w:rPr>
          <w:rFonts w:ascii="David" w:eastAsia="Calibri" w:hAnsi="David" w:cs="David"/>
          <w:b/>
          <w:bCs/>
          <w:sz w:val="24"/>
          <w:szCs w:val="24"/>
          <w:rtl/>
          <w14:ligatures w14:val="none"/>
        </w:rPr>
        <w:t xml:space="preserve"> ו- 17 אח' נ' ועדה מקומית לתכנון ולבניה גבעתיים</w:t>
      </w:r>
      <w:r w:rsidR="00760DA0" w:rsidRPr="00AC5123">
        <w:rPr>
          <w:rFonts w:ascii="David" w:eastAsia="Calibri" w:hAnsi="David" w:cs="David"/>
          <w:sz w:val="24"/>
          <w:szCs w:val="24"/>
          <w:rtl/>
          <w14:ligatures w14:val="none"/>
        </w:rPr>
        <w:t xml:space="preserve"> [נבו] (ניתן ביום 11.11.2018); (בקשות רשות ערעור על פסק הדין נדחו על ידי בית המשפט העליון),</w:t>
      </w:r>
      <w:r w:rsidR="003168E8" w:rsidRPr="00631A65">
        <w:rPr>
          <w:rFonts w:ascii="David" w:eastAsia="Calibri" w:hAnsi="David" w:cs="David"/>
          <w:sz w:val="24"/>
          <w:szCs w:val="24"/>
          <w:rtl/>
          <w14:ligatures w14:val="none"/>
        </w:rPr>
        <w:t xml:space="preserve"> אשר יפות</w:t>
      </w:r>
      <w:r w:rsidR="00760DA0" w:rsidRPr="00AC5123">
        <w:rPr>
          <w:rFonts w:ascii="David" w:eastAsia="Calibri" w:hAnsi="David" w:cs="David"/>
          <w:sz w:val="24"/>
          <w:szCs w:val="24"/>
          <w:rtl/>
          <w14:ligatures w14:val="none"/>
        </w:rPr>
        <w:t xml:space="preserve"> לענייננו:</w:t>
      </w:r>
    </w:p>
    <w:p w14:paraId="2F3153A6" w14:textId="77777777" w:rsidR="003168E8" w:rsidRDefault="003168E8" w:rsidP="005C495E">
      <w:pPr>
        <w:pStyle w:val="a9"/>
        <w:spacing w:line="360" w:lineRule="auto"/>
        <w:ind w:left="658" w:right="851"/>
        <w:jc w:val="both"/>
        <w:rPr>
          <w:rFonts w:ascii="David" w:hAnsi="David" w:cs="David"/>
          <w:b/>
          <w:bCs/>
          <w:sz w:val="24"/>
          <w:szCs w:val="24"/>
          <w:rtl/>
        </w:rPr>
      </w:pPr>
    </w:p>
    <w:p w14:paraId="1262D35C" w14:textId="77777777" w:rsidR="00760DA0" w:rsidRPr="00631A65" w:rsidRDefault="00760DA0" w:rsidP="00631A65">
      <w:pPr>
        <w:pStyle w:val="a9"/>
        <w:spacing w:line="360" w:lineRule="auto"/>
        <w:ind w:left="658" w:right="851"/>
        <w:jc w:val="both"/>
        <w:rPr>
          <w:rFonts w:ascii="David" w:hAnsi="David" w:cs="David"/>
          <w:b/>
          <w:bCs/>
          <w:sz w:val="24"/>
          <w:szCs w:val="24"/>
          <w:rtl/>
        </w:rPr>
      </w:pPr>
      <w:r w:rsidRPr="00631A65">
        <w:rPr>
          <w:rFonts w:ascii="David" w:hAnsi="David" w:cs="David"/>
          <w:b/>
          <w:bCs/>
          <w:sz w:val="24"/>
          <w:szCs w:val="24"/>
          <w:rtl/>
        </w:rPr>
        <w:t xml:space="preserve"> "בהינתן העובדה ששמאות מקרקעין אינה מדע </w:t>
      </w:r>
      <w:proofErr w:type="spellStart"/>
      <w:r w:rsidRPr="00631A65">
        <w:rPr>
          <w:rFonts w:ascii="David" w:hAnsi="David" w:cs="David"/>
          <w:b/>
          <w:bCs/>
          <w:sz w:val="24"/>
          <w:szCs w:val="24"/>
          <w:rtl/>
        </w:rPr>
        <w:t>מדוייק</w:t>
      </w:r>
      <w:proofErr w:type="spellEnd"/>
      <w:r w:rsidRPr="00631A65">
        <w:rPr>
          <w:rFonts w:ascii="David" w:hAnsi="David" w:cs="David"/>
          <w:b/>
          <w:bCs/>
          <w:sz w:val="24"/>
          <w:szCs w:val="24"/>
          <w:rtl/>
        </w:rPr>
        <w:t xml:space="preserve">, בהחלט ייתכן ששמאי אחר מטעם ועדת הערר, לו מונה כזה, היה בוחר במקדמים אחרים ואולי אף בבסיס נתונים אחר מזה עליו הסתמך השמאי המייעץ, מה שהיה מביא אותו מן הסתם לתוצאה שמאית שונה מזו אליה הגיעה השמאי המייעץ מבחינת שיעורה </w:t>
      </w:r>
      <w:proofErr w:type="spellStart"/>
      <w:r w:rsidRPr="00631A65">
        <w:rPr>
          <w:rFonts w:ascii="David" w:hAnsi="David" w:cs="David"/>
          <w:b/>
          <w:bCs/>
          <w:sz w:val="24"/>
          <w:szCs w:val="24"/>
          <w:rtl/>
        </w:rPr>
        <w:t>המדוייק</w:t>
      </w:r>
      <w:proofErr w:type="spellEnd"/>
      <w:r w:rsidRPr="00631A65">
        <w:rPr>
          <w:rFonts w:ascii="David" w:hAnsi="David" w:cs="David"/>
          <w:b/>
          <w:bCs/>
          <w:sz w:val="24"/>
          <w:szCs w:val="24"/>
          <w:rtl/>
        </w:rPr>
        <w:t xml:space="preserve"> של פחיתת השווי, אך בשום אופן לא ניתן לקבוע כי בחוות דעתו של השמאי המייעץ נפלו טעות מהותית או דופי חמור, שהם ורק הם מצדיקים את פסילת חוות דעתו"</w:t>
      </w:r>
    </w:p>
    <w:p w14:paraId="745331E8" w14:textId="77777777" w:rsidR="00760DA0" w:rsidRPr="00760DA0" w:rsidRDefault="001B431D" w:rsidP="00631A65">
      <w:pPr>
        <w:numPr>
          <w:ilvl w:val="0"/>
          <w:numId w:val="1"/>
        </w:numPr>
        <w:spacing w:before="100" w:beforeAutospacing="1" w:line="360" w:lineRule="auto"/>
        <w:ind w:left="90" w:hanging="425"/>
        <w:jc w:val="both"/>
        <w:rPr>
          <w:rFonts w:ascii="David" w:eastAsia="Calibri" w:hAnsi="David" w:cs="David"/>
          <w:sz w:val="24"/>
          <w:szCs w:val="24"/>
          <w:rtl/>
          <w14:ligatures w14:val="none"/>
        </w:rPr>
      </w:pPr>
      <w:r>
        <w:rPr>
          <w:rFonts w:ascii="David" w:eastAsia="Calibri" w:hAnsi="David" w:cs="David" w:hint="cs"/>
          <w:sz w:val="24"/>
          <w:szCs w:val="24"/>
          <w:rtl/>
          <w14:ligatures w14:val="none"/>
        </w:rPr>
        <w:t>זאת ועוד:</w:t>
      </w:r>
      <w:r w:rsidR="00760DA0" w:rsidRPr="00760DA0">
        <w:rPr>
          <w:rFonts w:ascii="David" w:eastAsia="Calibri" w:hAnsi="David" w:cs="David"/>
          <w:sz w:val="24"/>
          <w:szCs w:val="24"/>
          <w:rtl/>
          <w14:ligatures w14:val="none"/>
        </w:rPr>
        <w:t xml:space="preserve"> נציין כי המתחם נשוא הערר אינו מתחם רגיל. מדובר במתחם בעל היסטוריה תכנונית וקניינית סבוכה, אשר היה נתון להליכי תכנון ממושכים וכלל בעיות קנייניות ובעיות תכנוניות.</w:t>
      </w:r>
    </w:p>
    <w:p w14:paraId="36AE880B" w14:textId="0CD980FF" w:rsidR="00760DA0" w:rsidRPr="00760DA0" w:rsidRDefault="00760DA0" w:rsidP="00631A65">
      <w:pPr>
        <w:numPr>
          <w:ilvl w:val="0"/>
          <w:numId w:val="1"/>
        </w:numPr>
        <w:spacing w:before="100" w:beforeAutospacing="1" w:line="360" w:lineRule="auto"/>
        <w:ind w:left="90" w:hanging="425"/>
        <w:jc w:val="both"/>
        <w:rPr>
          <w:rFonts w:ascii="David" w:eastAsia="Calibri" w:hAnsi="David" w:cs="David"/>
          <w:sz w:val="24"/>
          <w:szCs w:val="24"/>
          <w:rtl/>
          <w14:ligatures w14:val="none"/>
        </w:rPr>
      </w:pPr>
      <w:r w:rsidRPr="00760DA0">
        <w:rPr>
          <w:rFonts w:ascii="David" w:eastAsia="Calibri" w:hAnsi="David" w:cs="David"/>
          <w:sz w:val="24"/>
          <w:szCs w:val="24"/>
          <w:rtl/>
          <w14:ligatures w14:val="none"/>
        </w:rPr>
        <w:t>אף שהשמאי המכריע דחה את הצורך בתכנית איחוד וחלוקה</w:t>
      </w:r>
      <w:r w:rsidR="00D73C26">
        <w:rPr>
          <w:rFonts w:ascii="David" w:eastAsia="Calibri" w:hAnsi="David" w:cs="David" w:hint="cs"/>
          <w:sz w:val="24"/>
          <w:szCs w:val="24"/>
          <w:rtl/>
          <w14:ligatures w14:val="none"/>
        </w:rPr>
        <w:t xml:space="preserve"> ועמד על פתרון העניין הקנייני,</w:t>
      </w:r>
      <w:r w:rsidRPr="00760DA0">
        <w:rPr>
          <w:rFonts w:ascii="David" w:eastAsia="Calibri" w:hAnsi="David" w:cs="David"/>
          <w:sz w:val="24"/>
          <w:szCs w:val="24"/>
          <w:rtl/>
          <w14:ligatures w14:val="none"/>
        </w:rPr>
        <w:t xml:space="preserve"> הוא הכיר בכך שמימוש הזכויות במצב הקודם, על אף זמינותה התיאורטית של תכנית </w:t>
      </w:r>
      <w:r w:rsidRPr="00760DA0">
        <w:rPr>
          <w:rFonts w:ascii="David" w:eastAsia="Calibri" w:hAnsi="David" w:cs="David"/>
          <w:sz w:val="24"/>
          <w:szCs w:val="24"/>
          <w14:ligatures w14:val="none"/>
        </w:rPr>
        <w:t>F</w:t>
      </w:r>
      <w:r w:rsidRPr="00760DA0">
        <w:rPr>
          <w:rFonts w:ascii="David" w:eastAsia="Calibri" w:hAnsi="David" w:cs="David"/>
          <w:sz w:val="24"/>
          <w:szCs w:val="24"/>
          <w:rtl/>
          <w14:ligatures w14:val="none"/>
        </w:rPr>
        <w:t xml:space="preserve">, לא היה </w:t>
      </w:r>
      <w:proofErr w:type="spellStart"/>
      <w:r w:rsidRPr="00760DA0">
        <w:rPr>
          <w:rFonts w:ascii="David" w:eastAsia="Calibri" w:hAnsi="David" w:cs="David"/>
          <w:sz w:val="24"/>
          <w:szCs w:val="24"/>
          <w:rtl/>
          <w14:ligatures w14:val="none"/>
        </w:rPr>
        <w:t>מיידי</w:t>
      </w:r>
      <w:proofErr w:type="spellEnd"/>
      <w:r w:rsidRPr="00760DA0">
        <w:rPr>
          <w:rFonts w:ascii="David" w:eastAsia="Calibri" w:hAnsi="David" w:cs="David"/>
          <w:sz w:val="24"/>
          <w:szCs w:val="24"/>
          <w:rtl/>
          <w14:ligatures w14:val="none"/>
        </w:rPr>
        <w:t>. צורך זה</w:t>
      </w:r>
      <w:r w:rsidR="004E1D66">
        <w:rPr>
          <w:rFonts w:ascii="David" w:eastAsia="Calibri" w:hAnsi="David" w:cs="David" w:hint="cs"/>
          <w:sz w:val="24"/>
          <w:szCs w:val="24"/>
          <w:rtl/>
          <w14:ligatures w14:val="none"/>
        </w:rPr>
        <w:t xml:space="preserve"> הובא על ידו לידי ביטוי </w:t>
      </w:r>
      <w:r w:rsidR="004E1D66" w:rsidRPr="00631A65">
        <w:rPr>
          <w:rFonts w:ascii="David" w:eastAsia="Calibri" w:hAnsi="David" w:cs="David" w:hint="eastAsia"/>
          <w:b/>
          <w:bCs/>
          <w:sz w:val="24"/>
          <w:szCs w:val="24"/>
          <w:rtl/>
          <w14:ligatures w14:val="none"/>
        </w:rPr>
        <w:t>באימוץ</w:t>
      </w:r>
      <w:r w:rsidR="004E1D66" w:rsidRPr="00631A65">
        <w:rPr>
          <w:rFonts w:ascii="David" w:eastAsia="Calibri" w:hAnsi="David" w:cs="David"/>
          <w:b/>
          <w:bCs/>
          <w:sz w:val="24"/>
          <w:szCs w:val="24"/>
          <w:rtl/>
          <w14:ligatures w14:val="none"/>
        </w:rPr>
        <w:t xml:space="preserve"> </w:t>
      </w:r>
      <w:r w:rsidR="004E1D66" w:rsidRPr="00631A65">
        <w:rPr>
          <w:rFonts w:ascii="David" w:eastAsia="Calibri" w:hAnsi="David" w:cs="David" w:hint="eastAsia"/>
          <w:b/>
          <w:bCs/>
          <w:sz w:val="24"/>
          <w:szCs w:val="24"/>
          <w:rtl/>
          <w14:ligatures w14:val="none"/>
        </w:rPr>
        <w:t>עמדתן</w:t>
      </w:r>
      <w:r w:rsidR="004E1D66" w:rsidRPr="00631A65">
        <w:rPr>
          <w:rFonts w:ascii="David" w:eastAsia="Calibri" w:hAnsi="David" w:cs="David"/>
          <w:b/>
          <w:bCs/>
          <w:sz w:val="24"/>
          <w:szCs w:val="24"/>
          <w:rtl/>
          <w14:ligatures w14:val="none"/>
        </w:rPr>
        <w:t xml:space="preserve"> </w:t>
      </w:r>
      <w:r w:rsidR="004E1D66" w:rsidRPr="00631A65">
        <w:rPr>
          <w:rFonts w:ascii="David" w:eastAsia="Calibri" w:hAnsi="David" w:cs="David" w:hint="eastAsia"/>
          <w:b/>
          <w:bCs/>
          <w:sz w:val="24"/>
          <w:szCs w:val="24"/>
          <w:rtl/>
          <w14:ligatures w14:val="none"/>
        </w:rPr>
        <w:t>של</w:t>
      </w:r>
      <w:r w:rsidR="004E1D66" w:rsidRPr="00631A65">
        <w:rPr>
          <w:rFonts w:ascii="David" w:eastAsia="Calibri" w:hAnsi="David" w:cs="David"/>
          <w:b/>
          <w:bCs/>
          <w:sz w:val="24"/>
          <w:szCs w:val="24"/>
          <w:rtl/>
          <w14:ligatures w14:val="none"/>
        </w:rPr>
        <w:t xml:space="preserve"> </w:t>
      </w:r>
      <w:r w:rsidR="004E1D66" w:rsidRPr="00631A65">
        <w:rPr>
          <w:rFonts w:ascii="David" w:eastAsia="Calibri" w:hAnsi="David" w:cs="David" w:hint="eastAsia"/>
          <w:b/>
          <w:bCs/>
          <w:sz w:val="24"/>
          <w:szCs w:val="24"/>
          <w:rtl/>
          <w14:ligatures w14:val="none"/>
        </w:rPr>
        <w:t>העוררות</w:t>
      </w:r>
      <w:r w:rsidR="004E1D66">
        <w:rPr>
          <w:rFonts w:ascii="David" w:eastAsia="Calibri" w:hAnsi="David" w:cs="David" w:hint="cs"/>
          <w:sz w:val="24"/>
          <w:szCs w:val="24"/>
          <w:rtl/>
          <w14:ligatures w14:val="none"/>
        </w:rPr>
        <w:t xml:space="preserve"> בדבר </w:t>
      </w:r>
      <w:r w:rsidRPr="00760DA0">
        <w:rPr>
          <w:rFonts w:ascii="David" w:eastAsia="Calibri" w:hAnsi="David" w:cs="David"/>
          <w:sz w:val="24"/>
          <w:szCs w:val="24"/>
          <w:rtl/>
          <w14:ligatures w14:val="none"/>
        </w:rPr>
        <w:t>"סימון דרכים ומדרכות" ואישור תצ"ר</w:t>
      </w:r>
      <w:r w:rsidR="00E568D1">
        <w:rPr>
          <w:rFonts w:ascii="David" w:eastAsia="Calibri" w:hAnsi="David" w:cs="David" w:hint="cs"/>
          <w:sz w:val="24"/>
          <w:szCs w:val="24"/>
          <w:rtl/>
          <w14:ligatures w14:val="none"/>
        </w:rPr>
        <w:t xml:space="preserve"> והליכים נוספים כאמור בשומה המכרעת</w:t>
      </w:r>
      <w:r w:rsidRPr="00760DA0">
        <w:rPr>
          <w:rFonts w:ascii="David" w:eastAsia="Calibri" w:hAnsi="David" w:cs="David"/>
          <w:sz w:val="24"/>
          <w:szCs w:val="24"/>
          <w:rtl/>
          <w14:ligatures w14:val="none"/>
        </w:rPr>
        <w:t>. במתחם מעין זה</w:t>
      </w:r>
      <w:r w:rsidR="00B14601">
        <w:rPr>
          <w:rFonts w:ascii="David" w:eastAsia="Calibri" w:hAnsi="David" w:cs="David" w:hint="cs"/>
          <w:sz w:val="24"/>
          <w:szCs w:val="24"/>
          <w:rtl/>
          <w14:ligatures w14:val="none"/>
        </w:rPr>
        <w:t xml:space="preserve"> ונוכח היותה של תכנית </w:t>
      </w:r>
      <w:r w:rsidR="00B14601">
        <w:rPr>
          <w:rFonts w:ascii="David" w:eastAsia="Calibri" w:hAnsi="David" w:cs="David" w:hint="cs"/>
          <w:sz w:val="24"/>
          <w:szCs w:val="24"/>
          <w14:ligatures w14:val="none"/>
        </w:rPr>
        <w:t>F</w:t>
      </w:r>
      <w:r w:rsidR="00B14601">
        <w:rPr>
          <w:rFonts w:ascii="David" w:eastAsia="Calibri" w:hAnsi="David" w:cs="David" w:hint="cs"/>
          <w:sz w:val="24"/>
          <w:szCs w:val="24"/>
          <w:rtl/>
          <w14:ligatures w14:val="none"/>
        </w:rPr>
        <w:t xml:space="preserve"> תכנית היסטורית ולא עדכנית</w:t>
      </w:r>
      <w:r w:rsidRPr="00760DA0">
        <w:rPr>
          <w:rFonts w:ascii="David" w:eastAsia="Calibri" w:hAnsi="David" w:cs="David"/>
          <w:sz w:val="24"/>
          <w:szCs w:val="24"/>
          <w:rtl/>
          <w14:ligatures w14:val="none"/>
        </w:rPr>
        <w:t>, קביעתו של השמאי המכריע</w:t>
      </w:r>
      <w:r w:rsidR="00D73C26">
        <w:rPr>
          <w:rFonts w:ascii="David" w:eastAsia="Calibri" w:hAnsi="David" w:cs="David" w:hint="cs"/>
          <w:sz w:val="24"/>
          <w:szCs w:val="24"/>
          <w:rtl/>
          <w14:ligatures w14:val="none"/>
        </w:rPr>
        <w:t>, בדבר משך תקופת הדחייה</w:t>
      </w:r>
      <w:r w:rsidRPr="00760DA0">
        <w:rPr>
          <w:rFonts w:ascii="David" w:eastAsia="Calibri" w:hAnsi="David" w:cs="David"/>
          <w:sz w:val="24"/>
          <w:szCs w:val="24"/>
          <w:rtl/>
          <w14:ligatures w14:val="none"/>
        </w:rPr>
        <w:t xml:space="preserve"> והצורך בדחייה ודאי אינם בגדר "דופי חמור".</w:t>
      </w:r>
    </w:p>
    <w:p w14:paraId="60A5E416" w14:textId="254C823A" w:rsidR="00D612EA" w:rsidRDefault="00760DA0" w:rsidP="00AC5123">
      <w:pPr>
        <w:numPr>
          <w:ilvl w:val="0"/>
          <w:numId w:val="1"/>
        </w:numPr>
        <w:spacing w:before="100" w:beforeAutospacing="1" w:line="360" w:lineRule="auto"/>
        <w:ind w:left="90" w:hanging="425"/>
        <w:jc w:val="both"/>
        <w:rPr>
          <w:rFonts w:ascii="David" w:eastAsia="Calibri" w:hAnsi="David" w:cs="David"/>
          <w:sz w:val="24"/>
          <w:szCs w:val="24"/>
          <w14:ligatures w14:val="none"/>
        </w:rPr>
      </w:pPr>
      <w:r w:rsidRPr="00760DA0">
        <w:rPr>
          <w:rFonts w:ascii="David" w:eastAsia="Calibri" w:hAnsi="David" w:cs="David"/>
          <w:sz w:val="24"/>
          <w:szCs w:val="24"/>
          <w:rtl/>
          <w14:ligatures w14:val="none"/>
        </w:rPr>
        <w:t>כאמור ניתן לשקול האם הנימוק האמור הינו קוהרנטי דיו וש</w:t>
      </w:r>
      <w:r w:rsidR="00DD70F9">
        <w:rPr>
          <w:rFonts w:ascii="David" w:eastAsia="Calibri" w:hAnsi="David" w:cs="David" w:hint="cs"/>
          <w:sz w:val="24"/>
          <w:szCs w:val="24"/>
          <w:rtl/>
          <w14:ligatures w14:val="none"/>
        </w:rPr>
        <w:t>ו</w:t>
      </w:r>
      <w:r w:rsidRPr="00760DA0">
        <w:rPr>
          <w:rFonts w:ascii="David" w:eastAsia="Calibri" w:hAnsi="David" w:cs="David"/>
          <w:sz w:val="24"/>
          <w:szCs w:val="24"/>
          <w:rtl/>
          <w14:ligatures w14:val="none"/>
        </w:rPr>
        <w:t xml:space="preserve">מה נדרש היה ניתוח משפטי מעמיק יותר בסוגיית אופן הוצאת היתרי הבניה בחלקות אלו וההליכים הנדרשים לשם כך. </w:t>
      </w:r>
      <w:r w:rsidR="00D73C26">
        <w:rPr>
          <w:rFonts w:ascii="David" w:eastAsia="Calibri" w:hAnsi="David" w:cs="David" w:hint="cs"/>
          <w:sz w:val="24"/>
          <w:szCs w:val="24"/>
          <w:rtl/>
          <w14:ligatures w14:val="none"/>
        </w:rPr>
        <w:t>כאמור</w:t>
      </w:r>
      <w:r w:rsidRPr="00760DA0">
        <w:rPr>
          <w:rFonts w:ascii="David" w:eastAsia="Calibri" w:hAnsi="David" w:cs="David"/>
          <w:sz w:val="24"/>
          <w:szCs w:val="24"/>
          <w:rtl/>
          <w14:ligatures w14:val="none"/>
        </w:rPr>
        <w:t xml:space="preserve">, אילו </w:t>
      </w:r>
      <w:r w:rsidRPr="00760DA0">
        <w:rPr>
          <w:rFonts w:ascii="David" w:eastAsia="Calibri" w:hAnsi="David" w:cs="David"/>
          <w:sz w:val="24"/>
          <w:szCs w:val="24"/>
          <w:rtl/>
          <w14:ligatures w14:val="none"/>
        </w:rPr>
        <w:lastRenderedPageBreak/>
        <w:t>היינו עורכים בחינה</w:t>
      </w:r>
      <w:r w:rsidR="00B14601">
        <w:rPr>
          <w:rFonts w:ascii="David" w:eastAsia="Calibri" w:hAnsi="David" w:cs="David" w:hint="cs"/>
          <w:sz w:val="24"/>
          <w:szCs w:val="24"/>
          <w:rtl/>
          <w14:ligatures w14:val="none"/>
        </w:rPr>
        <w:t xml:space="preserve"> מדוקדקת</w:t>
      </w:r>
      <w:r w:rsidRPr="00760DA0">
        <w:rPr>
          <w:rFonts w:ascii="David" w:eastAsia="Calibri" w:hAnsi="David" w:cs="David"/>
          <w:sz w:val="24"/>
          <w:szCs w:val="24"/>
          <w:rtl/>
          <w14:ligatures w14:val="none"/>
        </w:rPr>
        <w:t xml:space="preserve"> כאמור, </w:t>
      </w:r>
      <w:r w:rsidR="00B14601">
        <w:rPr>
          <w:rFonts w:ascii="David" w:eastAsia="Calibri" w:hAnsi="David" w:cs="David" w:hint="cs"/>
          <w:sz w:val="24"/>
          <w:szCs w:val="24"/>
          <w:rtl/>
          <w14:ligatures w14:val="none"/>
        </w:rPr>
        <w:t>לא ניתן לשלול כי</w:t>
      </w:r>
      <w:r w:rsidRPr="00760DA0">
        <w:rPr>
          <w:rFonts w:ascii="David" w:eastAsia="Calibri" w:hAnsi="David" w:cs="David"/>
          <w:sz w:val="24"/>
          <w:szCs w:val="24"/>
          <w:rtl/>
          <w14:ligatures w14:val="none"/>
        </w:rPr>
        <w:t xml:space="preserve"> היינו מגיעים למסקנה כי </w:t>
      </w:r>
      <w:r w:rsidRPr="000B12D2">
        <w:rPr>
          <w:rFonts w:ascii="David" w:eastAsia="Calibri" w:hAnsi="David" w:cs="David"/>
          <w:b/>
          <w:bCs/>
          <w:sz w:val="24"/>
          <w:szCs w:val="24"/>
          <w:rtl/>
          <w14:ligatures w14:val="none"/>
        </w:rPr>
        <w:t>תקופת הדחייה אף ארוכה יותר</w:t>
      </w:r>
      <w:r w:rsidR="000327A8">
        <w:rPr>
          <w:rFonts w:ascii="David" w:eastAsia="Calibri" w:hAnsi="David" w:cs="David" w:hint="cs"/>
          <w:b/>
          <w:bCs/>
          <w:sz w:val="24"/>
          <w:szCs w:val="24"/>
          <w:rtl/>
          <w14:ligatures w14:val="none"/>
        </w:rPr>
        <w:t xml:space="preserve"> וזאת בניגוד לעמדת העוררות</w:t>
      </w:r>
      <w:r w:rsidRPr="000B12D2">
        <w:rPr>
          <w:rFonts w:ascii="David" w:eastAsia="Calibri" w:hAnsi="David" w:cs="David"/>
          <w:b/>
          <w:bCs/>
          <w:sz w:val="24"/>
          <w:szCs w:val="24"/>
          <w:rtl/>
          <w14:ligatures w14:val="none"/>
        </w:rPr>
        <w:t>.</w:t>
      </w:r>
      <w:r w:rsidRPr="00760DA0">
        <w:rPr>
          <w:rFonts w:ascii="David" w:eastAsia="Calibri" w:hAnsi="David" w:cs="David"/>
          <w:sz w:val="24"/>
          <w:szCs w:val="24"/>
          <w:rtl/>
          <w14:ligatures w14:val="none"/>
        </w:rPr>
        <w:t xml:space="preserve"> </w:t>
      </w:r>
      <w:r w:rsidR="00D73C26">
        <w:rPr>
          <w:rFonts w:ascii="David" w:eastAsia="Calibri" w:hAnsi="David" w:cs="David" w:hint="cs"/>
          <w:sz w:val="24"/>
          <w:szCs w:val="24"/>
          <w:rtl/>
          <w14:ligatures w14:val="none"/>
        </w:rPr>
        <w:t>ואולם, כאמור נוכח העדר ערר מטעם הוועדה המקומית - לא מצאנו לבחון זאת.</w:t>
      </w:r>
    </w:p>
    <w:p w14:paraId="572C14E1" w14:textId="1C699FD3" w:rsidR="00D612EA" w:rsidRDefault="00DD70F9" w:rsidP="00AC5123">
      <w:pPr>
        <w:numPr>
          <w:ilvl w:val="0"/>
          <w:numId w:val="1"/>
        </w:numPr>
        <w:spacing w:before="100" w:beforeAutospacing="1" w:line="360" w:lineRule="auto"/>
        <w:ind w:left="90" w:hanging="425"/>
        <w:jc w:val="both"/>
        <w:rPr>
          <w:rFonts w:ascii="David" w:eastAsia="Calibri" w:hAnsi="David" w:cs="David"/>
          <w:sz w:val="24"/>
          <w:szCs w:val="24"/>
          <w14:ligatures w14:val="none"/>
        </w:rPr>
      </w:pPr>
      <w:r>
        <w:rPr>
          <w:rFonts w:ascii="David" w:eastAsia="Calibri" w:hAnsi="David" w:cs="David" w:hint="cs"/>
          <w:sz w:val="24"/>
          <w:szCs w:val="24"/>
          <w:rtl/>
          <w14:ligatures w14:val="none"/>
        </w:rPr>
        <w:t>על כן,</w:t>
      </w:r>
      <w:r w:rsidR="00760DA0" w:rsidRPr="00760DA0">
        <w:rPr>
          <w:rFonts w:ascii="David" w:eastAsia="Calibri" w:hAnsi="David" w:cs="David"/>
          <w:sz w:val="24"/>
          <w:szCs w:val="24"/>
          <w:rtl/>
          <w14:ligatures w14:val="none"/>
        </w:rPr>
        <w:t xml:space="preserve"> התוצאה אליה הגיע השמאי המכריע</w:t>
      </w:r>
      <w:r w:rsidR="00D612EA">
        <w:rPr>
          <w:rFonts w:ascii="David" w:eastAsia="Calibri" w:hAnsi="David" w:cs="David" w:hint="cs"/>
          <w:sz w:val="24"/>
          <w:szCs w:val="24"/>
          <w:rtl/>
          <w14:ligatures w14:val="none"/>
        </w:rPr>
        <w:t xml:space="preserve"> </w:t>
      </w:r>
      <w:r w:rsidR="00760DA0" w:rsidRPr="00760DA0">
        <w:rPr>
          <w:rFonts w:ascii="David" w:eastAsia="Calibri" w:hAnsi="David" w:cs="David"/>
          <w:sz w:val="24"/>
          <w:szCs w:val="24"/>
          <w:rtl/>
          <w14:ligatures w14:val="none"/>
        </w:rPr>
        <w:t xml:space="preserve">– דחייה של שנתיים – ודאי </w:t>
      </w:r>
      <w:r w:rsidR="00F472D7">
        <w:rPr>
          <w:rFonts w:ascii="David" w:eastAsia="Calibri" w:hAnsi="David" w:cs="David" w:hint="cs"/>
          <w:sz w:val="24"/>
          <w:szCs w:val="24"/>
          <w:rtl/>
          <w14:ligatures w14:val="none"/>
        </w:rPr>
        <w:t>מבטאת</w:t>
      </w:r>
      <w:r w:rsidR="00F472D7" w:rsidRPr="00760DA0">
        <w:rPr>
          <w:rFonts w:ascii="David" w:eastAsia="Calibri" w:hAnsi="David" w:cs="David"/>
          <w:sz w:val="24"/>
          <w:szCs w:val="24"/>
          <w:rtl/>
          <w14:ligatures w14:val="none"/>
        </w:rPr>
        <w:t xml:space="preserve"> </w:t>
      </w:r>
      <w:r w:rsidR="00760DA0" w:rsidRPr="00760DA0">
        <w:rPr>
          <w:rFonts w:ascii="David" w:eastAsia="Calibri" w:hAnsi="David" w:cs="David"/>
          <w:sz w:val="24"/>
          <w:szCs w:val="24"/>
          <w:rtl/>
          <w14:ligatures w14:val="none"/>
        </w:rPr>
        <w:t xml:space="preserve">מציאות תכנונית </w:t>
      </w:r>
      <w:r w:rsidR="00766682">
        <w:rPr>
          <w:rFonts w:ascii="David" w:eastAsia="Calibri" w:hAnsi="David" w:cs="David" w:hint="cs"/>
          <w:sz w:val="24"/>
          <w:szCs w:val="24"/>
          <w:rtl/>
          <w14:ligatures w14:val="none"/>
        </w:rPr>
        <w:t>סבירה ומשקפת</w:t>
      </w:r>
      <w:r w:rsidR="00D612EA">
        <w:rPr>
          <w:rFonts w:ascii="David" w:eastAsia="Calibri" w:hAnsi="David" w:cs="David" w:hint="cs"/>
          <w:sz w:val="24"/>
          <w:szCs w:val="24"/>
          <w:rtl/>
          <w14:ligatures w14:val="none"/>
        </w:rPr>
        <w:t xml:space="preserve"> את המצב החל</w:t>
      </w:r>
      <w:r w:rsidR="00760DA0" w:rsidRPr="00760DA0">
        <w:rPr>
          <w:rFonts w:ascii="David" w:eastAsia="Calibri" w:hAnsi="David" w:cs="David"/>
          <w:sz w:val="24"/>
          <w:szCs w:val="24"/>
          <w:rtl/>
          <w14:ligatures w14:val="none"/>
        </w:rPr>
        <w:t xml:space="preserve"> בחלקות מושא הערר</w:t>
      </w:r>
      <w:r w:rsidR="00D612EA">
        <w:rPr>
          <w:rFonts w:ascii="David" w:eastAsia="Calibri" w:hAnsi="David" w:cs="David" w:hint="cs"/>
          <w:sz w:val="24"/>
          <w:szCs w:val="24"/>
          <w:rtl/>
          <w14:ligatures w14:val="none"/>
        </w:rPr>
        <w:t>.</w:t>
      </w:r>
    </w:p>
    <w:p w14:paraId="5129E35D" w14:textId="77777777" w:rsidR="00760DA0" w:rsidRPr="00760DA0" w:rsidRDefault="00760DA0" w:rsidP="00DD70F9">
      <w:pPr>
        <w:numPr>
          <w:ilvl w:val="0"/>
          <w:numId w:val="1"/>
        </w:numPr>
        <w:spacing w:before="100" w:beforeAutospacing="1" w:line="360" w:lineRule="auto"/>
        <w:ind w:left="90" w:hanging="425"/>
        <w:jc w:val="both"/>
        <w:rPr>
          <w:rFonts w:ascii="David" w:eastAsia="Calibri" w:hAnsi="David" w:cs="David"/>
          <w:sz w:val="24"/>
          <w:szCs w:val="24"/>
          <w:rtl/>
          <w14:ligatures w14:val="none"/>
        </w:rPr>
      </w:pPr>
      <w:r w:rsidRPr="00760DA0">
        <w:rPr>
          <w:rFonts w:ascii="David" w:eastAsia="Calibri" w:hAnsi="David" w:cs="David"/>
          <w:sz w:val="24"/>
          <w:szCs w:val="24"/>
          <w:rtl/>
          <w14:ligatures w14:val="none"/>
        </w:rPr>
        <w:t xml:space="preserve">בהקשר זה אנו מקבלים את טענות הוועדה </w:t>
      </w:r>
      <w:r w:rsidR="002333BA" w:rsidRPr="00760DA0">
        <w:rPr>
          <w:rFonts w:ascii="David" w:eastAsia="Calibri" w:hAnsi="David" w:cs="David" w:hint="cs"/>
          <w:sz w:val="24"/>
          <w:szCs w:val="24"/>
          <w:rtl/>
          <w14:ligatures w14:val="none"/>
        </w:rPr>
        <w:t>המקומית</w:t>
      </w:r>
      <w:r w:rsidRPr="00760DA0">
        <w:rPr>
          <w:rFonts w:ascii="David" w:eastAsia="Calibri" w:hAnsi="David" w:cs="David"/>
          <w:sz w:val="24"/>
          <w:szCs w:val="24"/>
          <w:rtl/>
          <w14:ligatures w14:val="none"/>
        </w:rPr>
        <w:t xml:space="preserve"> </w:t>
      </w:r>
      <w:r w:rsidR="002333BA" w:rsidRPr="00760DA0">
        <w:rPr>
          <w:rFonts w:ascii="David" w:eastAsia="Calibri" w:hAnsi="David" w:cs="David" w:hint="cs"/>
          <w:sz w:val="24"/>
          <w:szCs w:val="24"/>
          <w:rtl/>
          <w14:ligatures w14:val="none"/>
        </w:rPr>
        <w:t>בהפנייתה</w:t>
      </w:r>
      <w:r w:rsidRPr="00760DA0">
        <w:rPr>
          <w:rFonts w:ascii="David" w:eastAsia="Calibri" w:hAnsi="David" w:cs="David"/>
          <w:sz w:val="24"/>
          <w:szCs w:val="24"/>
          <w:rtl/>
          <w14:ligatures w14:val="none"/>
        </w:rPr>
        <w:t xml:space="preserve"> לעניין </w:t>
      </w:r>
      <w:proofErr w:type="spellStart"/>
      <w:r w:rsidRPr="00760DA0">
        <w:rPr>
          <w:rFonts w:ascii="David" w:eastAsia="Calibri" w:hAnsi="David" w:cs="David"/>
          <w:sz w:val="24"/>
          <w:szCs w:val="24"/>
          <w:rtl/>
          <w14:ligatures w14:val="none"/>
        </w:rPr>
        <w:t>עמנ</w:t>
      </w:r>
      <w:proofErr w:type="spellEnd"/>
      <w:r w:rsidRPr="00760DA0">
        <w:rPr>
          <w:rFonts w:ascii="David" w:eastAsia="Calibri" w:hAnsi="David" w:cs="David"/>
          <w:sz w:val="24"/>
          <w:szCs w:val="24"/>
          <w:rtl/>
          <w14:ligatures w14:val="none"/>
        </w:rPr>
        <w:t xml:space="preserve"> (ת"א) 4095-09-22 </w:t>
      </w:r>
      <w:proofErr w:type="spellStart"/>
      <w:r w:rsidRPr="00DD70F9">
        <w:rPr>
          <w:rFonts w:ascii="David" w:eastAsia="Calibri" w:hAnsi="David" w:cs="David"/>
          <w:b/>
          <w:bCs/>
          <w:sz w:val="24"/>
          <w:szCs w:val="24"/>
          <w:rtl/>
          <w14:ligatures w14:val="none"/>
        </w:rPr>
        <w:t>נת"ע</w:t>
      </w:r>
      <w:proofErr w:type="spellEnd"/>
      <w:r w:rsidRPr="00DD70F9">
        <w:rPr>
          <w:rFonts w:ascii="David" w:eastAsia="Calibri" w:hAnsi="David" w:cs="David"/>
          <w:b/>
          <w:bCs/>
          <w:sz w:val="24"/>
          <w:szCs w:val="24"/>
          <w:rtl/>
          <w14:ligatures w14:val="none"/>
        </w:rPr>
        <w:t xml:space="preserve"> - נתיבי תחבורה עירוניים להסעת המונים בע"מ נ' תל-אביב </w:t>
      </w:r>
      <w:proofErr w:type="spellStart"/>
      <w:r w:rsidRPr="00DD70F9">
        <w:rPr>
          <w:rFonts w:ascii="David" w:eastAsia="Calibri" w:hAnsi="David" w:cs="David"/>
          <w:b/>
          <w:bCs/>
          <w:sz w:val="24"/>
          <w:szCs w:val="24"/>
          <w:rtl/>
          <w14:ligatures w14:val="none"/>
        </w:rPr>
        <w:t>ביץ</w:t>
      </w:r>
      <w:proofErr w:type="spellEnd"/>
      <w:r w:rsidRPr="00DD70F9">
        <w:rPr>
          <w:rFonts w:ascii="David" w:eastAsia="Calibri" w:hAnsi="David" w:cs="David"/>
          <w:b/>
          <w:bCs/>
          <w:sz w:val="24"/>
          <w:szCs w:val="24"/>
          <w:rtl/>
          <w14:ligatures w14:val="none"/>
        </w:rPr>
        <w:t>' פלאזה</w:t>
      </w:r>
      <w:r w:rsidR="002333BA">
        <w:rPr>
          <w:rFonts w:ascii="David" w:eastAsia="Calibri" w:hAnsi="David" w:cs="David" w:hint="cs"/>
          <w:sz w:val="24"/>
          <w:szCs w:val="24"/>
          <w:rtl/>
          <w14:ligatures w14:val="none"/>
        </w:rPr>
        <w:t xml:space="preserve"> (נבו)</w:t>
      </w:r>
      <w:r w:rsidRPr="00760DA0">
        <w:rPr>
          <w:rFonts w:ascii="David" w:eastAsia="Calibri" w:hAnsi="David" w:cs="David"/>
          <w:sz w:val="24"/>
          <w:szCs w:val="24"/>
          <w:rtl/>
          <w14:ligatures w14:val="none"/>
        </w:rPr>
        <w:t xml:space="preserve"> וכן את קביעות בית המשפט שם הרלבנטיות לענייננו.</w:t>
      </w:r>
    </w:p>
    <w:p w14:paraId="4F0448A4" w14:textId="77777777" w:rsidR="00760DA0" w:rsidRPr="00760DA0" w:rsidRDefault="00760DA0" w:rsidP="00DD70F9">
      <w:pPr>
        <w:numPr>
          <w:ilvl w:val="0"/>
          <w:numId w:val="1"/>
        </w:numPr>
        <w:spacing w:before="100" w:beforeAutospacing="1" w:line="360" w:lineRule="auto"/>
        <w:ind w:left="90" w:hanging="425"/>
        <w:jc w:val="both"/>
        <w:rPr>
          <w:rFonts w:ascii="David" w:eastAsia="Calibri" w:hAnsi="David" w:cs="David"/>
          <w:sz w:val="24"/>
          <w:szCs w:val="24"/>
          <w:rtl/>
          <w14:ligatures w14:val="none"/>
        </w:rPr>
      </w:pPr>
      <w:r w:rsidRPr="00760DA0">
        <w:rPr>
          <w:rFonts w:ascii="David" w:eastAsia="Calibri" w:hAnsi="David" w:cs="David"/>
          <w:sz w:val="24"/>
          <w:szCs w:val="24"/>
          <w:rtl/>
          <w14:ligatures w14:val="none"/>
        </w:rPr>
        <w:t xml:space="preserve">נסכם את החלטנו בעניין זה בחזרה על קביעתו של בית המשפט בעמנ (חי') 58356-02-25‏ ‏ </w:t>
      </w:r>
      <w:r w:rsidRPr="00C10C92">
        <w:rPr>
          <w:rFonts w:ascii="David" w:eastAsia="Calibri" w:hAnsi="David" w:cs="David"/>
          <w:b/>
          <w:bCs/>
          <w:sz w:val="24"/>
          <w:szCs w:val="24"/>
          <w:rtl/>
          <w14:ligatures w14:val="none"/>
        </w:rPr>
        <w:t>י.א.</w:t>
      </w:r>
      <w:r w:rsidRPr="00760DA0">
        <w:rPr>
          <w:rFonts w:ascii="David" w:eastAsia="Calibri" w:hAnsi="David" w:cs="David"/>
          <w:sz w:val="24"/>
          <w:szCs w:val="24"/>
          <w:rtl/>
          <w14:ligatures w14:val="none"/>
        </w:rPr>
        <w:t xml:space="preserve"> </w:t>
      </w:r>
      <w:proofErr w:type="spellStart"/>
      <w:r w:rsidRPr="00DD70F9">
        <w:rPr>
          <w:rFonts w:ascii="David" w:eastAsia="Calibri" w:hAnsi="David" w:cs="David"/>
          <w:b/>
          <w:bCs/>
          <w:sz w:val="24"/>
          <w:szCs w:val="24"/>
          <w:rtl/>
          <w14:ligatures w14:val="none"/>
        </w:rPr>
        <w:t>טאוורס</w:t>
      </w:r>
      <w:proofErr w:type="spellEnd"/>
      <w:r w:rsidRPr="00DD70F9">
        <w:rPr>
          <w:rFonts w:ascii="David" w:eastAsia="Calibri" w:hAnsi="David" w:cs="David"/>
          <w:b/>
          <w:bCs/>
          <w:sz w:val="24"/>
          <w:szCs w:val="24"/>
          <w:rtl/>
          <w14:ligatures w14:val="none"/>
        </w:rPr>
        <w:t xml:space="preserve"> החזקות ויזמות בע"מ נ' הוועדה המקומית לתכנון ובניה חדרה</w:t>
      </w:r>
      <w:r w:rsidRPr="00760DA0">
        <w:rPr>
          <w:rFonts w:ascii="David" w:eastAsia="Calibri" w:hAnsi="David" w:cs="David"/>
          <w:sz w:val="24"/>
          <w:szCs w:val="24"/>
          <w:rtl/>
          <w14:ligatures w14:val="none"/>
        </w:rPr>
        <w:t xml:space="preserve"> (נבו):</w:t>
      </w:r>
    </w:p>
    <w:p w14:paraId="72639DF5" w14:textId="77777777" w:rsidR="00760DA0" w:rsidRPr="00DD70F9" w:rsidRDefault="00C8769E" w:rsidP="00DD70F9">
      <w:pPr>
        <w:pStyle w:val="a9"/>
        <w:spacing w:line="360" w:lineRule="auto"/>
        <w:ind w:left="658" w:right="851"/>
        <w:jc w:val="both"/>
        <w:rPr>
          <w:rFonts w:ascii="David" w:hAnsi="David" w:cs="David"/>
          <w:b/>
          <w:bCs/>
          <w:sz w:val="24"/>
          <w:szCs w:val="24"/>
          <w:rtl/>
        </w:rPr>
      </w:pPr>
      <w:r>
        <w:rPr>
          <w:rFonts w:ascii="David" w:hAnsi="David" w:cs="David" w:hint="cs"/>
          <w:b/>
          <w:bCs/>
          <w:sz w:val="24"/>
          <w:szCs w:val="24"/>
          <w:rtl/>
        </w:rPr>
        <w:t>כאמור</w:t>
      </w:r>
      <w:r w:rsidR="00760DA0" w:rsidRPr="00DD70F9">
        <w:rPr>
          <w:rFonts w:ascii="David" w:hAnsi="David" w:cs="David"/>
          <w:b/>
          <w:bCs/>
          <w:sz w:val="24"/>
          <w:szCs w:val="24"/>
          <w:rtl/>
        </w:rPr>
        <w:t xml:space="preserve"> לעיל, טענות הצדדים  ממוקדות בשאלת מקדם ההפחתה שנדרש לקבוע, אם בכלל, בגין מושע ומורכבות הפרויקט, ובעניין זה כבר נקבע בפסיקת בתי המשפט המחוזיים כי "...קביעת מקדם היא ענין שמאי מובהק" (עמ"נ(מרכז) 16460-09-23 חוה </w:t>
      </w:r>
      <w:proofErr w:type="spellStart"/>
      <w:r w:rsidR="00760DA0" w:rsidRPr="00DD70F9">
        <w:rPr>
          <w:rFonts w:ascii="David" w:hAnsi="David" w:cs="David"/>
          <w:b/>
          <w:bCs/>
          <w:sz w:val="24"/>
          <w:szCs w:val="24"/>
          <w:rtl/>
        </w:rPr>
        <w:t>גנדליס</w:t>
      </w:r>
      <w:proofErr w:type="spellEnd"/>
      <w:r w:rsidR="00760DA0" w:rsidRPr="00DD70F9">
        <w:rPr>
          <w:rFonts w:ascii="David" w:hAnsi="David" w:cs="David"/>
          <w:b/>
          <w:bCs/>
          <w:sz w:val="24"/>
          <w:szCs w:val="24"/>
          <w:rtl/>
        </w:rPr>
        <w:t xml:space="preserve"> נ' ועדה מקומית לתכנון ובנייה יהוד – מונוסון, פסקה 16 (25.3.25)). ראו גם ת"א (מחוזי חיפה) 12610-08-13 אחמד עבדאללה סעיד נ' </w:t>
      </w:r>
      <w:proofErr w:type="spellStart"/>
      <w:r w:rsidR="00760DA0" w:rsidRPr="00DD70F9">
        <w:rPr>
          <w:rFonts w:ascii="David" w:hAnsi="David" w:cs="David"/>
          <w:b/>
          <w:bCs/>
          <w:sz w:val="24"/>
          <w:szCs w:val="24"/>
          <w:rtl/>
        </w:rPr>
        <w:t>אברהים</w:t>
      </w:r>
      <w:proofErr w:type="spellEnd"/>
      <w:r w:rsidR="00760DA0" w:rsidRPr="00DD70F9">
        <w:rPr>
          <w:rFonts w:ascii="David" w:hAnsi="David" w:cs="David"/>
          <w:b/>
          <w:bCs/>
          <w:sz w:val="24"/>
          <w:szCs w:val="24"/>
          <w:rtl/>
        </w:rPr>
        <w:t xml:space="preserve"> יוסף </w:t>
      </w:r>
      <w:proofErr w:type="spellStart"/>
      <w:r w:rsidR="00760DA0" w:rsidRPr="00DD70F9">
        <w:rPr>
          <w:rFonts w:ascii="David" w:hAnsi="David" w:cs="David"/>
          <w:b/>
          <w:bCs/>
          <w:sz w:val="24"/>
          <w:szCs w:val="24"/>
          <w:rtl/>
        </w:rPr>
        <w:t>סרחאן</w:t>
      </w:r>
      <w:proofErr w:type="spellEnd"/>
      <w:r w:rsidR="00760DA0" w:rsidRPr="00DD70F9">
        <w:rPr>
          <w:rFonts w:ascii="David" w:hAnsi="David" w:cs="David"/>
          <w:b/>
          <w:bCs/>
          <w:sz w:val="24"/>
          <w:szCs w:val="24"/>
          <w:rtl/>
        </w:rPr>
        <w:t>, פסקה 34 (13.6.19)), שם נקבע כי "...באשר לשיעור המדויק של מקדמי ההפחתה והתוספת שקבע השמאי – המדובר בקביעה מקצועית מובהקת ולא מצאתי סיבה לסטות ממנה...". כן ראו עמ"נ (מרכז) 48565-04-14 הוועדה המקומית לתכנון ובנייה ראשון לציון נ' קוצר, פסקה 49 (4.11.16)).</w:t>
      </w:r>
    </w:p>
    <w:p w14:paraId="72AFACCC" w14:textId="77777777" w:rsidR="00760DA0" w:rsidRPr="00DD70F9" w:rsidRDefault="00760DA0" w:rsidP="00DD70F9">
      <w:pPr>
        <w:pStyle w:val="a9"/>
        <w:spacing w:line="360" w:lineRule="auto"/>
        <w:ind w:left="658" w:right="851"/>
        <w:jc w:val="both"/>
        <w:rPr>
          <w:rFonts w:ascii="David" w:hAnsi="David" w:cs="David"/>
          <w:b/>
          <w:bCs/>
          <w:sz w:val="24"/>
          <w:szCs w:val="24"/>
          <w:rtl/>
        </w:rPr>
      </w:pPr>
      <w:r w:rsidRPr="00DD70F9">
        <w:rPr>
          <w:rFonts w:ascii="David" w:hAnsi="David" w:cs="David"/>
          <w:b/>
          <w:bCs/>
          <w:sz w:val="24"/>
          <w:szCs w:val="24"/>
          <w:rtl/>
        </w:rPr>
        <w:t xml:space="preserve"> </w:t>
      </w:r>
    </w:p>
    <w:p w14:paraId="5885046C" w14:textId="77777777" w:rsidR="00760DA0" w:rsidRPr="00DD70F9" w:rsidRDefault="00760DA0" w:rsidP="00DD70F9">
      <w:pPr>
        <w:pStyle w:val="a9"/>
        <w:spacing w:line="360" w:lineRule="auto"/>
        <w:ind w:left="658" w:right="851"/>
        <w:jc w:val="both"/>
        <w:rPr>
          <w:rFonts w:ascii="David" w:hAnsi="David" w:cs="David"/>
          <w:b/>
          <w:bCs/>
          <w:sz w:val="24"/>
          <w:szCs w:val="24"/>
          <w:rtl/>
        </w:rPr>
      </w:pPr>
      <w:r w:rsidRPr="00DD70F9">
        <w:rPr>
          <w:rFonts w:ascii="David" w:hAnsi="David" w:cs="David"/>
          <w:b/>
          <w:bCs/>
          <w:sz w:val="24"/>
          <w:szCs w:val="24"/>
          <w:rtl/>
        </w:rPr>
        <w:t>......</w:t>
      </w:r>
    </w:p>
    <w:p w14:paraId="020775E2" w14:textId="77777777" w:rsidR="00760DA0" w:rsidRPr="00DD70F9" w:rsidRDefault="00760DA0" w:rsidP="00DD70F9">
      <w:pPr>
        <w:pStyle w:val="a9"/>
        <w:spacing w:line="360" w:lineRule="auto"/>
        <w:ind w:left="658" w:right="851"/>
        <w:jc w:val="both"/>
        <w:rPr>
          <w:rFonts w:ascii="David" w:hAnsi="David" w:cs="David"/>
          <w:b/>
          <w:bCs/>
          <w:sz w:val="24"/>
          <w:szCs w:val="24"/>
          <w:rtl/>
        </w:rPr>
      </w:pPr>
      <w:r w:rsidRPr="00DD70F9">
        <w:rPr>
          <w:rFonts w:ascii="David" w:hAnsi="David" w:cs="David"/>
          <w:b/>
          <w:bCs/>
          <w:sz w:val="24"/>
          <w:szCs w:val="24"/>
          <w:rtl/>
        </w:rPr>
        <w:t xml:space="preserve">50.        קדימותו ועדיפותו של השמאי המכריע בברור סוגיות שמאיות, על פני ועדת הערר הודגשה בפסיקה בה נקבע כי "...ההנחה העומדת בבסיס מינויו של שמאי היא כי הלה ניחן בכישורים מקצועיים מובהקים יותר לחוות דעת בשאלות שמאיות שהונחו לפתחו ביחס לוועדת הערר" (בר"מ 3644/13 משרד התחבורה נ' גלר דוד </w:t>
      </w:r>
      <w:proofErr w:type="spellStart"/>
      <w:r w:rsidRPr="00DD70F9">
        <w:rPr>
          <w:rFonts w:ascii="David" w:hAnsi="David" w:cs="David"/>
          <w:b/>
          <w:bCs/>
          <w:sz w:val="24"/>
          <w:szCs w:val="24"/>
          <w:rtl/>
        </w:rPr>
        <w:t>ואארורה</w:t>
      </w:r>
      <w:proofErr w:type="spellEnd"/>
      <w:r w:rsidRPr="00DD70F9">
        <w:rPr>
          <w:rFonts w:ascii="David" w:hAnsi="David" w:cs="David"/>
          <w:b/>
          <w:bCs/>
          <w:sz w:val="24"/>
          <w:szCs w:val="24"/>
          <w:rtl/>
        </w:rPr>
        <w:t>, פסקה 7 (23.4.14)) (להלן – "עניין גלר").</w:t>
      </w:r>
    </w:p>
    <w:p w14:paraId="73421FFD" w14:textId="77777777" w:rsidR="00760DA0" w:rsidRPr="00DD70F9" w:rsidRDefault="00760DA0" w:rsidP="00DD70F9">
      <w:pPr>
        <w:pStyle w:val="a9"/>
        <w:spacing w:line="360" w:lineRule="auto"/>
        <w:ind w:left="658" w:right="851"/>
        <w:jc w:val="both"/>
        <w:rPr>
          <w:rFonts w:ascii="David" w:hAnsi="David" w:cs="David"/>
          <w:b/>
          <w:bCs/>
          <w:sz w:val="24"/>
          <w:szCs w:val="24"/>
          <w:rtl/>
        </w:rPr>
      </w:pPr>
      <w:r w:rsidRPr="00DD70F9">
        <w:rPr>
          <w:rFonts w:ascii="David" w:hAnsi="David" w:cs="David"/>
          <w:b/>
          <w:bCs/>
          <w:sz w:val="24"/>
          <w:szCs w:val="24"/>
          <w:rtl/>
        </w:rPr>
        <w:t xml:space="preserve"> </w:t>
      </w:r>
    </w:p>
    <w:p w14:paraId="4AD2124A" w14:textId="77777777" w:rsidR="00760DA0" w:rsidRPr="00DD70F9" w:rsidRDefault="00760DA0" w:rsidP="00DD70F9">
      <w:pPr>
        <w:pStyle w:val="a9"/>
        <w:spacing w:line="360" w:lineRule="auto"/>
        <w:ind w:left="658" w:right="851"/>
        <w:jc w:val="both"/>
        <w:rPr>
          <w:rFonts w:ascii="David" w:hAnsi="David" w:cs="David"/>
          <w:b/>
          <w:bCs/>
          <w:sz w:val="24"/>
          <w:szCs w:val="24"/>
          <w:rtl/>
        </w:rPr>
      </w:pPr>
      <w:r w:rsidRPr="00DD70F9">
        <w:rPr>
          <w:rFonts w:ascii="David" w:hAnsi="David" w:cs="David"/>
          <w:b/>
          <w:bCs/>
          <w:sz w:val="24"/>
          <w:szCs w:val="24"/>
          <w:rtl/>
        </w:rPr>
        <w:t>51.        בהתאם, נקבע אמנם כי חברי וועדת הערר כשירים לבקר אף את קביעותיו השמאיות - מקצועיות של השמאי המכריע, אך היקף התערבותה של ועדת הערר בנושאים שמאיים מקצועיים יהיה מצומצם ויוגבל רק למקרים בהם נפלה טעות חמורה בשומת השמאי המכריע. כך  נקבע ב"עניין גלר" .......</w:t>
      </w:r>
    </w:p>
    <w:p w14:paraId="78148881" w14:textId="77777777" w:rsidR="00760DA0" w:rsidRPr="00DD70F9" w:rsidRDefault="00760DA0" w:rsidP="00DD70F9">
      <w:pPr>
        <w:pStyle w:val="a9"/>
        <w:spacing w:line="360" w:lineRule="auto"/>
        <w:ind w:left="658" w:right="851"/>
        <w:jc w:val="both"/>
        <w:rPr>
          <w:rFonts w:ascii="David" w:hAnsi="David" w:cs="David"/>
          <w:b/>
          <w:bCs/>
          <w:sz w:val="24"/>
          <w:szCs w:val="24"/>
          <w:rtl/>
        </w:rPr>
      </w:pPr>
      <w:r w:rsidRPr="00DD70F9">
        <w:rPr>
          <w:rFonts w:ascii="David" w:hAnsi="David" w:cs="David"/>
          <w:b/>
          <w:bCs/>
          <w:sz w:val="24"/>
          <w:szCs w:val="24"/>
          <w:rtl/>
        </w:rPr>
        <w:t xml:space="preserve">52.        לעמדתי, כחלק מהעקרונות לעיל, ועדת הערר נדרשת לנהוג בזהירות יתירה בבואה להפעיל את סמכותה </w:t>
      </w:r>
      <w:proofErr w:type="spellStart"/>
      <w:r w:rsidRPr="00DD70F9">
        <w:rPr>
          <w:rFonts w:ascii="David" w:hAnsi="David" w:cs="David"/>
          <w:b/>
          <w:bCs/>
          <w:sz w:val="24"/>
          <w:szCs w:val="24"/>
          <w:rtl/>
        </w:rPr>
        <w:t>המעין</w:t>
      </w:r>
      <w:proofErr w:type="spellEnd"/>
      <w:r w:rsidRPr="00DD70F9">
        <w:rPr>
          <w:rFonts w:ascii="David" w:hAnsi="David" w:cs="David"/>
          <w:b/>
          <w:bCs/>
          <w:sz w:val="24"/>
          <w:szCs w:val="24"/>
          <w:rtl/>
        </w:rPr>
        <w:t xml:space="preserve"> שיפוטית, לבקר את מסקנותיו המקצועיות של השמאי המכריע, ובין היתר, נדרשת ועדת הערר להקפיד על כך שהיא אינה מסיגה את גבולות סמכותו המקצועית של השמאי המכריע, וכי היא אינה מחליפה את שיקול דעתו המקצועי בשיקול דעתה.</w:t>
      </w:r>
    </w:p>
    <w:p w14:paraId="46C5C515" w14:textId="77777777" w:rsidR="00760DA0" w:rsidRPr="00DD70F9" w:rsidRDefault="00760DA0" w:rsidP="00DD70F9">
      <w:pPr>
        <w:pStyle w:val="a9"/>
        <w:spacing w:line="360" w:lineRule="auto"/>
        <w:ind w:left="658" w:right="851"/>
        <w:jc w:val="both"/>
        <w:rPr>
          <w:rFonts w:ascii="David" w:hAnsi="David" w:cs="David"/>
          <w:b/>
          <w:bCs/>
          <w:sz w:val="24"/>
          <w:szCs w:val="24"/>
          <w:rtl/>
        </w:rPr>
      </w:pPr>
      <w:r w:rsidRPr="00DD70F9">
        <w:rPr>
          <w:rFonts w:ascii="David" w:hAnsi="David" w:cs="David"/>
          <w:b/>
          <w:bCs/>
          <w:sz w:val="24"/>
          <w:szCs w:val="24"/>
          <w:rtl/>
        </w:rPr>
        <w:lastRenderedPageBreak/>
        <w:t xml:space="preserve"> </w:t>
      </w:r>
    </w:p>
    <w:p w14:paraId="2C269929" w14:textId="77777777" w:rsidR="00760DA0" w:rsidRPr="00DD70F9" w:rsidRDefault="00760DA0" w:rsidP="00DD70F9">
      <w:pPr>
        <w:pStyle w:val="a9"/>
        <w:spacing w:line="360" w:lineRule="auto"/>
        <w:ind w:left="658" w:right="851"/>
        <w:jc w:val="both"/>
        <w:rPr>
          <w:rFonts w:ascii="David" w:hAnsi="David" w:cs="David"/>
          <w:b/>
          <w:bCs/>
          <w:sz w:val="24"/>
          <w:szCs w:val="24"/>
          <w:rtl/>
        </w:rPr>
      </w:pPr>
      <w:r w:rsidRPr="00DD70F9">
        <w:rPr>
          <w:rFonts w:ascii="David" w:hAnsi="David" w:cs="David"/>
          <w:b/>
          <w:bCs/>
          <w:sz w:val="24"/>
          <w:szCs w:val="24"/>
          <w:rtl/>
        </w:rPr>
        <w:t xml:space="preserve">    .........</w:t>
      </w:r>
    </w:p>
    <w:p w14:paraId="5FCE8E43" w14:textId="77777777" w:rsidR="00760DA0" w:rsidRPr="00DD70F9" w:rsidRDefault="00760DA0" w:rsidP="00DD70F9">
      <w:pPr>
        <w:pStyle w:val="a9"/>
        <w:spacing w:line="360" w:lineRule="auto"/>
        <w:ind w:left="658" w:right="851"/>
        <w:jc w:val="both"/>
        <w:rPr>
          <w:rFonts w:ascii="David" w:hAnsi="David" w:cs="David"/>
          <w:b/>
          <w:bCs/>
          <w:sz w:val="24"/>
          <w:szCs w:val="24"/>
          <w:rtl/>
        </w:rPr>
      </w:pPr>
      <w:r w:rsidRPr="00DD70F9">
        <w:rPr>
          <w:rFonts w:ascii="David" w:hAnsi="David" w:cs="David"/>
          <w:b/>
          <w:bCs/>
          <w:sz w:val="24"/>
          <w:szCs w:val="24"/>
          <w:rtl/>
        </w:rPr>
        <w:t xml:space="preserve"> </w:t>
      </w:r>
    </w:p>
    <w:p w14:paraId="12348E6A" w14:textId="77777777" w:rsidR="00760DA0" w:rsidRPr="00DD70F9" w:rsidRDefault="00760DA0" w:rsidP="00DD70F9">
      <w:pPr>
        <w:pStyle w:val="a9"/>
        <w:spacing w:line="360" w:lineRule="auto"/>
        <w:ind w:left="658" w:right="851"/>
        <w:jc w:val="both"/>
        <w:rPr>
          <w:rFonts w:ascii="David" w:hAnsi="David" w:cs="David"/>
          <w:b/>
          <w:bCs/>
          <w:sz w:val="24"/>
          <w:szCs w:val="24"/>
          <w:rtl/>
        </w:rPr>
      </w:pPr>
      <w:r w:rsidRPr="00DD70F9">
        <w:rPr>
          <w:rFonts w:ascii="David" w:hAnsi="David" w:cs="David"/>
          <w:b/>
          <w:bCs/>
          <w:sz w:val="24"/>
          <w:szCs w:val="24"/>
          <w:rtl/>
        </w:rPr>
        <w:t xml:space="preserve">בשים לב לכך שקביעת המקדם הינה כאמור עניין מובהק של שיקול דעת שמאי, קיימת גם אפשרות בלתי מבוטלת לכך שעל בסיס אותן עובדות רלוונטיות, שמאים שונים יגיעו למסקנות שונות. </w:t>
      </w:r>
    </w:p>
    <w:p w14:paraId="05482578" w14:textId="77777777" w:rsidR="00760DA0" w:rsidRPr="00DD70F9" w:rsidRDefault="00760DA0" w:rsidP="00DD70F9">
      <w:pPr>
        <w:pStyle w:val="a9"/>
        <w:spacing w:line="360" w:lineRule="auto"/>
        <w:ind w:left="658" w:right="851"/>
        <w:jc w:val="both"/>
        <w:rPr>
          <w:rFonts w:ascii="David" w:hAnsi="David" w:cs="David"/>
          <w:b/>
          <w:bCs/>
          <w:sz w:val="24"/>
          <w:szCs w:val="24"/>
          <w:rtl/>
        </w:rPr>
      </w:pPr>
      <w:r w:rsidRPr="00DD70F9">
        <w:rPr>
          <w:rFonts w:ascii="David" w:hAnsi="David" w:cs="David"/>
          <w:b/>
          <w:bCs/>
          <w:sz w:val="24"/>
          <w:szCs w:val="24"/>
          <w:rtl/>
        </w:rPr>
        <w:t xml:space="preserve"> </w:t>
      </w:r>
    </w:p>
    <w:p w14:paraId="3BD21F78" w14:textId="77777777" w:rsidR="00760DA0" w:rsidRPr="00760DA0" w:rsidRDefault="00F919D0" w:rsidP="00DD70F9">
      <w:pPr>
        <w:numPr>
          <w:ilvl w:val="0"/>
          <w:numId w:val="1"/>
        </w:numPr>
        <w:spacing w:before="100" w:beforeAutospacing="1" w:line="360" w:lineRule="auto"/>
        <w:ind w:left="90" w:hanging="425"/>
        <w:jc w:val="both"/>
        <w:rPr>
          <w:rFonts w:ascii="David" w:eastAsia="Calibri" w:hAnsi="David" w:cs="David"/>
          <w:sz w:val="24"/>
          <w:szCs w:val="24"/>
          <w:rtl/>
          <w14:ligatures w14:val="none"/>
        </w:rPr>
      </w:pPr>
      <w:r>
        <w:rPr>
          <w:rFonts w:ascii="David" w:eastAsia="Calibri" w:hAnsi="David" w:cs="David" w:hint="cs"/>
          <w:sz w:val="24"/>
          <w:szCs w:val="24"/>
          <w:rtl/>
          <w14:ligatures w14:val="none"/>
        </w:rPr>
        <w:t xml:space="preserve">נוכח האמור </w:t>
      </w:r>
      <w:r>
        <w:rPr>
          <w:rFonts w:ascii="David" w:eastAsia="Calibri" w:hAnsi="David" w:cs="David"/>
          <w:sz w:val="24"/>
          <w:szCs w:val="24"/>
          <w:rtl/>
          <w14:ligatures w14:val="none"/>
        </w:rPr>
        <w:t>–</w:t>
      </w:r>
      <w:r>
        <w:rPr>
          <w:rFonts w:ascii="David" w:eastAsia="Calibri" w:hAnsi="David" w:cs="David" w:hint="cs"/>
          <w:sz w:val="24"/>
          <w:szCs w:val="24"/>
          <w:rtl/>
          <w14:ligatures w14:val="none"/>
        </w:rPr>
        <w:t xml:space="preserve"> טענות העוררות נדחות והשומה נותרת על כנה ביחס לעניין זה.</w:t>
      </w:r>
    </w:p>
    <w:p w14:paraId="070E2540" w14:textId="2576CC6A" w:rsidR="000D6441" w:rsidRPr="00ED1E65" w:rsidRDefault="00ED1E65" w:rsidP="00C162D9">
      <w:pPr>
        <w:numPr>
          <w:ilvl w:val="0"/>
          <w:numId w:val="1"/>
        </w:numPr>
        <w:spacing w:before="100" w:beforeAutospacing="1" w:line="360" w:lineRule="auto"/>
        <w:ind w:left="90" w:hanging="425"/>
        <w:jc w:val="both"/>
        <w:rPr>
          <w:rFonts w:ascii="David" w:eastAsia="Calibri" w:hAnsi="David" w:cs="David"/>
          <w:sz w:val="24"/>
          <w:szCs w:val="24"/>
          <w:rtl/>
          <w14:ligatures w14:val="none"/>
        </w:rPr>
      </w:pPr>
      <w:r w:rsidRPr="00DD70F9">
        <w:rPr>
          <w:rFonts w:ascii="David" w:eastAsia="Calibri" w:hAnsi="David" w:cs="David" w:hint="eastAsia"/>
          <w:sz w:val="24"/>
          <w:szCs w:val="24"/>
          <w:u w:val="single"/>
          <w:rtl/>
          <w14:ligatures w14:val="none"/>
        </w:rPr>
        <w:t>הערה</w:t>
      </w:r>
      <w:r w:rsidRPr="00DD70F9">
        <w:rPr>
          <w:rFonts w:ascii="David" w:eastAsia="Calibri" w:hAnsi="David" w:cs="David"/>
          <w:sz w:val="24"/>
          <w:szCs w:val="24"/>
          <w:u w:val="single"/>
          <w:rtl/>
          <w14:ligatures w14:val="none"/>
        </w:rPr>
        <w:t xml:space="preserve"> </w:t>
      </w:r>
      <w:r w:rsidRPr="00DD70F9">
        <w:rPr>
          <w:rFonts w:ascii="David" w:eastAsia="Calibri" w:hAnsi="David" w:cs="David" w:hint="eastAsia"/>
          <w:sz w:val="24"/>
          <w:szCs w:val="24"/>
          <w:u w:val="single"/>
          <w:rtl/>
          <w14:ligatures w14:val="none"/>
        </w:rPr>
        <w:t>טרם</w:t>
      </w:r>
      <w:r w:rsidRPr="00DD70F9">
        <w:rPr>
          <w:rFonts w:ascii="David" w:eastAsia="Calibri" w:hAnsi="David" w:cs="David"/>
          <w:sz w:val="24"/>
          <w:szCs w:val="24"/>
          <w:u w:val="single"/>
          <w:rtl/>
          <w14:ligatures w14:val="none"/>
        </w:rPr>
        <w:t xml:space="preserve"> </w:t>
      </w:r>
      <w:r w:rsidRPr="00DD70F9">
        <w:rPr>
          <w:rFonts w:ascii="David" w:eastAsia="Calibri" w:hAnsi="David" w:cs="David" w:hint="eastAsia"/>
          <w:sz w:val="24"/>
          <w:szCs w:val="24"/>
          <w:u w:val="single"/>
          <w:rtl/>
          <w14:ligatures w14:val="none"/>
        </w:rPr>
        <w:t>סיום</w:t>
      </w:r>
      <w:r w:rsidR="005A77C5" w:rsidRPr="00DD70F9">
        <w:rPr>
          <w:rFonts w:ascii="David" w:eastAsia="Calibri" w:hAnsi="David" w:cs="David"/>
          <w:sz w:val="24"/>
          <w:szCs w:val="24"/>
          <w:u w:val="single"/>
          <w:rtl/>
          <w14:ligatures w14:val="none"/>
        </w:rPr>
        <w:t xml:space="preserve"> פרק זה</w:t>
      </w:r>
      <w:r>
        <w:rPr>
          <w:rFonts w:ascii="David" w:eastAsia="Calibri" w:hAnsi="David" w:cs="David" w:hint="cs"/>
          <w:sz w:val="24"/>
          <w:szCs w:val="24"/>
          <w:rtl/>
          <w14:ligatures w14:val="none"/>
        </w:rPr>
        <w:t xml:space="preserve"> - </w:t>
      </w:r>
      <w:r w:rsidR="008D61C5">
        <w:rPr>
          <w:rFonts w:ascii="David" w:eastAsia="Calibri" w:hAnsi="David" w:cs="David" w:hint="cs"/>
          <w:sz w:val="24"/>
          <w:szCs w:val="24"/>
          <w:rtl/>
          <w14:ligatures w14:val="none"/>
        </w:rPr>
        <w:t xml:space="preserve">לאחר שהכרענו בסוגיה נציין כי איננו יכולים לסיים פרק זה מבלי להעיר כי במסגרת תשובתה טענה הוועדה המקומית כי </w:t>
      </w:r>
      <w:r w:rsidR="004A1019">
        <w:rPr>
          <w:rFonts w:ascii="David" w:eastAsia="Calibri" w:hAnsi="David" w:cs="David" w:hint="cs"/>
          <w:sz w:val="24"/>
          <w:szCs w:val="24"/>
          <w:rtl/>
          <w14:ligatures w14:val="none"/>
        </w:rPr>
        <w:t>הפקדת תכנית 4678 ביום 27.11.2017 מנעה הוצאת היתרי בניה.</w:t>
      </w:r>
      <w:r w:rsidDel="00ED1E65">
        <w:rPr>
          <w:rFonts w:ascii="David" w:eastAsia="Calibri" w:hAnsi="David" w:cs="David"/>
          <w:sz w:val="24"/>
          <w:szCs w:val="24"/>
          <w14:ligatures w14:val="none"/>
        </w:rPr>
        <w:t xml:space="preserve"> </w:t>
      </w:r>
      <w:r w:rsidR="000D6441">
        <w:rPr>
          <w:rFonts w:ascii="David" w:eastAsia="Calibri" w:hAnsi="David" w:cs="David" w:hint="cs"/>
          <w:sz w:val="24"/>
          <w:szCs w:val="24"/>
          <w:rtl/>
          <w14:ligatures w14:val="none"/>
        </w:rPr>
        <w:t>בהקשר זה יובהר כי הוועדה המקומית לא גילתה את מלוא התמונה בפני ועדת הערר ביחס לתכנית זו.</w:t>
      </w:r>
      <w:r w:rsidR="00354721">
        <w:rPr>
          <w:rFonts w:ascii="David" w:eastAsia="Calibri" w:hAnsi="David" w:cs="David" w:hint="cs"/>
          <w:sz w:val="24"/>
          <w:szCs w:val="24"/>
          <w:rtl/>
          <w14:ligatures w14:val="none"/>
        </w:rPr>
        <w:t xml:space="preserve"> </w:t>
      </w:r>
      <w:r w:rsidR="000D6441" w:rsidRPr="00354721">
        <w:rPr>
          <w:rFonts w:ascii="David" w:eastAsia="Calibri" w:hAnsi="David" w:cs="David" w:hint="eastAsia"/>
          <w:sz w:val="24"/>
          <w:szCs w:val="24"/>
          <w:rtl/>
          <w14:ligatures w14:val="none"/>
        </w:rPr>
        <w:t>לאחר</w:t>
      </w:r>
      <w:r w:rsidR="000D6441" w:rsidRPr="00354721">
        <w:rPr>
          <w:rFonts w:ascii="David" w:eastAsia="Calibri" w:hAnsi="David" w:cs="David"/>
          <w:sz w:val="24"/>
          <w:szCs w:val="24"/>
          <w:rtl/>
          <w14:ligatures w14:val="none"/>
        </w:rPr>
        <w:t xml:space="preserve"> </w:t>
      </w:r>
      <w:r w:rsidR="000D6441" w:rsidRPr="00354721">
        <w:rPr>
          <w:rFonts w:ascii="David" w:eastAsia="Calibri" w:hAnsi="David" w:cs="David" w:hint="eastAsia"/>
          <w:sz w:val="24"/>
          <w:szCs w:val="24"/>
          <w:rtl/>
          <w14:ligatures w14:val="none"/>
        </w:rPr>
        <w:t>עיון</w:t>
      </w:r>
      <w:r w:rsidR="000D6441" w:rsidRPr="00354721">
        <w:rPr>
          <w:rFonts w:ascii="David" w:eastAsia="Calibri" w:hAnsi="David" w:cs="David"/>
          <w:sz w:val="24"/>
          <w:szCs w:val="24"/>
          <w:rtl/>
          <w14:ligatures w14:val="none"/>
        </w:rPr>
        <w:t xml:space="preserve"> </w:t>
      </w:r>
      <w:r w:rsidR="000D6441" w:rsidRPr="00354721">
        <w:rPr>
          <w:rFonts w:ascii="David" w:eastAsia="Calibri" w:hAnsi="David" w:cs="David" w:hint="eastAsia"/>
          <w:sz w:val="24"/>
          <w:szCs w:val="24"/>
          <w:rtl/>
          <w14:ligatures w14:val="none"/>
        </w:rPr>
        <w:t>ובדיקה</w:t>
      </w:r>
      <w:r w:rsidR="000D6441" w:rsidRPr="00354721">
        <w:rPr>
          <w:rFonts w:ascii="David" w:eastAsia="Calibri" w:hAnsi="David" w:cs="David"/>
          <w:sz w:val="24"/>
          <w:szCs w:val="24"/>
          <w:rtl/>
          <w14:ligatures w14:val="none"/>
        </w:rPr>
        <w:t xml:space="preserve"> </w:t>
      </w:r>
      <w:r w:rsidR="000D6441" w:rsidRPr="00354721">
        <w:rPr>
          <w:rFonts w:ascii="David" w:eastAsia="Calibri" w:hAnsi="David" w:cs="David" w:hint="eastAsia"/>
          <w:sz w:val="24"/>
          <w:szCs w:val="24"/>
          <w:rtl/>
          <w14:ligatures w14:val="none"/>
        </w:rPr>
        <w:t>נמצא</w:t>
      </w:r>
      <w:r w:rsidR="000D6441" w:rsidRPr="00354721">
        <w:rPr>
          <w:rFonts w:ascii="David" w:eastAsia="Calibri" w:hAnsi="David" w:cs="David"/>
          <w:sz w:val="24"/>
          <w:szCs w:val="24"/>
          <w:rtl/>
          <w14:ligatures w14:val="none"/>
        </w:rPr>
        <w:t xml:space="preserve"> </w:t>
      </w:r>
      <w:r w:rsidR="000D6441" w:rsidRPr="00354721">
        <w:rPr>
          <w:rFonts w:ascii="David" w:eastAsia="Calibri" w:hAnsi="David" w:cs="David" w:hint="eastAsia"/>
          <w:sz w:val="24"/>
          <w:szCs w:val="24"/>
          <w:rtl/>
          <w14:ligatures w14:val="none"/>
        </w:rPr>
        <w:t>כי</w:t>
      </w:r>
      <w:r w:rsidR="000D6441" w:rsidRPr="00354721">
        <w:rPr>
          <w:rFonts w:ascii="David" w:eastAsia="Calibri" w:hAnsi="David" w:cs="David"/>
          <w:sz w:val="24"/>
          <w:szCs w:val="24"/>
          <w:rtl/>
          <w14:ligatures w14:val="none"/>
        </w:rPr>
        <w:t xml:space="preserve"> </w:t>
      </w:r>
      <w:r w:rsidR="000D6441" w:rsidRPr="00354721">
        <w:rPr>
          <w:rFonts w:ascii="David" w:eastAsia="Calibri" w:hAnsi="David" w:cs="David" w:hint="eastAsia"/>
          <w:sz w:val="24"/>
          <w:szCs w:val="24"/>
          <w:rtl/>
          <w14:ligatures w14:val="none"/>
        </w:rPr>
        <w:t>ביחס</w:t>
      </w:r>
      <w:r w:rsidR="000D6441" w:rsidRPr="00354721">
        <w:rPr>
          <w:rFonts w:ascii="David" w:eastAsia="Calibri" w:hAnsi="David" w:cs="David"/>
          <w:sz w:val="24"/>
          <w:szCs w:val="24"/>
          <w:rtl/>
          <w14:ligatures w14:val="none"/>
        </w:rPr>
        <w:t xml:space="preserve"> </w:t>
      </w:r>
      <w:r w:rsidR="000D6441" w:rsidRPr="00354721">
        <w:rPr>
          <w:rFonts w:ascii="David" w:eastAsia="Calibri" w:hAnsi="David" w:cs="David" w:hint="eastAsia"/>
          <w:sz w:val="24"/>
          <w:szCs w:val="24"/>
          <w:rtl/>
          <w14:ligatures w14:val="none"/>
        </w:rPr>
        <w:t>לתכנית</w:t>
      </w:r>
      <w:r w:rsidR="000D6441" w:rsidRPr="00354721">
        <w:rPr>
          <w:rFonts w:ascii="David" w:eastAsia="Calibri" w:hAnsi="David" w:cs="David"/>
          <w:sz w:val="24"/>
          <w:szCs w:val="24"/>
          <w:rtl/>
          <w14:ligatures w14:val="none"/>
        </w:rPr>
        <w:t xml:space="preserve"> </w:t>
      </w:r>
      <w:r w:rsidR="000D6441" w:rsidRPr="00354721">
        <w:rPr>
          <w:rFonts w:ascii="David" w:eastAsia="Calibri" w:hAnsi="David" w:cs="David" w:hint="eastAsia"/>
          <w:sz w:val="24"/>
          <w:szCs w:val="24"/>
          <w:rtl/>
          <w14:ligatures w14:val="none"/>
        </w:rPr>
        <w:t>זו</w:t>
      </w:r>
      <w:r w:rsidR="000D6441" w:rsidRPr="00354721">
        <w:rPr>
          <w:rFonts w:ascii="David" w:eastAsia="Calibri" w:hAnsi="David" w:cs="David"/>
          <w:sz w:val="24"/>
          <w:szCs w:val="24"/>
          <w:rtl/>
          <w14:ligatures w14:val="none"/>
        </w:rPr>
        <w:t xml:space="preserve"> </w:t>
      </w:r>
      <w:r w:rsidR="000D6441" w:rsidRPr="00354721">
        <w:rPr>
          <w:rFonts w:ascii="David" w:eastAsia="Calibri" w:hAnsi="David" w:cs="David" w:hint="eastAsia"/>
          <w:sz w:val="24"/>
          <w:szCs w:val="24"/>
          <w:rtl/>
          <w14:ligatures w14:val="none"/>
        </w:rPr>
        <w:t>הוגש</w:t>
      </w:r>
      <w:r w:rsidR="000D6441" w:rsidRPr="00354721">
        <w:rPr>
          <w:rFonts w:ascii="David" w:eastAsia="Calibri" w:hAnsi="David" w:cs="David"/>
          <w:sz w:val="24"/>
          <w:szCs w:val="24"/>
          <w:rtl/>
          <w14:ligatures w14:val="none"/>
        </w:rPr>
        <w:t xml:space="preserve"> </w:t>
      </w:r>
      <w:r w:rsidR="002755EF" w:rsidRPr="003A7100">
        <w:rPr>
          <w:rFonts w:ascii="David" w:eastAsia="Calibri" w:hAnsi="David" w:cs="David"/>
          <w:sz w:val="24"/>
          <w:szCs w:val="24"/>
          <w:rtl/>
          <w14:ligatures w14:val="none"/>
        </w:rPr>
        <w:t>ערר (ת"א) 1073-05-18 </w:t>
      </w:r>
      <w:r w:rsidR="002755EF" w:rsidRPr="003A7100">
        <w:rPr>
          <w:rFonts w:ascii="David" w:eastAsia="Calibri" w:hAnsi="David" w:cs="David"/>
          <w:b/>
          <w:bCs/>
          <w:sz w:val="24"/>
          <w:szCs w:val="24"/>
          <w:rtl/>
          <w14:ligatures w14:val="none"/>
        </w:rPr>
        <w:t xml:space="preserve">מרים </w:t>
      </w:r>
      <w:proofErr w:type="spellStart"/>
      <w:r w:rsidR="002755EF" w:rsidRPr="003A7100">
        <w:rPr>
          <w:rFonts w:ascii="David" w:eastAsia="Calibri" w:hAnsi="David" w:cs="David"/>
          <w:b/>
          <w:bCs/>
          <w:sz w:val="24"/>
          <w:szCs w:val="24"/>
          <w:rtl/>
          <w14:ligatures w14:val="none"/>
        </w:rPr>
        <w:t>צינצנטוס</w:t>
      </w:r>
      <w:proofErr w:type="spellEnd"/>
      <w:r w:rsidR="002755EF" w:rsidRPr="003A7100">
        <w:rPr>
          <w:rFonts w:ascii="David" w:eastAsia="Calibri" w:hAnsi="David" w:cs="David"/>
          <w:b/>
          <w:bCs/>
          <w:sz w:val="24"/>
          <w:szCs w:val="24"/>
          <w:rtl/>
          <w14:ligatures w14:val="none"/>
        </w:rPr>
        <w:t xml:space="preserve"> ואח' נ' הוועדה המקומית לתכנון ובניה תל אביב- יפו</w:t>
      </w:r>
      <w:r w:rsidR="009E44DC">
        <w:rPr>
          <w:rFonts w:ascii="David" w:eastAsia="Calibri" w:hAnsi="David" w:cs="David" w:hint="cs"/>
          <w:b/>
          <w:bCs/>
          <w:sz w:val="24"/>
          <w:szCs w:val="24"/>
          <w:rtl/>
          <w14:ligatures w14:val="none"/>
        </w:rPr>
        <w:t xml:space="preserve"> </w:t>
      </w:r>
      <w:r w:rsidR="009E44DC" w:rsidRPr="00DD70F9">
        <w:rPr>
          <w:rFonts w:ascii="David" w:eastAsia="Calibri" w:hAnsi="David" w:cs="David"/>
          <w:sz w:val="24"/>
          <w:szCs w:val="24"/>
          <w:rtl/>
          <w14:ligatures w14:val="none"/>
        </w:rPr>
        <w:t>(נבו)</w:t>
      </w:r>
      <w:r w:rsidR="000D6441" w:rsidRPr="009E44DC">
        <w:rPr>
          <w:rFonts w:ascii="David" w:eastAsia="Calibri" w:hAnsi="David" w:cs="David"/>
          <w:sz w:val="24"/>
          <w:szCs w:val="24"/>
          <w:rtl/>
          <w14:ligatures w14:val="none"/>
        </w:rPr>
        <w:t>.</w:t>
      </w:r>
      <w:r w:rsidR="000D6441" w:rsidRPr="00354721">
        <w:rPr>
          <w:rFonts w:ascii="David" w:eastAsia="Calibri" w:hAnsi="David" w:cs="David"/>
          <w:sz w:val="24"/>
          <w:szCs w:val="24"/>
          <w:rtl/>
          <w14:ligatures w14:val="none"/>
        </w:rPr>
        <w:t xml:space="preserve"> במסגרת ערר זה קבעה </w:t>
      </w:r>
      <w:r w:rsidR="000D6441" w:rsidRPr="00354721">
        <w:rPr>
          <w:rFonts w:ascii="David" w:eastAsia="Calibri" w:hAnsi="David" w:cs="David" w:hint="eastAsia"/>
          <w:sz w:val="24"/>
          <w:szCs w:val="24"/>
          <w:rtl/>
          <w14:ligatures w14:val="none"/>
        </w:rPr>
        <w:t>ועדת</w:t>
      </w:r>
      <w:r w:rsidR="000D6441" w:rsidRPr="00354721">
        <w:rPr>
          <w:rFonts w:ascii="David" w:eastAsia="Calibri" w:hAnsi="David" w:cs="David"/>
          <w:sz w:val="24"/>
          <w:szCs w:val="24"/>
          <w:rtl/>
          <w14:ligatures w14:val="none"/>
        </w:rPr>
        <w:t xml:space="preserve"> </w:t>
      </w:r>
      <w:r w:rsidR="000D6441" w:rsidRPr="00354721">
        <w:rPr>
          <w:rFonts w:ascii="David" w:eastAsia="Calibri" w:hAnsi="David" w:cs="David" w:hint="eastAsia"/>
          <w:sz w:val="24"/>
          <w:szCs w:val="24"/>
          <w:rtl/>
          <w14:ligatures w14:val="none"/>
        </w:rPr>
        <w:t>הערר</w:t>
      </w:r>
      <w:r w:rsidR="000D6441" w:rsidRPr="00354721">
        <w:rPr>
          <w:rFonts w:ascii="David" w:eastAsia="Calibri" w:hAnsi="David" w:cs="David"/>
          <w:sz w:val="24"/>
          <w:szCs w:val="24"/>
          <w:rtl/>
          <w14:ligatures w14:val="none"/>
        </w:rPr>
        <w:t xml:space="preserve"> בהחלטתה מיום 12.6.19 כך:</w:t>
      </w:r>
      <w:r>
        <w:rPr>
          <w:rFonts w:ascii="David" w:hAnsi="David" w:cs="David" w:hint="cs"/>
          <w:b/>
          <w:bCs/>
          <w:sz w:val="24"/>
          <w:szCs w:val="24"/>
          <w:rtl/>
        </w:rPr>
        <w:t xml:space="preserve"> </w:t>
      </w:r>
      <w:r w:rsidR="000D6441" w:rsidRPr="00DD70F9">
        <w:rPr>
          <w:rFonts w:ascii="David" w:hAnsi="David" w:cs="David"/>
          <w:b/>
          <w:bCs/>
          <w:sz w:val="24"/>
          <w:szCs w:val="24"/>
          <w:rtl/>
        </w:rPr>
        <w:t>"לאור כל האמור לעיל, אנו קובעים שהחלטת הועדה המקומית לאשר את תכנית תא/מק/4678 מבוטלת, וזאת בהעדר סמכות לוועדה המקומית לאשרה</w:t>
      </w:r>
      <w:r w:rsidR="000D6441" w:rsidRPr="00DD70F9">
        <w:rPr>
          <w:rFonts w:ascii="David" w:hAnsi="David" w:cs="David"/>
          <w:b/>
          <w:bCs/>
          <w:sz w:val="24"/>
          <w:szCs w:val="24"/>
        </w:rPr>
        <w:t>.</w:t>
      </w:r>
      <w:r w:rsidR="000D6441" w:rsidRPr="00DD70F9">
        <w:rPr>
          <w:rFonts w:ascii="David" w:eastAsia="Calibri" w:hAnsi="David" w:cs="David"/>
          <w:b/>
          <w:bCs/>
          <w:sz w:val="24"/>
          <w:szCs w:val="24"/>
          <w:rtl/>
          <w14:ligatures w14:val="none"/>
        </w:rPr>
        <w:t>"</w:t>
      </w:r>
      <w:r>
        <w:rPr>
          <w:rFonts w:ascii="David" w:eastAsia="Calibri" w:hAnsi="David" w:cs="David" w:hint="cs"/>
          <w:sz w:val="24"/>
          <w:szCs w:val="24"/>
          <w:rtl/>
          <w14:ligatures w14:val="none"/>
        </w:rPr>
        <w:t xml:space="preserve"> </w:t>
      </w:r>
      <w:r w:rsidR="000D6441" w:rsidRPr="00ED1E65">
        <w:rPr>
          <w:rFonts w:ascii="David" w:eastAsia="Calibri" w:hAnsi="David" w:cs="David" w:hint="eastAsia"/>
          <w:sz w:val="24"/>
          <w:szCs w:val="24"/>
          <w:rtl/>
          <w14:ligatures w14:val="none"/>
        </w:rPr>
        <w:t>הווי</w:t>
      </w:r>
      <w:r w:rsidR="000D6441" w:rsidRPr="00ED1E65">
        <w:rPr>
          <w:rFonts w:ascii="David" w:eastAsia="Calibri" w:hAnsi="David" w:cs="David"/>
          <w:sz w:val="24"/>
          <w:szCs w:val="24"/>
          <w:rtl/>
          <w14:ligatures w14:val="none"/>
        </w:rPr>
        <w:t xml:space="preserve"> אומר, ביום </w:t>
      </w:r>
      <w:r w:rsidR="00913FFE" w:rsidRPr="00ED1E65">
        <w:rPr>
          <w:rFonts w:ascii="David" w:eastAsia="Calibri" w:hAnsi="David" w:cs="David"/>
          <w:sz w:val="24"/>
          <w:szCs w:val="24"/>
          <w:rtl/>
          <w14:ligatures w14:val="none"/>
        </w:rPr>
        <w:t xml:space="preserve">3.2.20, יום אישורה של התכנית מושא ערר זה, תכנית 4678, </w:t>
      </w:r>
      <w:r w:rsidR="00913FFE" w:rsidRPr="00ED1E65">
        <w:rPr>
          <w:rFonts w:ascii="David" w:eastAsia="Calibri" w:hAnsi="David" w:cs="David" w:hint="eastAsia"/>
          <w:sz w:val="24"/>
          <w:szCs w:val="24"/>
          <w:rtl/>
          <w14:ligatures w14:val="none"/>
        </w:rPr>
        <w:t>היתה</w:t>
      </w:r>
      <w:r w:rsidR="00913FFE" w:rsidRPr="00ED1E65">
        <w:rPr>
          <w:rFonts w:ascii="David" w:eastAsia="Calibri" w:hAnsi="David" w:cs="David"/>
          <w:sz w:val="24"/>
          <w:szCs w:val="24"/>
          <w:rtl/>
          <w14:ligatures w14:val="none"/>
        </w:rPr>
        <w:t xml:space="preserve"> בטלה ומבוטלת. לא </w:t>
      </w:r>
      <w:r w:rsidR="00913FFE" w:rsidRPr="00ED1E65">
        <w:rPr>
          <w:rFonts w:ascii="David" w:eastAsia="Calibri" w:hAnsi="David" w:cs="David" w:hint="eastAsia"/>
          <w:sz w:val="24"/>
          <w:szCs w:val="24"/>
          <w:rtl/>
          <w14:ligatures w14:val="none"/>
        </w:rPr>
        <w:t>היתה</w:t>
      </w:r>
      <w:r w:rsidR="001D04CD" w:rsidRPr="00ED1E65">
        <w:rPr>
          <w:rFonts w:ascii="David" w:eastAsia="Calibri" w:hAnsi="David" w:cs="David"/>
          <w:sz w:val="24"/>
          <w:szCs w:val="24"/>
          <w:rtl/>
          <w14:ligatures w14:val="none"/>
        </w:rPr>
        <w:t xml:space="preserve"> לה כל השפעה על שווי המקרקעין במועד הקובע ולא </w:t>
      </w:r>
      <w:r w:rsidR="001D04CD" w:rsidRPr="00ED1E65">
        <w:rPr>
          <w:rFonts w:ascii="David" w:eastAsia="Calibri" w:hAnsi="David" w:cs="David" w:hint="eastAsia"/>
          <w:sz w:val="24"/>
          <w:szCs w:val="24"/>
          <w:rtl/>
          <w14:ligatures w14:val="none"/>
        </w:rPr>
        <w:t>היתה</w:t>
      </w:r>
      <w:r w:rsidR="001D04CD" w:rsidRPr="00ED1E65">
        <w:rPr>
          <w:rFonts w:ascii="David" w:eastAsia="Calibri" w:hAnsi="David" w:cs="David"/>
          <w:sz w:val="24"/>
          <w:szCs w:val="24"/>
          <w:rtl/>
          <w14:ligatures w14:val="none"/>
        </w:rPr>
        <w:t xml:space="preserve"> כל מניעה להוציא היתרים מכוחה של התכנית מושא הערר. הוועדה המקומית </w:t>
      </w:r>
      <w:r w:rsidR="00A0364A" w:rsidRPr="00ED1E65">
        <w:rPr>
          <w:rFonts w:ascii="David" w:eastAsia="Calibri" w:hAnsi="David" w:cs="David" w:hint="eastAsia"/>
          <w:sz w:val="24"/>
          <w:szCs w:val="24"/>
          <w:rtl/>
          <w14:ligatures w14:val="none"/>
        </w:rPr>
        <w:t>לא</w:t>
      </w:r>
      <w:r w:rsidR="00A0364A" w:rsidRPr="00ED1E65">
        <w:rPr>
          <w:rFonts w:ascii="David" w:eastAsia="Calibri" w:hAnsi="David" w:cs="David"/>
          <w:sz w:val="24"/>
          <w:szCs w:val="24"/>
          <w:rtl/>
          <w14:ligatures w14:val="none"/>
        </w:rPr>
        <w:t xml:space="preserve"> </w:t>
      </w:r>
      <w:r w:rsidR="00A0364A" w:rsidRPr="00ED1E65">
        <w:rPr>
          <w:rFonts w:ascii="David" w:eastAsia="Calibri" w:hAnsi="David" w:cs="David" w:hint="eastAsia"/>
          <w:sz w:val="24"/>
          <w:szCs w:val="24"/>
          <w:rtl/>
          <w14:ligatures w14:val="none"/>
        </w:rPr>
        <w:t>הציגה</w:t>
      </w:r>
      <w:r w:rsidR="001D04CD" w:rsidRPr="00ED1E65">
        <w:rPr>
          <w:rFonts w:ascii="David" w:eastAsia="Calibri" w:hAnsi="David" w:cs="David"/>
          <w:sz w:val="24"/>
          <w:szCs w:val="24"/>
          <w:rtl/>
          <w14:ligatures w14:val="none"/>
        </w:rPr>
        <w:t xml:space="preserve"> </w:t>
      </w:r>
      <w:r w:rsidR="004E4A35">
        <w:rPr>
          <w:rFonts w:ascii="David" w:eastAsia="Calibri" w:hAnsi="David" w:cs="David" w:hint="cs"/>
          <w:sz w:val="24"/>
          <w:szCs w:val="24"/>
          <w:rtl/>
          <w14:ligatures w14:val="none"/>
        </w:rPr>
        <w:t>את החלטת ועדת הערר</w:t>
      </w:r>
      <w:r w:rsidR="00677ECF" w:rsidRPr="00ED1E65">
        <w:rPr>
          <w:rFonts w:ascii="David" w:eastAsia="Calibri" w:hAnsi="David" w:cs="David"/>
          <w:sz w:val="24"/>
          <w:szCs w:val="24"/>
          <w:rtl/>
          <w14:ligatures w14:val="none"/>
        </w:rPr>
        <w:t xml:space="preserve"> </w:t>
      </w:r>
      <w:r w:rsidR="001D04CD" w:rsidRPr="00ED1E65">
        <w:rPr>
          <w:rFonts w:ascii="David" w:eastAsia="Calibri" w:hAnsi="David" w:cs="David" w:hint="eastAsia"/>
          <w:sz w:val="24"/>
          <w:szCs w:val="24"/>
          <w:rtl/>
          <w14:ligatures w14:val="none"/>
        </w:rPr>
        <w:t>במסגרת</w:t>
      </w:r>
      <w:r w:rsidR="001D04CD" w:rsidRPr="00ED1E65">
        <w:rPr>
          <w:rFonts w:ascii="David" w:eastAsia="Calibri" w:hAnsi="David" w:cs="David"/>
          <w:sz w:val="24"/>
          <w:szCs w:val="24"/>
          <w:rtl/>
          <w14:ligatures w14:val="none"/>
        </w:rPr>
        <w:t xml:space="preserve"> </w:t>
      </w:r>
      <w:r w:rsidR="001D04CD" w:rsidRPr="00ED1E65">
        <w:rPr>
          <w:rFonts w:ascii="David" w:eastAsia="Calibri" w:hAnsi="David" w:cs="David" w:hint="eastAsia"/>
          <w:sz w:val="24"/>
          <w:szCs w:val="24"/>
          <w:rtl/>
          <w14:ligatures w14:val="none"/>
        </w:rPr>
        <w:t>תשובתה</w:t>
      </w:r>
      <w:r w:rsidRPr="00ED1E65">
        <w:rPr>
          <w:rFonts w:ascii="David" w:eastAsia="Calibri" w:hAnsi="David" w:cs="David"/>
          <w:sz w:val="24"/>
          <w:szCs w:val="24"/>
          <w:rtl/>
          <w14:ligatures w14:val="none"/>
        </w:rPr>
        <w:t xml:space="preserve">. נזכיר כי </w:t>
      </w:r>
      <w:r w:rsidR="001D04CD" w:rsidRPr="00ED1E65">
        <w:rPr>
          <w:rFonts w:ascii="David" w:eastAsia="Calibri" w:hAnsi="David" w:cs="David" w:hint="eastAsia"/>
          <w:sz w:val="24"/>
          <w:szCs w:val="24"/>
          <w:rtl/>
          <w14:ligatures w14:val="none"/>
        </w:rPr>
        <w:t>הוועדה</w:t>
      </w:r>
      <w:r w:rsidR="001D04CD" w:rsidRPr="00ED1E65">
        <w:rPr>
          <w:rFonts w:ascii="David" w:eastAsia="Calibri" w:hAnsi="David" w:cs="David"/>
          <w:sz w:val="24"/>
          <w:szCs w:val="24"/>
          <w:rtl/>
          <w14:ligatures w14:val="none"/>
        </w:rPr>
        <w:t xml:space="preserve"> המקומית היא זו אשר מידע מעין זה מצוי בפניה ובכובעה כרשות מנהלית לא ניתן כי תשובתה לערר תבוסס על </w:t>
      </w:r>
      <w:r w:rsidR="005C1EED">
        <w:rPr>
          <w:rFonts w:ascii="David" w:eastAsia="Calibri" w:hAnsi="David" w:cs="David" w:hint="cs"/>
          <w:sz w:val="24"/>
          <w:szCs w:val="24"/>
          <w:rtl/>
          <w14:ligatures w14:val="none"/>
        </w:rPr>
        <w:t>אי גילוי</w:t>
      </w:r>
      <w:r w:rsidR="001D04CD" w:rsidRPr="00ED1E65">
        <w:rPr>
          <w:rFonts w:ascii="David" w:eastAsia="Calibri" w:hAnsi="David" w:cs="David"/>
          <w:sz w:val="24"/>
          <w:szCs w:val="24"/>
          <w:rtl/>
          <w14:ligatures w14:val="none"/>
        </w:rPr>
        <w:t xml:space="preserve"> פרטים </w:t>
      </w:r>
      <w:r w:rsidR="0083227A">
        <w:rPr>
          <w:rFonts w:ascii="David" w:eastAsia="Calibri" w:hAnsi="David" w:cs="David" w:hint="cs"/>
          <w:sz w:val="24"/>
          <w:szCs w:val="24"/>
          <w:rtl/>
          <w14:ligatures w14:val="none"/>
        </w:rPr>
        <w:t>ה</w:t>
      </w:r>
      <w:r w:rsidR="00A0364A" w:rsidRPr="00ED1E65">
        <w:rPr>
          <w:rFonts w:ascii="David" w:eastAsia="Calibri" w:hAnsi="David" w:cs="David" w:hint="eastAsia"/>
          <w:sz w:val="24"/>
          <w:szCs w:val="24"/>
          <w:rtl/>
          <w14:ligatures w14:val="none"/>
        </w:rPr>
        <w:t>מהווים</w:t>
      </w:r>
      <w:r w:rsidR="00A0364A" w:rsidRPr="00ED1E65">
        <w:rPr>
          <w:rFonts w:ascii="David" w:eastAsia="Calibri" w:hAnsi="David" w:cs="David"/>
          <w:sz w:val="24"/>
          <w:szCs w:val="24"/>
          <w:rtl/>
          <w14:ligatures w14:val="none"/>
        </w:rPr>
        <w:t xml:space="preserve"> </w:t>
      </w:r>
      <w:r w:rsidR="00A0364A" w:rsidRPr="00ED1E65">
        <w:rPr>
          <w:rFonts w:ascii="David" w:eastAsia="Calibri" w:hAnsi="David" w:cs="David" w:hint="eastAsia"/>
          <w:sz w:val="24"/>
          <w:szCs w:val="24"/>
          <w:rtl/>
          <w14:ligatures w14:val="none"/>
        </w:rPr>
        <w:t>בסיס</w:t>
      </w:r>
      <w:r w:rsidR="00A0364A" w:rsidRPr="00ED1E65">
        <w:rPr>
          <w:rFonts w:ascii="David" w:eastAsia="Calibri" w:hAnsi="David" w:cs="David"/>
          <w:sz w:val="24"/>
          <w:szCs w:val="24"/>
          <w:rtl/>
          <w14:ligatures w14:val="none"/>
        </w:rPr>
        <w:t xml:space="preserve"> </w:t>
      </w:r>
      <w:r w:rsidR="00A0364A" w:rsidRPr="00ED1E65">
        <w:rPr>
          <w:rFonts w:ascii="David" w:eastAsia="Calibri" w:hAnsi="David" w:cs="David" w:hint="eastAsia"/>
          <w:sz w:val="24"/>
          <w:szCs w:val="24"/>
          <w:rtl/>
          <w14:ligatures w14:val="none"/>
        </w:rPr>
        <w:t>לתשובה</w:t>
      </w:r>
      <w:r w:rsidR="00A0364A" w:rsidRPr="00ED1E65">
        <w:rPr>
          <w:rFonts w:ascii="David" w:eastAsia="Calibri" w:hAnsi="David" w:cs="David"/>
          <w:sz w:val="24"/>
          <w:szCs w:val="24"/>
          <w:rtl/>
          <w14:ligatures w14:val="none"/>
        </w:rPr>
        <w:t xml:space="preserve"> </w:t>
      </w:r>
      <w:r w:rsidR="0083227A">
        <w:rPr>
          <w:rFonts w:ascii="David" w:eastAsia="Calibri" w:hAnsi="David" w:cs="David" w:hint="cs"/>
          <w:sz w:val="24"/>
          <w:szCs w:val="24"/>
          <w:rtl/>
          <w14:ligatures w14:val="none"/>
        </w:rPr>
        <w:t>ועשויים לשנות</w:t>
      </w:r>
      <w:r w:rsidR="001D04CD" w:rsidRPr="00ED1E65">
        <w:rPr>
          <w:rFonts w:ascii="David" w:eastAsia="Calibri" w:hAnsi="David" w:cs="David"/>
          <w:sz w:val="24"/>
          <w:szCs w:val="24"/>
          <w:rtl/>
          <w14:ligatures w14:val="none"/>
        </w:rPr>
        <w:t xml:space="preserve"> </w:t>
      </w:r>
      <w:r w:rsidR="001D04CD" w:rsidRPr="00ED1E65">
        <w:rPr>
          <w:rFonts w:ascii="David" w:eastAsia="Calibri" w:hAnsi="David" w:cs="David" w:hint="eastAsia"/>
          <w:sz w:val="24"/>
          <w:szCs w:val="24"/>
          <w:rtl/>
          <w14:ligatures w14:val="none"/>
        </w:rPr>
        <w:t>את</w:t>
      </w:r>
      <w:r w:rsidR="001D04CD" w:rsidRPr="00ED1E65">
        <w:rPr>
          <w:rFonts w:ascii="David" w:eastAsia="Calibri" w:hAnsi="David" w:cs="David"/>
          <w:sz w:val="24"/>
          <w:szCs w:val="24"/>
          <w:rtl/>
          <w14:ligatures w14:val="none"/>
        </w:rPr>
        <w:t xml:space="preserve">  </w:t>
      </w:r>
      <w:r w:rsidR="001D04CD" w:rsidRPr="00ED1E65">
        <w:rPr>
          <w:rFonts w:ascii="David" w:eastAsia="Calibri" w:hAnsi="David" w:cs="David" w:hint="eastAsia"/>
          <w:sz w:val="24"/>
          <w:szCs w:val="24"/>
          <w:rtl/>
          <w14:ligatures w14:val="none"/>
        </w:rPr>
        <w:t>התמונה</w:t>
      </w:r>
      <w:r w:rsidR="001D04CD" w:rsidRPr="00ED1E65">
        <w:rPr>
          <w:rFonts w:ascii="David" w:eastAsia="Calibri" w:hAnsi="David" w:cs="David"/>
          <w:sz w:val="24"/>
          <w:szCs w:val="24"/>
          <w:rtl/>
          <w14:ligatures w14:val="none"/>
        </w:rPr>
        <w:t>.</w:t>
      </w:r>
      <w:r w:rsidR="00EC03F9" w:rsidRPr="00ED1E65">
        <w:rPr>
          <w:rFonts w:ascii="David" w:eastAsia="Calibri" w:hAnsi="David" w:cs="David"/>
          <w:sz w:val="24"/>
          <w:szCs w:val="24"/>
          <w:rtl/>
          <w14:ligatures w14:val="none"/>
        </w:rPr>
        <w:t xml:space="preserve"> </w:t>
      </w:r>
    </w:p>
    <w:p w14:paraId="44B7B5E2" w14:textId="77777777" w:rsidR="00EE33F3" w:rsidRDefault="00EE33F3" w:rsidP="008D2046">
      <w:pPr>
        <w:spacing w:before="100" w:beforeAutospacing="1" w:line="360" w:lineRule="auto"/>
        <w:ind w:left="90"/>
        <w:jc w:val="both"/>
        <w:rPr>
          <w:rFonts w:ascii="David" w:eastAsia="Calibri" w:hAnsi="David" w:cs="David"/>
          <w:sz w:val="24"/>
          <w:szCs w:val="24"/>
          <w:rtl/>
          <w14:ligatures w14:val="none"/>
        </w:rPr>
      </w:pPr>
    </w:p>
    <w:p w14:paraId="56C96A54" w14:textId="77777777" w:rsidR="00856782" w:rsidRPr="00DD70F9" w:rsidRDefault="001E10FB" w:rsidP="00DD70F9">
      <w:pPr>
        <w:spacing w:line="360" w:lineRule="auto"/>
        <w:ind w:left="90" w:hanging="425"/>
        <w:rPr>
          <w:rFonts w:ascii="David" w:hAnsi="David" w:cs="David"/>
          <w:b/>
          <w:bCs/>
          <w:sz w:val="26"/>
          <w:szCs w:val="26"/>
          <w:u w:val="single"/>
          <w:rtl/>
        </w:rPr>
      </w:pPr>
      <w:r w:rsidRPr="00DD70F9">
        <w:rPr>
          <w:rFonts w:ascii="David" w:hAnsi="David" w:cs="David" w:hint="eastAsia"/>
          <w:b/>
          <w:bCs/>
          <w:sz w:val="26"/>
          <w:szCs w:val="26"/>
          <w:u w:val="single"/>
          <w:rtl/>
        </w:rPr>
        <w:t>היקף</w:t>
      </w:r>
      <w:r w:rsidRPr="00DD70F9">
        <w:rPr>
          <w:rFonts w:ascii="David" w:hAnsi="David" w:cs="David"/>
          <w:b/>
          <w:bCs/>
          <w:sz w:val="26"/>
          <w:szCs w:val="26"/>
          <w:u w:val="single"/>
          <w:rtl/>
        </w:rPr>
        <w:t xml:space="preserve"> זכויות הבניה במצב הקודם - </w:t>
      </w:r>
      <w:r w:rsidR="00856782" w:rsidRPr="00DD70F9">
        <w:rPr>
          <w:rFonts w:ascii="David" w:hAnsi="David" w:cs="David" w:hint="eastAsia"/>
          <w:b/>
          <w:bCs/>
          <w:sz w:val="26"/>
          <w:szCs w:val="26"/>
          <w:u w:val="single"/>
          <w:rtl/>
        </w:rPr>
        <w:t>התבססות</w:t>
      </w:r>
      <w:r w:rsidR="00856782" w:rsidRPr="00DD70F9">
        <w:rPr>
          <w:rFonts w:ascii="David" w:hAnsi="David" w:cs="David"/>
          <w:b/>
          <w:bCs/>
          <w:sz w:val="26"/>
          <w:szCs w:val="26"/>
          <w:u w:val="single"/>
          <w:rtl/>
        </w:rPr>
        <w:t xml:space="preserve"> על תכנית מדידת </w:t>
      </w:r>
      <w:r w:rsidR="00856782" w:rsidRPr="00DD70F9">
        <w:rPr>
          <w:rFonts w:ascii="David" w:hAnsi="David" w:cs="David" w:hint="eastAsia"/>
          <w:b/>
          <w:bCs/>
          <w:sz w:val="26"/>
          <w:szCs w:val="26"/>
          <w:u w:val="single"/>
          <w:rtl/>
        </w:rPr>
        <w:t>מדבא</w:t>
      </w:r>
      <w:r w:rsidR="00856782" w:rsidRPr="00DD70F9">
        <w:rPr>
          <w:rFonts w:ascii="David" w:hAnsi="David" w:cs="David"/>
          <w:b/>
          <w:bCs/>
          <w:sz w:val="26"/>
          <w:szCs w:val="26"/>
          <w:u w:val="single"/>
          <w:rtl/>
        </w:rPr>
        <w:t xml:space="preserve"> </w:t>
      </w:r>
    </w:p>
    <w:p w14:paraId="08010072" w14:textId="77777777" w:rsidR="001E10FB" w:rsidRDefault="001E10FB" w:rsidP="00DD70F9">
      <w:pPr>
        <w:pStyle w:val="a9"/>
        <w:numPr>
          <w:ilvl w:val="0"/>
          <w:numId w:val="1"/>
        </w:numPr>
        <w:spacing w:line="360" w:lineRule="auto"/>
        <w:ind w:left="90" w:hanging="425"/>
        <w:contextualSpacing w:val="0"/>
        <w:jc w:val="both"/>
        <w:rPr>
          <w:rFonts w:ascii="David" w:hAnsi="David" w:cs="David"/>
          <w:sz w:val="24"/>
          <w:szCs w:val="24"/>
        </w:rPr>
      </w:pPr>
      <w:r>
        <w:rPr>
          <w:rFonts w:ascii="David" w:hAnsi="David" w:cs="David" w:hint="cs"/>
          <w:sz w:val="24"/>
          <w:szCs w:val="24"/>
          <w:rtl/>
        </w:rPr>
        <w:t>שווי המצב הקודם בשומת הוועדה המקומית התבסס על תכנית מדידה שהוכנה על ידי "מדבא מדידות והנדסה בע"מ" (להלן: "</w:t>
      </w:r>
      <w:r w:rsidRPr="00856782">
        <w:rPr>
          <w:rFonts w:ascii="David" w:hAnsi="David" w:cs="David" w:hint="cs"/>
          <w:b/>
          <w:bCs/>
          <w:sz w:val="24"/>
          <w:szCs w:val="24"/>
          <w:rtl/>
        </w:rPr>
        <w:t>מדידת מדבא</w:t>
      </w:r>
      <w:r>
        <w:rPr>
          <w:rFonts w:ascii="David" w:hAnsi="David" w:cs="David" w:hint="cs"/>
          <w:sz w:val="24"/>
          <w:szCs w:val="24"/>
          <w:rtl/>
        </w:rPr>
        <w:t xml:space="preserve">"). </w:t>
      </w:r>
    </w:p>
    <w:p w14:paraId="297AC66B" w14:textId="77777777" w:rsidR="002425CA" w:rsidRPr="002425CA" w:rsidRDefault="0032764E" w:rsidP="00DD70F9">
      <w:pPr>
        <w:pStyle w:val="a9"/>
        <w:numPr>
          <w:ilvl w:val="0"/>
          <w:numId w:val="1"/>
        </w:numPr>
        <w:spacing w:line="360" w:lineRule="auto"/>
        <w:ind w:left="90" w:hanging="425"/>
        <w:contextualSpacing w:val="0"/>
        <w:rPr>
          <w:rFonts w:ascii="David" w:hAnsi="David" w:cs="David"/>
          <w:sz w:val="24"/>
          <w:szCs w:val="24"/>
        </w:rPr>
      </w:pPr>
      <w:r>
        <w:rPr>
          <w:rFonts w:ascii="David" w:hAnsi="David" w:cs="David"/>
          <w:noProof/>
          <w:sz w:val="24"/>
          <w:szCs w:val="24"/>
        </w:rPr>
        <w:drawing>
          <wp:anchor distT="0" distB="0" distL="114300" distR="114300" simplePos="0" relativeHeight="251664384" behindDoc="0" locked="0" layoutInCell="1" allowOverlap="1" wp14:anchorId="171866FF" wp14:editId="1E3401DB">
            <wp:simplePos x="0" y="0"/>
            <wp:positionH relativeFrom="page">
              <wp:align>center</wp:align>
            </wp:positionH>
            <wp:positionV relativeFrom="paragraph">
              <wp:posOffset>398642</wp:posOffset>
            </wp:positionV>
            <wp:extent cx="5191760" cy="1651635"/>
            <wp:effectExtent l="0" t="0" r="8890" b="5715"/>
            <wp:wrapTopAndBottom/>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1760" cy="1651635"/>
                    </a:xfrm>
                    <a:prstGeom prst="rect">
                      <a:avLst/>
                    </a:prstGeom>
                    <a:noFill/>
                  </pic:spPr>
                </pic:pic>
              </a:graphicData>
            </a:graphic>
            <wp14:sizeRelH relativeFrom="page">
              <wp14:pctWidth>0</wp14:pctWidth>
            </wp14:sizeRelH>
            <wp14:sizeRelV relativeFrom="page">
              <wp14:pctHeight>0</wp14:pctHeight>
            </wp14:sizeRelV>
          </wp:anchor>
        </w:drawing>
      </w:r>
      <w:r w:rsidR="001E10FB" w:rsidRPr="002425CA">
        <w:rPr>
          <w:rFonts w:ascii="David" w:hAnsi="David" w:cs="David" w:hint="eastAsia"/>
          <w:sz w:val="24"/>
          <w:szCs w:val="24"/>
          <w:rtl/>
        </w:rPr>
        <w:t>השמאי</w:t>
      </w:r>
      <w:r w:rsidR="001E10FB" w:rsidRPr="002425CA">
        <w:rPr>
          <w:rFonts w:ascii="David" w:hAnsi="David" w:cs="David"/>
          <w:sz w:val="24"/>
          <w:szCs w:val="24"/>
          <w:rtl/>
        </w:rPr>
        <w:t xml:space="preserve"> </w:t>
      </w:r>
      <w:r w:rsidR="001E10FB" w:rsidRPr="002425CA">
        <w:rPr>
          <w:rFonts w:ascii="David" w:hAnsi="David" w:cs="David" w:hint="eastAsia"/>
          <w:sz w:val="24"/>
          <w:szCs w:val="24"/>
          <w:rtl/>
        </w:rPr>
        <w:t>המכריע</w:t>
      </w:r>
      <w:r w:rsidR="001E10FB" w:rsidRPr="002425CA">
        <w:rPr>
          <w:rFonts w:ascii="David" w:hAnsi="David" w:cs="David"/>
          <w:sz w:val="24"/>
          <w:szCs w:val="24"/>
          <w:rtl/>
        </w:rPr>
        <w:t xml:space="preserve"> </w:t>
      </w:r>
      <w:r w:rsidR="001E10FB" w:rsidRPr="002425CA">
        <w:rPr>
          <w:rFonts w:ascii="David" w:hAnsi="David" w:cs="David" w:hint="eastAsia"/>
          <w:sz w:val="24"/>
          <w:szCs w:val="24"/>
          <w:rtl/>
        </w:rPr>
        <w:t>חישב</w:t>
      </w:r>
      <w:r w:rsidR="001E10FB" w:rsidRPr="002425CA">
        <w:rPr>
          <w:rFonts w:ascii="David" w:hAnsi="David" w:cs="David"/>
          <w:sz w:val="24"/>
          <w:szCs w:val="24"/>
          <w:rtl/>
        </w:rPr>
        <w:t xml:space="preserve"> </w:t>
      </w:r>
      <w:r w:rsidR="001E10FB" w:rsidRPr="002425CA">
        <w:rPr>
          <w:rFonts w:ascii="David" w:hAnsi="David" w:cs="David" w:hint="eastAsia"/>
          <w:sz w:val="24"/>
          <w:szCs w:val="24"/>
          <w:rtl/>
        </w:rPr>
        <w:t>את</w:t>
      </w:r>
      <w:r w:rsidR="001E10FB" w:rsidRPr="002425CA">
        <w:rPr>
          <w:rFonts w:ascii="David" w:hAnsi="David" w:cs="David"/>
          <w:sz w:val="24"/>
          <w:szCs w:val="24"/>
          <w:rtl/>
        </w:rPr>
        <w:t xml:space="preserve"> </w:t>
      </w:r>
      <w:r w:rsidR="001E10FB" w:rsidRPr="002425CA">
        <w:rPr>
          <w:rFonts w:ascii="David" w:hAnsi="David" w:cs="David" w:hint="eastAsia"/>
          <w:sz w:val="24"/>
          <w:szCs w:val="24"/>
          <w:rtl/>
        </w:rPr>
        <w:t>זכויות</w:t>
      </w:r>
      <w:r w:rsidR="001E10FB" w:rsidRPr="002425CA">
        <w:rPr>
          <w:rFonts w:ascii="David" w:hAnsi="David" w:cs="David"/>
          <w:sz w:val="24"/>
          <w:szCs w:val="24"/>
          <w:rtl/>
        </w:rPr>
        <w:t xml:space="preserve"> </w:t>
      </w:r>
      <w:r w:rsidR="001E10FB" w:rsidRPr="002425CA">
        <w:rPr>
          <w:rFonts w:ascii="David" w:hAnsi="David" w:cs="David" w:hint="eastAsia"/>
          <w:sz w:val="24"/>
          <w:szCs w:val="24"/>
          <w:rtl/>
        </w:rPr>
        <w:t>הבניה</w:t>
      </w:r>
      <w:r w:rsidR="001E10FB" w:rsidRPr="002425CA">
        <w:rPr>
          <w:rFonts w:ascii="David" w:hAnsi="David" w:cs="David"/>
          <w:sz w:val="24"/>
          <w:szCs w:val="24"/>
          <w:rtl/>
        </w:rPr>
        <w:t xml:space="preserve"> </w:t>
      </w:r>
      <w:r w:rsidR="001E10FB" w:rsidRPr="002425CA">
        <w:rPr>
          <w:rFonts w:ascii="David" w:hAnsi="David" w:cs="David" w:hint="eastAsia"/>
          <w:sz w:val="24"/>
          <w:szCs w:val="24"/>
          <w:rtl/>
        </w:rPr>
        <w:t>במצב</w:t>
      </w:r>
      <w:r w:rsidR="001E10FB" w:rsidRPr="002425CA">
        <w:rPr>
          <w:rFonts w:ascii="David" w:hAnsi="David" w:cs="David"/>
          <w:sz w:val="24"/>
          <w:szCs w:val="24"/>
          <w:rtl/>
        </w:rPr>
        <w:t xml:space="preserve"> </w:t>
      </w:r>
      <w:r w:rsidR="001E10FB" w:rsidRPr="002425CA">
        <w:rPr>
          <w:rFonts w:ascii="David" w:hAnsi="David" w:cs="David" w:hint="eastAsia"/>
          <w:sz w:val="24"/>
          <w:szCs w:val="24"/>
          <w:rtl/>
        </w:rPr>
        <w:t>הקודם</w:t>
      </w:r>
      <w:r w:rsidR="001E10FB" w:rsidRPr="002425CA">
        <w:rPr>
          <w:rFonts w:ascii="David" w:hAnsi="David" w:cs="David"/>
          <w:sz w:val="24"/>
          <w:szCs w:val="24"/>
          <w:rtl/>
        </w:rPr>
        <w:t xml:space="preserve"> </w:t>
      </w:r>
      <w:r w:rsidR="001E10FB" w:rsidRPr="002425CA">
        <w:rPr>
          <w:rFonts w:ascii="David" w:hAnsi="David" w:cs="David" w:hint="eastAsia"/>
          <w:sz w:val="24"/>
          <w:szCs w:val="24"/>
          <w:rtl/>
        </w:rPr>
        <w:t>באופן</w:t>
      </w:r>
      <w:r w:rsidR="001E10FB" w:rsidRPr="002425CA">
        <w:rPr>
          <w:rFonts w:ascii="David" w:hAnsi="David" w:cs="David"/>
          <w:sz w:val="24"/>
          <w:szCs w:val="24"/>
          <w:rtl/>
        </w:rPr>
        <w:t xml:space="preserve"> </w:t>
      </w:r>
      <w:r w:rsidR="001E10FB" w:rsidRPr="002425CA">
        <w:rPr>
          <w:rFonts w:ascii="David" w:hAnsi="David" w:cs="David" w:hint="eastAsia"/>
          <w:sz w:val="24"/>
          <w:szCs w:val="24"/>
          <w:rtl/>
        </w:rPr>
        <w:t>הבא</w:t>
      </w:r>
      <w:r w:rsidR="002425CA" w:rsidRPr="00C162D9">
        <w:rPr>
          <w:rFonts w:ascii="David" w:hAnsi="David" w:cs="David"/>
          <w:sz w:val="24"/>
          <w:szCs w:val="24"/>
        </w:rPr>
        <w:t>:</w:t>
      </w:r>
    </w:p>
    <w:p w14:paraId="661AC8C4" w14:textId="77777777" w:rsidR="001E10FB" w:rsidRDefault="001E10FB" w:rsidP="00DD70F9">
      <w:pPr>
        <w:pStyle w:val="a9"/>
        <w:spacing w:line="360" w:lineRule="auto"/>
        <w:ind w:left="90" w:hanging="425"/>
        <w:contextualSpacing w:val="0"/>
        <w:rPr>
          <w:rFonts w:ascii="David" w:hAnsi="David" w:cs="David"/>
          <w:sz w:val="24"/>
          <w:szCs w:val="24"/>
        </w:rPr>
      </w:pPr>
    </w:p>
    <w:p w14:paraId="2C94F580" w14:textId="387FC37C" w:rsidR="006E016C" w:rsidRDefault="001E10FB" w:rsidP="00DD70F9">
      <w:pPr>
        <w:pStyle w:val="a9"/>
        <w:numPr>
          <w:ilvl w:val="0"/>
          <w:numId w:val="1"/>
        </w:numPr>
        <w:spacing w:line="360" w:lineRule="auto"/>
        <w:ind w:left="90" w:hanging="425"/>
        <w:contextualSpacing w:val="0"/>
        <w:jc w:val="both"/>
        <w:rPr>
          <w:rFonts w:ascii="David" w:hAnsi="David" w:cs="David"/>
          <w:sz w:val="24"/>
          <w:szCs w:val="24"/>
        </w:rPr>
      </w:pPr>
      <w:r>
        <w:rPr>
          <w:rFonts w:ascii="David" w:hAnsi="David" w:cs="David" w:hint="cs"/>
          <w:sz w:val="24"/>
          <w:szCs w:val="24"/>
          <w:rtl/>
        </w:rPr>
        <w:lastRenderedPageBreak/>
        <w:t xml:space="preserve">העוררות טוענות כי זכויות הבניה במצב הקודם מוקנות לחלקות מכח תכנית </w:t>
      </w:r>
      <w:r>
        <w:rPr>
          <w:rFonts w:ascii="David" w:hAnsi="David" w:cs="David"/>
          <w:sz w:val="24"/>
          <w:szCs w:val="24"/>
        </w:rPr>
        <w:t>F</w:t>
      </w:r>
      <w:r>
        <w:rPr>
          <w:rFonts w:ascii="David" w:hAnsi="David" w:cs="David" w:hint="cs"/>
          <w:sz w:val="24"/>
          <w:szCs w:val="24"/>
          <w:rtl/>
        </w:rPr>
        <w:t xml:space="preserve"> אשר אינה מחייבת חלוקה של החלקות בה למגרשי בניה שונים מהחלקות. על אף האמור, שמאית </w:t>
      </w:r>
      <w:r w:rsidR="00C24B45">
        <w:rPr>
          <w:rFonts w:ascii="David" w:hAnsi="David" w:cs="David" w:hint="cs"/>
          <w:sz w:val="24"/>
          <w:szCs w:val="24"/>
          <w:rtl/>
        </w:rPr>
        <w:t xml:space="preserve">הוועדה המקומית </w:t>
      </w:r>
      <w:r>
        <w:rPr>
          <w:rFonts w:ascii="David" w:hAnsi="David" w:cs="David" w:hint="cs"/>
          <w:sz w:val="24"/>
          <w:szCs w:val="24"/>
          <w:rtl/>
        </w:rPr>
        <w:t>חישבה את היקף זכויות הבניה במצב הקודם בהתאם לאופן חלוקת החלקות למגרשי בניה כפי שבאה לידי ביטוי במדידת מדבא.</w:t>
      </w:r>
    </w:p>
    <w:p w14:paraId="699AF15C" w14:textId="3FB5431C" w:rsidR="001E10FB" w:rsidRDefault="001E10FB" w:rsidP="00DD70F9">
      <w:pPr>
        <w:pStyle w:val="a9"/>
        <w:numPr>
          <w:ilvl w:val="0"/>
          <w:numId w:val="1"/>
        </w:numPr>
        <w:spacing w:line="360" w:lineRule="auto"/>
        <w:ind w:left="90" w:hanging="425"/>
        <w:contextualSpacing w:val="0"/>
        <w:jc w:val="both"/>
        <w:rPr>
          <w:rFonts w:ascii="David" w:hAnsi="David" w:cs="David"/>
          <w:sz w:val="24"/>
          <w:szCs w:val="24"/>
        </w:rPr>
      </w:pPr>
      <w:r>
        <w:rPr>
          <w:rFonts w:ascii="David" w:hAnsi="David" w:cs="David" w:hint="cs"/>
          <w:sz w:val="24"/>
          <w:szCs w:val="24"/>
          <w:rtl/>
        </w:rPr>
        <w:t>לעמדת העוררות, מדובר במפה "מטעם" אשר אין להתבסס עליה</w:t>
      </w:r>
      <w:r w:rsidR="003874B1">
        <w:rPr>
          <w:rFonts w:ascii="David" w:hAnsi="David" w:cs="David" w:hint="cs"/>
          <w:sz w:val="24"/>
          <w:szCs w:val="24"/>
          <w:rtl/>
        </w:rPr>
        <w:t>. לעמדתן,</w:t>
      </w:r>
      <w:r>
        <w:rPr>
          <w:rFonts w:ascii="David" w:hAnsi="David" w:cs="David" w:hint="cs"/>
          <w:sz w:val="24"/>
          <w:szCs w:val="24"/>
          <w:rtl/>
        </w:rPr>
        <w:t xml:space="preserve"> את היקף זכויות הבניה במצב הקודם יש לחשב בהתאם לתאי השטח בתכנית </w:t>
      </w:r>
      <w:r>
        <w:rPr>
          <w:rFonts w:ascii="David" w:hAnsi="David" w:cs="David"/>
          <w:sz w:val="24"/>
          <w:szCs w:val="24"/>
        </w:rPr>
        <w:t>F</w:t>
      </w:r>
      <w:r>
        <w:rPr>
          <w:rFonts w:ascii="David" w:hAnsi="David" w:cs="David" w:hint="cs"/>
          <w:sz w:val="24"/>
          <w:szCs w:val="24"/>
          <w:rtl/>
        </w:rPr>
        <w:t xml:space="preserve">. העוררות מוסיפות כי מדידת מדבא נעדרת כל מעמד סטטוטורי מחייב ולא ניתן להסתמך עליה והיא אינה יכולה לפגוע רטרואקטיבית בהיקף זכויות הבניה המוקנות למקרקעין בהתאם לתכנית </w:t>
      </w:r>
      <w:r>
        <w:rPr>
          <w:rFonts w:ascii="David" w:hAnsi="David" w:cs="David"/>
          <w:sz w:val="24"/>
          <w:szCs w:val="24"/>
        </w:rPr>
        <w:t>F</w:t>
      </w:r>
      <w:r>
        <w:rPr>
          <w:rFonts w:ascii="David" w:hAnsi="David" w:cs="David" w:hint="cs"/>
          <w:sz w:val="24"/>
          <w:szCs w:val="24"/>
          <w:rtl/>
        </w:rPr>
        <w:t>.</w:t>
      </w:r>
    </w:p>
    <w:p w14:paraId="782A49A9" w14:textId="77777777" w:rsidR="00856782" w:rsidRDefault="00856782" w:rsidP="00DD70F9">
      <w:pPr>
        <w:pStyle w:val="a9"/>
        <w:numPr>
          <w:ilvl w:val="0"/>
          <w:numId w:val="1"/>
        </w:numPr>
        <w:spacing w:line="360" w:lineRule="auto"/>
        <w:ind w:left="90" w:hanging="425"/>
        <w:contextualSpacing w:val="0"/>
        <w:jc w:val="both"/>
        <w:rPr>
          <w:rFonts w:ascii="David" w:hAnsi="David" w:cs="David"/>
          <w:sz w:val="24"/>
          <w:szCs w:val="24"/>
        </w:rPr>
      </w:pPr>
      <w:r w:rsidRPr="00856782">
        <w:rPr>
          <w:rFonts w:ascii="David" w:hAnsi="David" w:cs="David" w:hint="cs"/>
          <w:sz w:val="24"/>
          <w:szCs w:val="24"/>
          <w:rtl/>
        </w:rPr>
        <w:t xml:space="preserve">העוררות טוענות </w:t>
      </w:r>
      <w:r>
        <w:rPr>
          <w:rFonts w:ascii="David" w:hAnsi="David" w:cs="David" w:hint="cs"/>
          <w:sz w:val="24"/>
          <w:szCs w:val="24"/>
          <w:rtl/>
        </w:rPr>
        <w:t xml:space="preserve">כי </w:t>
      </w:r>
      <w:r w:rsidR="001E10FB">
        <w:rPr>
          <w:rFonts w:ascii="David" w:hAnsi="David" w:cs="David" w:hint="cs"/>
          <w:sz w:val="24"/>
          <w:szCs w:val="24"/>
          <w:rtl/>
        </w:rPr>
        <w:t>השמאי המכריע לא הזכיר בשומתו את המחלוקת בין הצדדים בעניין זה והתעלם לחלוטין מטענות שמאי העוררות בנושא. כמו כן, השמאי המכריע פירש באופן שגוי את תכנה של ההסכמה בין שמאי הצדדים ביחס חישוב השווי היחסי של החלקות במצב החדש והסיק מכך, באופן שגוי, אודות הסכמה לשווי יחסי של החלקות במצב הקודם.</w:t>
      </w:r>
    </w:p>
    <w:p w14:paraId="0958C02D" w14:textId="7285B161" w:rsidR="001E10FB" w:rsidRDefault="00CF2334" w:rsidP="00DD70F9">
      <w:pPr>
        <w:pStyle w:val="a9"/>
        <w:numPr>
          <w:ilvl w:val="0"/>
          <w:numId w:val="1"/>
        </w:numPr>
        <w:spacing w:line="360" w:lineRule="auto"/>
        <w:ind w:left="90" w:hanging="425"/>
        <w:contextualSpacing w:val="0"/>
        <w:jc w:val="both"/>
        <w:rPr>
          <w:rFonts w:ascii="David" w:hAnsi="David" w:cs="David"/>
          <w:sz w:val="24"/>
          <w:szCs w:val="24"/>
        </w:rPr>
      </w:pPr>
      <w:r>
        <w:rPr>
          <w:rFonts w:ascii="David" w:hAnsi="David" w:cs="David" w:hint="cs"/>
          <w:sz w:val="24"/>
          <w:szCs w:val="24"/>
          <w:rtl/>
        </w:rPr>
        <w:t>הוועדה המקומית טוענת כי החלקות הנישומות כוללות מספר י</w:t>
      </w:r>
      <w:r w:rsidR="00D73C26">
        <w:rPr>
          <w:rFonts w:ascii="David" w:hAnsi="David" w:cs="David" w:hint="cs"/>
          <w:sz w:val="24"/>
          <w:szCs w:val="24"/>
          <w:rtl/>
        </w:rPr>
        <w:t>י</w:t>
      </w:r>
      <w:r>
        <w:rPr>
          <w:rFonts w:ascii="David" w:hAnsi="David" w:cs="David" w:hint="cs"/>
          <w:sz w:val="24"/>
          <w:szCs w:val="24"/>
          <w:rtl/>
        </w:rPr>
        <w:t>עודי קרקע ולצורך חישוב הזכויות יש למדוד את שטח כל יעוד קרקע ואין בנמצא תשריט סטטוטורי שניתן לחלץ ממנו נתונים אלו.</w:t>
      </w:r>
    </w:p>
    <w:p w14:paraId="2CD1217E" w14:textId="77777777" w:rsidR="00CF2334" w:rsidRDefault="00CF2334" w:rsidP="00DD70F9">
      <w:pPr>
        <w:pStyle w:val="a9"/>
        <w:numPr>
          <w:ilvl w:val="0"/>
          <w:numId w:val="1"/>
        </w:numPr>
        <w:spacing w:line="360" w:lineRule="auto"/>
        <w:ind w:left="90" w:hanging="425"/>
        <w:contextualSpacing w:val="0"/>
        <w:jc w:val="both"/>
        <w:rPr>
          <w:rFonts w:ascii="David" w:hAnsi="David" w:cs="David"/>
          <w:sz w:val="24"/>
          <w:szCs w:val="24"/>
        </w:rPr>
      </w:pPr>
      <w:r>
        <w:rPr>
          <w:rFonts w:ascii="David" w:hAnsi="David" w:cs="David" w:hint="cs"/>
          <w:sz w:val="24"/>
          <w:szCs w:val="24"/>
          <w:rtl/>
        </w:rPr>
        <w:t xml:space="preserve">כן טוענת הוועדה כי מדידת מדבא </w:t>
      </w:r>
      <w:r w:rsidR="003C67F6">
        <w:rPr>
          <w:rFonts w:ascii="David" w:hAnsi="David" w:cs="David" w:hint="cs"/>
          <w:sz w:val="24"/>
          <w:szCs w:val="24"/>
          <w:rtl/>
        </w:rPr>
        <w:t xml:space="preserve">נערכה </w:t>
      </w:r>
      <w:r>
        <w:rPr>
          <w:rFonts w:ascii="David" w:hAnsi="David" w:cs="David" w:hint="cs"/>
          <w:sz w:val="24"/>
          <w:szCs w:val="24"/>
          <w:rtl/>
        </w:rPr>
        <w:t xml:space="preserve">לצורך </w:t>
      </w:r>
      <w:r w:rsidRPr="00686C0F">
        <w:rPr>
          <w:rFonts w:ascii="David" w:hAnsi="David" w:cs="David" w:hint="cs"/>
          <w:b/>
          <w:bCs/>
          <w:sz w:val="24"/>
          <w:szCs w:val="24"/>
          <w:rtl/>
        </w:rPr>
        <w:t>טבלאות האיזון וההקצאה</w:t>
      </w:r>
      <w:r>
        <w:rPr>
          <w:rFonts w:ascii="David" w:hAnsi="David" w:cs="David" w:hint="cs"/>
          <w:sz w:val="24"/>
          <w:szCs w:val="24"/>
          <w:rtl/>
        </w:rPr>
        <w:t xml:space="preserve"> של תכנית איחוד וחלוקה עקב אישורה של תכנית 4321 ולפיכך הסתמכות השמאי על מדידה זו הינה סבירה ונכונה.</w:t>
      </w:r>
    </w:p>
    <w:p w14:paraId="6DFE9984" w14:textId="77777777" w:rsidR="00CF2334" w:rsidRDefault="00CF2334" w:rsidP="00DD70F9">
      <w:pPr>
        <w:pStyle w:val="a9"/>
        <w:numPr>
          <w:ilvl w:val="0"/>
          <w:numId w:val="1"/>
        </w:numPr>
        <w:spacing w:line="360" w:lineRule="auto"/>
        <w:ind w:left="90" w:hanging="425"/>
        <w:contextualSpacing w:val="0"/>
        <w:jc w:val="both"/>
        <w:rPr>
          <w:rFonts w:ascii="David" w:hAnsi="David" w:cs="David"/>
          <w:sz w:val="24"/>
          <w:szCs w:val="24"/>
        </w:rPr>
      </w:pPr>
      <w:r>
        <w:rPr>
          <w:rFonts w:ascii="David" w:hAnsi="David" w:cs="David" w:hint="cs"/>
          <w:sz w:val="24"/>
          <w:szCs w:val="24"/>
          <w:rtl/>
        </w:rPr>
        <w:t>בנוסף, מאחר והעוררות לא חלקו על שווי החלקות היחסי במצב החדש הרי שאם יש צורך לשנות את השווי היחסי במצב הקודם הדבר יביא לשינוי השווי היחסי במצב החדש.</w:t>
      </w:r>
    </w:p>
    <w:p w14:paraId="5B544660" w14:textId="77777777" w:rsidR="002914EC" w:rsidRPr="002914EC" w:rsidRDefault="002914EC" w:rsidP="00DD70F9">
      <w:pPr>
        <w:spacing w:line="360" w:lineRule="auto"/>
        <w:ind w:left="90" w:hanging="425"/>
        <w:jc w:val="both"/>
        <w:rPr>
          <w:rFonts w:ascii="David" w:hAnsi="David" w:cs="David"/>
          <w:b/>
          <w:bCs/>
          <w:sz w:val="24"/>
          <w:szCs w:val="24"/>
          <w:u w:val="single"/>
        </w:rPr>
      </w:pPr>
      <w:r w:rsidRPr="002914EC">
        <w:rPr>
          <w:rFonts w:ascii="David" w:hAnsi="David" w:cs="David" w:hint="cs"/>
          <w:b/>
          <w:bCs/>
          <w:sz w:val="24"/>
          <w:szCs w:val="24"/>
          <w:u w:val="single"/>
          <w:rtl/>
        </w:rPr>
        <w:t>דיון</w:t>
      </w:r>
      <w:r w:rsidR="004D53BA">
        <w:rPr>
          <w:rFonts w:ascii="David" w:hAnsi="David" w:cs="David" w:hint="cs"/>
          <w:b/>
          <w:bCs/>
          <w:sz w:val="24"/>
          <w:szCs w:val="24"/>
          <w:u w:val="single"/>
          <w:rtl/>
        </w:rPr>
        <w:t xml:space="preserve"> והכרעה</w:t>
      </w:r>
    </w:p>
    <w:p w14:paraId="015C88F6" w14:textId="552C7A6E" w:rsidR="005538BF" w:rsidRDefault="00E336DB" w:rsidP="00DD70F9">
      <w:pPr>
        <w:pStyle w:val="a9"/>
        <w:numPr>
          <w:ilvl w:val="0"/>
          <w:numId w:val="1"/>
        </w:numPr>
        <w:spacing w:line="360" w:lineRule="auto"/>
        <w:ind w:left="90" w:hanging="425"/>
        <w:contextualSpacing w:val="0"/>
        <w:jc w:val="both"/>
        <w:rPr>
          <w:rFonts w:ascii="David" w:hAnsi="David" w:cs="David"/>
          <w:sz w:val="24"/>
          <w:szCs w:val="24"/>
        </w:rPr>
      </w:pPr>
      <w:r>
        <w:rPr>
          <w:rFonts w:ascii="David" w:hAnsi="David" w:cs="David" w:hint="cs"/>
          <w:sz w:val="24"/>
          <w:szCs w:val="24"/>
          <w:rtl/>
        </w:rPr>
        <w:t xml:space="preserve">תכנית </w:t>
      </w:r>
      <w:r>
        <w:rPr>
          <w:rFonts w:ascii="David" w:hAnsi="David" w:cs="David"/>
          <w:sz w:val="24"/>
          <w:szCs w:val="24"/>
        </w:rPr>
        <w:t>F</w:t>
      </w:r>
      <w:r>
        <w:rPr>
          <w:rFonts w:ascii="David" w:hAnsi="David" w:cs="David" w:hint="cs"/>
          <w:sz w:val="24"/>
          <w:szCs w:val="24"/>
          <w:rtl/>
        </w:rPr>
        <w:t xml:space="preserve"> ה</w:t>
      </w:r>
      <w:r w:rsidR="00887DA5">
        <w:rPr>
          <w:rFonts w:ascii="David" w:hAnsi="David" w:cs="David" w:hint="cs"/>
          <w:sz w:val="24"/>
          <w:szCs w:val="24"/>
          <w:rtl/>
        </w:rPr>
        <w:t>יא תכנית מנדטורית שנערכה בשנות הארבעים</w:t>
      </w:r>
      <w:r w:rsidR="00143EE8">
        <w:rPr>
          <w:rFonts w:ascii="David" w:hAnsi="David" w:cs="David" w:hint="cs"/>
          <w:sz w:val="24"/>
          <w:szCs w:val="24"/>
          <w:rtl/>
        </w:rPr>
        <w:t xml:space="preserve"> של המאה הקודמת</w:t>
      </w:r>
      <w:r w:rsidR="00887DA5">
        <w:rPr>
          <w:rFonts w:ascii="David" w:hAnsi="David" w:cs="David" w:hint="cs"/>
          <w:sz w:val="24"/>
          <w:szCs w:val="24"/>
          <w:rtl/>
        </w:rPr>
        <w:t xml:space="preserve"> (חלק מהחתימות הוטבעו על תשריט בשנת 1943). מטבע הדברים, האיכות הגראפית של התשריט שערוך בקנה מידה 1:1</w:t>
      </w:r>
      <w:r w:rsidR="00143EE8">
        <w:rPr>
          <w:rFonts w:ascii="David" w:hAnsi="David" w:cs="David" w:hint="cs"/>
          <w:sz w:val="24"/>
          <w:szCs w:val="24"/>
          <w:rtl/>
        </w:rPr>
        <w:t>,</w:t>
      </w:r>
      <w:r w:rsidR="00887DA5">
        <w:rPr>
          <w:rFonts w:ascii="David" w:hAnsi="David" w:cs="David" w:hint="cs"/>
          <w:sz w:val="24"/>
          <w:szCs w:val="24"/>
          <w:rtl/>
        </w:rPr>
        <w:t xml:space="preserve">250 איננה גבוהה. בנסיבות אלה, סביר שמדידות </w:t>
      </w:r>
      <w:r w:rsidR="005538BF">
        <w:rPr>
          <w:rFonts w:ascii="David" w:hAnsi="David" w:cs="David" w:hint="cs"/>
          <w:sz w:val="24"/>
          <w:szCs w:val="24"/>
          <w:rtl/>
        </w:rPr>
        <w:t xml:space="preserve">גראפיות שונות של חלקי החלקות בייעודים השונים יניבו תוצאות שונות (אם כי קרובות זו לזו). הסיבה לפיזור </w:t>
      </w:r>
      <w:r w:rsidR="00143EE8">
        <w:rPr>
          <w:rFonts w:ascii="David" w:hAnsi="David" w:cs="David" w:hint="cs"/>
          <w:sz w:val="24"/>
          <w:szCs w:val="24"/>
          <w:rtl/>
        </w:rPr>
        <w:t xml:space="preserve">תוצאות </w:t>
      </w:r>
      <w:r w:rsidR="005538BF">
        <w:rPr>
          <w:rFonts w:ascii="David" w:hAnsi="David" w:cs="David" w:hint="cs"/>
          <w:sz w:val="24"/>
          <w:szCs w:val="24"/>
          <w:rtl/>
        </w:rPr>
        <w:t>המדיד</w:t>
      </w:r>
      <w:r w:rsidR="00143EE8">
        <w:rPr>
          <w:rFonts w:ascii="David" w:hAnsi="David" w:cs="David" w:hint="cs"/>
          <w:sz w:val="24"/>
          <w:szCs w:val="24"/>
          <w:rtl/>
        </w:rPr>
        <w:t>ה</w:t>
      </w:r>
      <w:r w:rsidR="005538BF">
        <w:rPr>
          <w:rFonts w:ascii="David" w:hAnsi="David" w:cs="David" w:hint="cs"/>
          <w:sz w:val="24"/>
          <w:szCs w:val="24"/>
          <w:rtl/>
        </w:rPr>
        <w:t xml:space="preserve"> </w:t>
      </w:r>
      <w:r w:rsidR="00143EE8">
        <w:rPr>
          <w:rFonts w:ascii="David" w:hAnsi="David" w:cs="David" w:hint="cs"/>
          <w:sz w:val="24"/>
          <w:szCs w:val="24"/>
          <w:rtl/>
        </w:rPr>
        <w:t xml:space="preserve">היא </w:t>
      </w:r>
      <w:r w:rsidR="005538BF">
        <w:rPr>
          <w:rFonts w:ascii="David" w:hAnsi="David" w:cs="David" w:hint="cs"/>
          <w:sz w:val="24"/>
          <w:szCs w:val="24"/>
          <w:rtl/>
        </w:rPr>
        <w:t xml:space="preserve">רמת הדיוק </w:t>
      </w:r>
      <w:r w:rsidR="00143EE8">
        <w:rPr>
          <w:rFonts w:ascii="David" w:hAnsi="David" w:cs="David" w:hint="cs"/>
          <w:sz w:val="24"/>
          <w:szCs w:val="24"/>
          <w:rtl/>
        </w:rPr>
        <w:t xml:space="preserve">המוגבלת </w:t>
      </w:r>
      <w:r w:rsidR="005538BF">
        <w:rPr>
          <w:rFonts w:ascii="David" w:hAnsi="David" w:cs="David" w:hint="cs"/>
          <w:sz w:val="24"/>
          <w:szCs w:val="24"/>
          <w:rtl/>
        </w:rPr>
        <w:t xml:space="preserve">של המדידה </w:t>
      </w:r>
      <w:r w:rsidR="00143EE8">
        <w:rPr>
          <w:rFonts w:ascii="David" w:hAnsi="David" w:cs="David" w:hint="cs"/>
          <w:sz w:val="24"/>
          <w:szCs w:val="24"/>
          <w:rtl/>
        </w:rPr>
        <w:t>על בסיס תשריט ישן</w:t>
      </w:r>
      <w:r w:rsidR="005538BF">
        <w:rPr>
          <w:rFonts w:ascii="David" w:hAnsi="David" w:cs="David" w:hint="cs"/>
          <w:sz w:val="24"/>
          <w:szCs w:val="24"/>
          <w:rtl/>
        </w:rPr>
        <w:t>.</w:t>
      </w:r>
    </w:p>
    <w:p w14:paraId="36529DAE" w14:textId="77777777" w:rsidR="00D73C26" w:rsidRDefault="00E51224" w:rsidP="00DD70F9">
      <w:pPr>
        <w:pStyle w:val="a9"/>
        <w:numPr>
          <w:ilvl w:val="0"/>
          <w:numId w:val="1"/>
        </w:numPr>
        <w:spacing w:line="360" w:lineRule="auto"/>
        <w:ind w:left="90" w:hanging="425"/>
        <w:contextualSpacing w:val="0"/>
        <w:jc w:val="both"/>
        <w:rPr>
          <w:rFonts w:ascii="David" w:hAnsi="David" w:cs="David"/>
          <w:sz w:val="24"/>
          <w:szCs w:val="24"/>
        </w:rPr>
      </w:pPr>
      <w:r>
        <w:rPr>
          <w:rFonts w:ascii="David" w:hAnsi="David" w:cs="David" w:hint="cs"/>
          <w:sz w:val="24"/>
          <w:szCs w:val="24"/>
          <w:rtl/>
        </w:rPr>
        <w:t xml:space="preserve">בהעדר מדידה </w:t>
      </w:r>
      <w:proofErr w:type="spellStart"/>
      <w:r w:rsidR="00143EE8">
        <w:rPr>
          <w:rFonts w:ascii="David" w:hAnsi="David" w:cs="David" w:hint="cs"/>
          <w:sz w:val="24"/>
          <w:szCs w:val="24"/>
          <w:rtl/>
        </w:rPr>
        <w:t>רישמית</w:t>
      </w:r>
      <w:proofErr w:type="spellEnd"/>
      <w:r w:rsidR="00143EE8">
        <w:rPr>
          <w:rFonts w:ascii="David" w:hAnsi="David" w:cs="David" w:hint="cs"/>
          <w:sz w:val="24"/>
          <w:szCs w:val="24"/>
          <w:rtl/>
        </w:rPr>
        <w:t xml:space="preserve"> של שטחי הקרקע בייעודים השונים </w:t>
      </w:r>
      <w:r w:rsidR="00420258">
        <w:rPr>
          <w:rFonts w:ascii="David" w:hAnsi="David" w:cs="David" w:hint="cs"/>
          <w:sz w:val="24"/>
          <w:szCs w:val="24"/>
          <w:rtl/>
        </w:rPr>
        <w:t>הרי ש</w:t>
      </w:r>
      <w:r w:rsidR="00D73C26">
        <w:rPr>
          <w:rFonts w:ascii="David" w:hAnsi="David" w:cs="David" w:hint="cs"/>
          <w:sz w:val="24"/>
          <w:szCs w:val="24"/>
          <w:rtl/>
        </w:rPr>
        <w:t xml:space="preserve">על </w:t>
      </w:r>
      <w:r w:rsidR="00143EE8">
        <w:rPr>
          <w:rFonts w:ascii="David" w:hAnsi="David" w:cs="David" w:hint="cs"/>
          <w:sz w:val="24"/>
          <w:szCs w:val="24"/>
          <w:rtl/>
        </w:rPr>
        <w:t xml:space="preserve">שמאי מקרקעין שנדרש לקבוע שווי במצב קודם, לפי תכנית </w:t>
      </w:r>
      <w:r w:rsidR="00143EE8">
        <w:rPr>
          <w:rFonts w:ascii="David" w:hAnsi="David" w:cs="David"/>
          <w:sz w:val="24"/>
          <w:szCs w:val="24"/>
        </w:rPr>
        <w:t>F</w:t>
      </w:r>
      <w:r w:rsidR="00143EE8">
        <w:rPr>
          <w:rFonts w:ascii="David" w:hAnsi="David" w:cs="David" w:hint="cs"/>
          <w:sz w:val="24"/>
          <w:szCs w:val="24"/>
          <w:rtl/>
        </w:rPr>
        <w:t xml:space="preserve"> </w:t>
      </w:r>
      <w:r w:rsidR="00D73C26">
        <w:rPr>
          <w:rFonts w:ascii="David" w:hAnsi="David" w:cs="David" w:hint="cs"/>
          <w:sz w:val="24"/>
          <w:szCs w:val="24"/>
          <w:rtl/>
        </w:rPr>
        <w:t>יוכל</w:t>
      </w:r>
      <w:r w:rsidR="00143EE8">
        <w:rPr>
          <w:rFonts w:ascii="David" w:hAnsi="David" w:cs="David" w:hint="cs"/>
          <w:sz w:val="24"/>
          <w:szCs w:val="24"/>
          <w:rtl/>
        </w:rPr>
        <w:t xml:space="preserve"> להסתמך על </w:t>
      </w:r>
      <w:r w:rsidR="00420258">
        <w:rPr>
          <w:rFonts w:ascii="David" w:hAnsi="David" w:cs="David" w:hint="cs"/>
          <w:sz w:val="24"/>
          <w:szCs w:val="24"/>
          <w:rtl/>
        </w:rPr>
        <w:t xml:space="preserve">שטחי קרקע על בסיס </w:t>
      </w:r>
      <w:r w:rsidR="00143EE8">
        <w:rPr>
          <w:rFonts w:ascii="David" w:hAnsi="David" w:cs="David" w:hint="cs"/>
          <w:sz w:val="24"/>
          <w:szCs w:val="24"/>
          <w:rtl/>
        </w:rPr>
        <w:t xml:space="preserve">מדידה גראפית עצמאית או על </w:t>
      </w:r>
      <w:r w:rsidR="00420258">
        <w:rPr>
          <w:rFonts w:ascii="David" w:hAnsi="David" w:cs="David" w:hint="cs"/>
          <w:sz w:val="24"/>
          <w:szCs w:val="24"/>
          <w:rtl/>
        </w:rPr>
        <w:t xml:space="preserve">בסיס </w:t>
      </w:r>
      <w:r w:rsidR="00143EE8">
        <w:rPr>
          <w:rFonts w:ascii="David" w:hAnsi="David" w:cs="David" w:hint="cs"/>
          <w:sz w:val="24"/>
          <w:szCs w:val="24"/>
          <w:rtl/>
        </w:rPr>
        <w:t xml:space="preserve">מדידה אחרת וזאת ככל שהוא סבור שהיא מהימנה. במקרה שבנדון בחר השמאי המכריע להסתמך על מדידה </w:t>
      </w:r>
      <w:r w:rsidR="00D73C26">
        <w:rPr>
          <w:rFonts w:ascii="David" w:hAnsi="David" w:cs="David" w:hint="cs"/>
          <w:sz w:val="24"/>
          <w:szCs w:val="24"/>
          <w:rtl/>
        </w:rPr>
        <w:t>שנערכה על ידי</w:t>
      </w:r>
      <w:r w:rsidR="00143EE8">
        <w:rPr>
          <w:rFonts w:ascii="David" w:hAnsi="David" w:cs="David" w:hint="cs"/>
          <w:sz w:val="24"/>
          <w:szCs w:val="24"/>
          <w:rtl/>
        </w:rPr>
        <w:t xml:space="preserve"> חברת מדבא </w:t>
      </w:r>
      <w:r w:rsidR="00420258">
        <w:rPr>
          <w:rFonts w:ascii="David" w:hAnsi="David" w:cs="David" w:hint="cs"/>
          <w:sz w:val="24"/>
          <w:szCs w:val="24"/>
          <w:rtl/>
        </w:rPr>
        <w:t>מדידות והנדסה בע"מ.</w:t>
      </w:r>
      <w:r w:rsidR="00A603B5">
        <w:rPr>
          <w:rFonts w:ascii="David" w:hAnsi="David" w:cs="David" w:hint="cs"/>
          <w:sz w:val="24"/>
          <w:szCs w:val="24"/>
          <w:rtl/>
        </w:rPr>
        <w:t xml:space="preserve"> </w:t>
      </w:r>
    </w:p>
    <w:p w14:paraId="7AF53C15" w14:textId="1EA86CEF" w:rsidR="004C6349" w:rsidRDefault="00A603B5" w:rsidP="00DD70F9">
      <w:pPr>
        <w:pStyle w:val="a9"/>
        <w:numPr>
          <w:ilvl w:val="0"/>
          <w:numId w:val="1"/>
        </w:numPr>
        <w:spacing w:line="360" w:lineRule="auto"/>
        <w:ind w:left="90" w:hanging="425"/>
        <w:contextualSpacing w:val="0"/>
        <w:jc w:val="both"/>
        <w:rPr>
          <w:rFonts w:ascii="David" w:hAnsi="David" w:cs="David"/>
          <w:sz w:val="24"/>
          <w:szCs w:val="24"/>
        </w:rPr>
      </w:pPr>
      <w:r>
        <w:rPr>
          <w:rFonts w:ascii="David" w:hAnsi="David" w:cs="David" w:hint="cs"/>
          <w:sz w:val="24"/>
          <w:szCs w:val="24"/>
          <w:rtl/>
        </w:rPr>
        <w:t>העוררות לא הציגו כי נפלה שגגה במדידה</w:t>
      </w:r>
      <w:r w:rsidR="00D73C26">
        <w:rPr>
          <w:rFonts w:ascii="David" w:hAnsi="David" w:cs="David" w:hint="cs"/>
          <w:sz w:val="24"/>
          <w:szCs w:val="24"/>
          <w:rtl/>
        </w:rPr>
        <w:t>.</w:t>
      </w:r>
      <w:r>
        <w:rPr>
          <w:rFonts w:ascii="David" w:hAnsi="David" w:cs="David" w:hint="cs"/>
          <w:sz w:val="24"/>
          <w:szCs w:val="24"/>
          <w:rtl/>
        </w:rPr>
        <w:t xml:space="preserve"> אך טענו כי לא ניתן להסתמך עליה. איננו מקבלים עמדה זו.</w:t>
      </w:r>
      <w:r w:rsidR="00420258">
        <w:rPr>
          <w:rFonts w:ascii="David" w:hAnsi="David" w:cs="David" w:hint="cs"/>
          <w:sz w:val="24"/>
          <w:szCs w:val="24"/>
          <w:rtl/>
        </w:rPr>
        <w:t xml:space="preserve"> ככל והשמאי המכריע לא מצא שגיאה או דופי במדידה זו הרי שבחירתו להסתמך </w:t>
      </w:r>
      <w:r>
        <w:rPr>
          <w:rFonts w:ascii="David" w:hAnsi="David" w:cs="David" w:hint="cs"/>
          <w:sz w:val="24"/>
          <w:szCs w:val="24"/>
          <w:rtl/>
        </w:rPr>
        <w:t>על מדידה, ודאי מדידה שהיוותה את הבסיס לטבלאות האיחוד והחלוקה</w:t>
      </w:r>
      <w:r w:rsidR="00D73C26">
        <w:rPr>
          <w:rFonts w:ascii="David" w:hAnsi="David" w:cs="David" w:hint="cs"/>
          <w:sz w:val="24"/>
          <w:szCs w:val="24"/>
          <w:rtl/>
        </w:rPr>
        <w:t xml:space="preserve"> -</w:t>
      </w:r>
      <w:r w:rsidR="00420258">
        <w:rPr>
          <w:rFonts w:ascii="David" w:hAnsi="David" w:cs="David" w:hint="cs"/>
          <w:sz w:val="24"/>
          <w:szCs w:val="24"/>
          <w:rtl/>
        </w:rPr>
        <w:t xml:space="preserve"> היא</w:t>
      </w:r>
      <w:r>
        <w:rPr>
          <w:rFonts w:ascii="David" w:hAnsi="David" w:cs="David" w:hint="cs"/>
          <w:sz w:val="24"/>
          <w:szCs w:val="24"/>
          <w:rtl/>
        </w:rPr>
        <w:t xml:space="preserve"> ודאי</w:t>
      </w:r>
      <w:r w:rsidR="00420258">
        <w:rPr>
          <w:rFonts w:ascii="David" w:hAnsi="David" w:cs="David" w:hint="cs"/>
          <w:sz w:val="24"/>
          <w:szCs w:val="24"/>
          <w:rtl/>
        </w:rPr>
        <w:t xml:space="preserve"> סבירה ואיננו מוצאים מקום לשנותה</w:t>
      </w:r>
      <w:r w:rsidR="004C6349">
        <w:rPr>
          <w:rFonts w:ascii="David" w:hAnsi="David" w:cs="David" w:hint="cs"/>
          <w:sz w:val="24"/>
          <w:szCs w:val="24"/>
          <w:rtl/>
        </w:rPr>
        <w:t xml:space="preserve"> או להתערב בה</w:t>
      </w:r>
      <w:r w:rsidR="00420258">
        <w:rPr>
          <w:rFonts w:ascii="David" w:hAnsi="David" w:cs="David" w:hint="cs"/>
          <w:sz w:val="24"/>
          <w:szCs w:val="24"/>
          <w:rtl/>
        </w:rPr>
        <w:t>.</w:t>
      </w:r>
      <w:r w:rsidR="00C43003">
        <w:rPr>
          <w:rFonts w:ascii="David" w:hAnsi="David" w:cs="David" w:hint="cs"/>
          <w:sz w:val="24"/>
          <w:szCs w:val="24"/>
          <w:rtl/>
        </w:rPr>
        <w:t xml:space="preserve"> ראו והשוו: </w:t>
      </w:r>
      <w:r w:rsidR="00C43003" w:rsidRPr="00C43003">
        <w:rPr>
          <w:rFonts w:ascii="David" w:hAnsi="David" w:cs="David"/>
          <w:sz w:val="24"/>
          <w:szCs w:val="24"/>
          <w:rtl/>
        </w:rPr>
        <w:t xml:space="preserve">עמ"נ (חיפה) 41505-10-13 </w:t>
      </w:r>
      <w:r w:rsidR="00C43003" w:rsidRPr="00C43003">
        <w:rPr>
          <w:rFonts w:ascii="David" w:hAnsi="David" w:cs="David"/>
          <w:b/>
          <w:bCs/>
          <w:sz w:val="24"/>
          <w:szCs w:val="24"/>
          <w:rtl/>
        </w:rPr>
        <w:t>עמוס אשרי נ' הוועדה המקומית לתכנון ולבניה שומרון</w:t>
      </w:r>
      <w:r w:rsidR="00C43003">
        <w:rPr>
          <w:rFonts w:ascii="David" w:hAnsi="David" w:cs="David" w:hint="cs"/>
          <w:b/>
          <w:bCs/>
          <w:sz w:val="24"/>
          <w:szCs w:val="24"/>
          <w:rtl/>
        </w:rPr>
        <w:t xml:space="preserve"> </w:t>
      </w:r>
      <w:r w:rsidR="00C43003" w:rsidRPr="00C43003">
        <w:rPr>
          <w:rFonts w:ascii="David" w:hAnsi="David" w:cs="David" w:hint="cs"/>
          <w:sz w:val="24"/>
          <w:szCs w:val="24"/>
          <w:rtl/>
        </w:rPr>
        <w:t>(נבו).</w:t>
      </w:r>
    </w:p>
    <w:p w14:paraId="1DAB6AB3" w14:textId="3BD2A30A" w:rsidR="00420258" w:rsidRDefault="00420258" w:rsidP="00DD70F9">
      <w:pPr>
        <w:pStyle w:val="a9"/>
        <w:numPr>
          <w:ilvl w:val="0"/>
          <w:numId w:val="1"/>
        </w:numPr>
        <w:spacing w:line="360" w:lineRule="auto"/>
        <w:ind w:left="90" w:hanging="425"/>
        <w:contextualSpacing w:val="0"/>
        <w:jc w:val="both"/>
        <w:rPr>
          <w:rFonts w:ascii="David" w:hAnsi="David" w:cs="David"/>
          <w:sz w:val="24"/>
          <w:szCs w:val="24"/>
        </w:rPr>
      </w:pPr>
      <w:r>
        <w:rPr>
          <w:rFonts w:ascii="David" w:hAnsi="David" w:cs="David" w:hint="cs"/>
          <w:sz w:val="24"/>
          <w:szCs w:val="24"/>
          <w:rtl/>
        </w:rPr>
        <w:t xml:space="preserve">סביר כי רמת הדיוק של מדידה זו עולה על רמת הדיוק שאליה היה מגיע השמאי אם היה מודד עצמאית </w:t>
      </w:r>
      <w:r w:rsidR="00BC7A27">
        <w:rPr>
          <w:rFonts w:ascii="David" w:hAnsi="David" w:cs="David" w:hint="cs"/>
          <w:sz w:val="24"/>
          <w:szCs w:val="24"/>
          <w:rtl/>
        </w:rPr>
        <w:t xml:space="preserve">באופן גרפי </w:t>
      </w:r>
      <w:r>
        <w:rPr>
          <w:rFonts w:ascii="David" w:hAnsi="David" w:cs="David" w:hint="cs"/>
          <w:sz w:val="24"/>
          <w:szCs w:val="24"/>
          <w:rtl/>
        </w:rPr>
        <w:t xml:space="preserve">את ייעודי הקרקע שבתכנית </w:t>
      </w:r>
      <w:r>
        <w:rPr>
          <w:rFonts w:ascii="David" w:hAnsi="David" w:cs="David"/>
          <w:sz w:val="24"/>
          <w:szCs w:val="24"/>
        </w:rPr>
        <w:t>F</w:t>
      </w:r>
      <w:r>
        <w:rPr>
          <w:rFonts w:ascii="David" w:hAnsi="David" w:cs="David" w:hint="cs"/>
          <w:sz w:val="24"/>
          <w:szCs w:val="24"/>
          <w:rtl/>
        </w:rPr>
        <w:t xml:space="preserve"> במדידה גראפית (שאיננה אנאליטית) או אם </w:t>
      </w:r>
      <w:r>
        <w:rPr>
          <w:rFonts w:ascii="David" w:hAnsi="David" w:cs="David" w:hint="cs"/>
          <w:sz w:val="24"/>
          <w:szCs w:val="24"/>
          <w:rtl/>
        </w:rPr>
        <w:lastRenderedPageBreak/>
        <w:t>היה נסמך על מקור אחר שאיננו מדידה של מודד מוסך.</w:t>
      </w:r>
      <w:r w:rsidR="009700B9">
        <w:rPr>
          <w:rFonts w:ascii="David" w:hAnsi="David" w:cs="David" w:hint="cs"/>
          <w:sz w:val="24"/>
          <w:szCs w:val="24"/>
          <w:rtl/>
        </w:rPr>
        <w:t xml:space="preserve"> </w:t>
      </w:r>
      <w:r w:rsidR="00E71A31">
        <w:rPr>
          <w:rFonts w:ascii="David" w:hAnsi="David" w:cs="David" w:hint="cs"/>
          <w:sz w:val="24"/>
          <w:szCs w:val="24"/>
          <w:rtl/>
        </w:rPr>
        <w:t xml:space="preserve">ואכן, </w:t>
      </w:r>
      <w:r w:rsidR="009700B9" w:rsidRPr="009F2C07">
        <w:rPr>
          <w:rFonts w:ascii="David" w:hAnsi="David" w:cs="David" w:hint="cs"/>
          <w:sz w:val="24"/>
          <w:szCs w:val="24"/>
          <w:rtl/>
        </w:rPr>
        <w:t>באותו האופן, יכול היה השמאי המכריע להורות על מינוי מומחה לעריכת מדידה כאמור (בהתאם לסמכותו למינוי מומחים (ראו סעיף 16 ל</w:t>
      </w:r>
      <w:r w:rsidR="009700B9" w:rsidRPr="009F2C07">
        <w:rPr>
          <w:rFonts w:ascii="David" w:hAnsi="David" w:cs="David"/>
          <w:sz w:val="24"/>
          <w:szCs w:val="24"/>
          <w:rtl/>
        </w:rPr>
        <w:t>תקנות התכנון והבניה (סדרי דין בבקשה להכרעה לפני שמאי מכריע או שמאי מייעץ), תשס"ט-2008</w:t>
      </w:r>
      <w:r w:rsidR="009700B9" w:rsidRPr="009F2C07">
        <w:rPr>
          <w:rFonts w:ascii="David" w:hAnsi="David" w:cs="David" w:hint="cs"/>
          <w:sz w:val="24"/>
          <w:szCs w:val="24"/>
          <w:rtl/>
        </w:rPr>
        <w:t>).</w:t>
      </w:r>
      <w:r w:rsidR="00E71A31">
        <w:rPr>
          <w:rFonts w:ascii="David" w:hAnsi="David" w:cs="David" w:hint="cs"/>
          <w:sz w:val="24"/>
          <w:szCs w:val="24"/>
          <w:rtl/>
        </w:rPr>
        <w:t xml:space="preserve"> </w:t>
      </w:r>
    </w:p>
    <w:p w14:paraId="446C4D1D" w14:textId="1B4DA2A2" w:rsidR="00BC7A27" w:rsidRDefault="00BC7A27" w:rsidP="00DD70F9">
      <w:pPr>
        <w:pStyle w:val="a9"/>
        <w:numPr>
          <w:ilvl w:val="0"/>
          <w:numId w:val="1"/>
        </w:numPr>
        <w:spacing w:line="360" w:lineRule="auto"/>
        <w:ind w:left="90" w:hanging="425"/>
        <w:contextualSpacing w:val="0"/>
        <w:jc w:val="both"/>
        <w:rPr>
          <w:rFonts w:ascii="David" w:hAnsi="David" w:cs="David"/>
          <w:sz w:val="24"/>
          <w:szCs w:val="24"/>
        </w:rPr>
      </w:pPr>
      <w:r>
        <w:rPr>
          <w:rFonts w:ascii="David" w:hAnsi="David" w:cs="David" w:hint="cs"/>
          <w:sz w:val="24"/>
          <w:szCs w:val="24"/>
          <w:rtl/>
        </w:rPr>
        <w:t xml:space="preserve">אין באמור כדי לקבוע מסמרות באשר לשיטת המדידה </w:t>
      </w:r>
      <w:r w:rsidR="004A3EA1">
        <w:rPr>
          <w:rFonts w:ascii="David" w:hAnsi="David" w:cs="David" w:hint="cs"/>
          <w:sz w:val="24"/>
          <w:szCs w:val="24"/>
          <w:rtl/>
        </w:rPr>
        <w:t>הראויה</w:t>
      </w:r>
      <w:r>
        <w:rPr>
          <w:rFonts w:ascii="David" w:hAnsi="David" w:cs="David" w:hint="cs"/>
          <w:sz w:val="24"/>
          <w:szCs w:val="24"/>
          <w:rtl/>
        </w:rPr>
        <w:t xml:space="preserve"> בתכניות</w:t>
      </w:r>
      <w:r w:rsidR="00D73C26">
        <w:rPr>
          <w:rFonts w:ascii="David" w:hAnsi="David" w:cs="David" w:hint="cs"/>
          <w:sz w:val="24"/>
          <w:szCs w:val="24"/>
          <w:rtl/>
        </w:rPr>
        <w:t xml:space="preserve"> ישנות</w:t>
      </w:r>
      <w:r>
        <w:rPr>
          <w:rFonts w:ascii="David" w:hAnsi="David" w:cs="David" w:hint="cs"/>
          <w:sz w:val="24"/>
          <w:szCs w:val="24"/>
          <w:rtl/>
        </w:rPr>
        <w:t xml:space="preserve"> מעין אלו</w:t>
      </w:r>
      <w:r w:rsidR="002513C7">
        <w:rPr>
          <w:rFonts w:ascii="David" w:hAnsi="David" w:cs="David" w:hint="cs"/>
          <w:sz w:val="24"/>
          <w:szCs w:val="24"/>
          <w:rtl/>
        </w:rPr>
        <w:t>, והאם די להסתפק במדידה גראפית, אם לאו. אך ברור כי שעה שעמדה בפני השמאי המכריע מפות מדידה כאמור, אשר אף שימשו בסיס לטבלאות האיזון,</w:t>
      </w:r>
      <w:r w:rsidR="00D40541">
        <w:rPr>
          <w:rFonts w:ascii="David" w:hAnsi="David" w:cs="David" w:hint="cs"/>
          <w:sz w:val="24"/>
          <w:szCs w:val="24"/>
          <w:rtl/>
        </w:rPr>
        <w:t xml:space="preserve"> והוא בחר </w:t>
      </w:r>
      <w:r w:rsidR="00D73C26">
        <w:rPr>
          <w:rFonts w:ascii="David" w:hAnsi="David" w:cs="David" w:hint="cs"/>
          <w:sz w:val="24"/>
          <w:szCs w:val="24"/>
          <w:rtl/>
        </w:rPr>
        <w:t>במסגרת שיקול דעתו</w:t>
      </w:r>
      <w:r w:rsidR="00D40541">
        <w:rPr>
          <w:rFonts w:ascii="David" w:hAnsi="David" w:cs="David" w:hint="cs"/>
          <w:sz w:val="24"/>
          <w:szCs w:val="24"/>
          <w:rtl/>
        </w:rPr>
        <w:t xml:space="preserve"> המקצועי לעשות בהן שימוש,</w:t>
      </w:r>
      <w:r w:rsidR="002513C7">
        <w:rPr>
          <w:rFonts w:ascii="David" w:hAnsi="David" w:cs="David" w:hint="cs"/>
          <w:sz w:val="24"/>
          <w:szCs w:val="24"/>
          <w:rtl/>
        </w:rPr>
        <w:t xml:space="preserve"> הרי שלא ניתן לומר כי נפל פגם</w:t>
      </w:r>
      <w:r w:rsidR="008248DF">
        <w:rPr>
          <w:rFonts w:ascii="David" w:hAnsi="David" w:cs="David" w:hint="cs"/>
          <w:sz w:val="24"/>
          <w:szCs w:val="24"/>
          <w:rtl/>
        </w:rPr>
        <w:t xml:space="preserve">, ודאי לא חמור, </w:t>
      </w:r>
      <w:r w:rsidR="002513C7">
        <w:rPr>
          <w:rFonts w:ascii="David" w:hAnsi="David" w:cs="David" w:hint="cs"/>
          <w:sz w:val="24"/>
          <w:szCs w:val="24"/>
          <w:rtl/>
        </w:rPr>
        <w:t>בבחיר</w:t>
      </w:r>
      <w:r w:rsidR="00AA45AE">
        <w:rPr>
          <w:rFonts w:ascii="David" w:hAnsi="David" w:cs="David" w:hint="cs"/>
          <w:sz w:val="24"/>
          <w:szCs w:val="24"/>
          <w:rtl/>
        </w:rPr>
        <w:t>ה מקצועית זו</w:t>
      </w:r>
      <w:r w:rsidR="002513C7">
        <w:rPr>
          <w:rFonts w:ascii="David" w:hAnsi="David" w:cs="David" w:hint="cs"/>
          <w:sz w:val="24"/>
          <w:szCs w:val="24"/>
          <w:rtl/>
        </w:rPr>
        <w:t>.</w:t>
      </w:r>
    </w:p>
    <w:p w14:paraId="7762A2D8" w14:textId="0C64F1ED" w:rsidR="009060A1" w:rsidRPr="009F2C07" w:rsidRDefault="007B36D5" w:rsidP="009060A1">
      <w:pPr>
        <w:pStyle w:val="a9"/>
        <w:numPr>
          <w:ilvl w:val="0"/>
          <w:numId w:val="1"/>
        </w:numPr>
        <w:spacing w:line="360" w:lineRule="auto"/>
        <w:ind w:left="90" w:hanging="425"/>
        <w:contextualSpacing w:val="0"/>
        <w:jc w:val="both"/>
        <w:rPr>
          <w:rFonts w:ascii="David" w:hAnsi="David" w:cs="David"/>
          <w:sz w:val="24"/>
          <w:szCs w:val="24"/>
        </w:rPr>
      </w:pPr>
      <w:r w:rsidRPr="000946D0">
        <w:rPr>
          <w:rFonts w:ascii="David" w:hAnsi="David" w:cs="David" w:hint="eastAsia"/>
          <w:color w:val="000000"/>
          <w:sz w:val="24"/>
          <w:szCs w:val="24"/>
          <w:rtl/>
        </w:rPr>
        <w:t>נציין</w:t>
      </w:r>
      <w:r w:rsidRPr="000946D0">
        <w:rPr>
          <w:rFonts w:ascii="David" w:hAnsi="David" w:cs="David"/>
          <w:color w:val="000000"/>
          <w:sz w:val="24"/>
          <w:szCs w:val="24"/>
          <w:rtl/>
        </w:rPr>
        <w:t xml:space="preserve"> כי </w:t>
      </w:r>
      <w:r w:rsidR="004445F6">
        <w:rPr>
          <w:rFonts w:ascii="David" w:hAnsi="David" w:cs="David" w:hint="cs"/>
          <w:color w:val="000000"/>
          <w:sz w:val="24"/>
          <w:szCs w:val="24"/>
          <w:rtl/>
        </w:rPr>
        <w:t>העוררות הסתמכו בהקשר זה על</w:t>
      </w:r>
      <w:r w:rsidRPr="000946D0">
        <w:rPr>
          <w:rFonts w:ascii="David" w:hAnsi="David" w:cs="David"/>
          <w:color w:val="000000"/>
          <w:sz w:val="24"/>
          <w:szCs w:val="24"/>
          <w:rtl/>
        </w:rPr>
        <w:t xml:space="preserve"> </w:t>
      </w:r>
      <w:proofErr w:type="spellStart"/>
      <w:r w:rsidR="00E053B5" w:rsidRPr="000946D0">
        <w:rPr>
          <w:rFonts w:ascii="David" w:hAnsi="David" w:cs="David"/>
          <w:color w:val="000000"/>
          <w:sz w:val="24"/>
          <w:szCs w:val="24"/>
          <w:rtl/>
        </w:rPr>
        <w:t>עא</w:t>
      </w:r>
      <w:proofErr w:type="spellEnd"/>
      <w:r w:rsidR="009700B9">
        <w:rPr>
          <w:rFonts w:ascii="David" w:hAnsi="David" w:cs="David" w:hint="cs"/>
          <w:color w:val="000000"/>
          <w:sz w:val="24"/>
          <w:szCs w:val="24"/>
          <w:rtl/>
        </w:rPr>
        <w:t xml:space="preserve"> </w:t>
      </w:r>
      <w:r w:rsidR="00E053B5" w:rsidRPr="000946D0">
        <w:rPr>
          <w:rFonts w:ascii="David" w:hAnsi="David" w:cs="David"/>
          <w:color w:val="000000"/>
          <w:sz w:val="24"/>
          <w:szCs w:val="24"/>
          <w:rtl/>
        </w:rPr>
        <w:t>(ת"א) 2184/01‏ </w:t>
      </w:r>
      <w:r w:rsidR="00E053B5" w:rsidRPr="000946D0">
        <w:rPr>
          <w:rFonts w:ascii="David" w:hAnsi="David" w:cs="David"/>
          <w:b/>
          <w:bCs/>
          <w:color w:val="000000"/>
          <w:sz w:val="24"/>
          <w:szCs w:val="24"/>
          <w:rtl/>
        </w:rPr>
        <w:t>הוועדה המקומית לתכנון ולבניה פתח-תקווה נ' גנים חברה לבניה הנדסה</w:t>
      </w:r>
      <w:r w:rsidR="00E053B5" w:rsidRPr="000946D0">
        <w:rPr>
          <w:rFonts w:ascii="David" w:hAnsi="David" w:cs="David"/>
          <w:color w:val="000000"/>
          <w:sz w:val="24"/>
          <w:szCs w:val="24"/>
          <w:rtl/>
        </w:rPr>
        <w:t xml:space="preserve"> ‏</w:t>
      </w:r>
      <w:r w:rsidR="00801202">
        <w:rPr>
          <w:rFonts w:ascii="David" w:hAnsi="David" w:cs="David" w:hint="cs"/>
          <w:color w:val="000000"/>
          <w:sz w:val="24"/>
          <w:szCs w:val="24"/>
          <w:rtl/>
        </w:rPr>
        <w:t>(נבו)</w:t>
      </w:r>
      <w:r w:rsidR="009060A1">
        <w:rPr>
          <w:rFonts w:ascii="David" w:hAnsi="David" w:cs="David" w:hint="cs"/>
          <w:color w:val="000000"/>
          <w:sz w:val="24"/>
          <w:szCs w:val="24"/>
          <w:rtl/>
        </w:rPr>
        <w:t>. אלא שאין האמור שם דומה לענייננו. בעניין זה עסק בית המשפט במצב בו</w:t>
      </w:r>
      <w:r w:rsidR="00F42345">
        <w:rPr>
          <w:rFonts w:ascii="David" w:hAnsi="David" w:cs="David" w:hint="cs"/>
          <w:color w:val="000000"/>
          <w:sz w:val="24"/>
          <w:szCs w:val="24"/>
          <w:rtl/>
        </w:rPr>
        <w:t>:</w:t>
      </w:r>
      <w:r w:rsidR="009060A1">
        <w:rPr>
          <w:rFonts w:ascii="David" w:hAnsi="David" w:cs="David" w:hint="cs"/>
          <w:color w:val="000000"/>
          <w:sz w:val="24"/>
          <w:szCs w:val="24"/>
          <w:rtl/>
        </w:rPr>
        <w:t xml:space="preserve"> </w:t>
      </w:r>
      <w:r w:rsidR="009060A1">
        <w:rPr>
          <w:rFonts w:ascii="David" w:hAnsi="David" w:cs="David" w:hint="cs"/>
          <w:b/>
          <w:bCs/>
          <w:sz w:val="24"/>
          <w:szCs w:val="24"/>
          <w:rtl/>
        </w:rPr>
        <w:t>"</w:t>
      </w:r>
      <w:r w:rsidR="00E053B5" w:rsidRPr="000946D0">
        <w:rPr>
          <w:rFonts w:ascii="David" w:hAnsi="David" w:cs="David"/>
          <w:b/>
          <w:bCs/>
          <w:sz w:val="24"/>
          <w:szCs w:val="24"/>
          <w:rtl/>
        </w:rPr>
        <w:t>הציון המוטעה של המצב הקודם בתכנית המשביחה אינו מעלה ואינו מוריד, שכן ברור – על פי כללי פרשנות מקובלים – כי התכנית המשביחה לא נועדה לשנות רטרואקטיבית את המצב הקודם</w:t>
      </w:r>
      <w:r w:rsidR="009060A1">
        <w:rPr>
          <w:rFonts w:ascii="David" w:hAnsi="David" w:cs="David" w:hint="cs"/>
          <w:b/>
          <w:bCs/>
          <w:sz w:val="24"/>
          <w:szCs w:val="24"/>
          <w:rtl/>
        </w:rPr>
        <w:t xml:space="preserve">". </w:t>
      </w:r>
      <w:r w:rsidR="009060A1" w:rsidRPr="009F2C07">
        <w:rPr>
          <w:rFonts w:ascii="David" w:hAnsi="David" w:cs="David" w:hint="cs"/>
          <w:sz w:val="24"/>
          <w:szCs w:val="24"/>
          <w:rtl/>
        </w:rPr>
        <w:t>הווי אומר</w:t>
      </w:r>
      <w:r w:rsidR="00F42345" w:rsidRPr="009F2C07">
        <w:rPr>
          <w:rFonts w:ascii="David" w:hAnsi="David" w:cs="David" w:hint="cs"/>
          <w:sz w:val="24"/>
          <w:szCs w:val="24"/>
          <w:rtl/>
        </w:rPr>
        <w:t xml:space="preserve">, </w:t>
      </w:r>
      <w:r w:rsidR="00686D69" w:rsidRPr="009F2C07">
        <w:rPr>
          <w:rFonts w:ascii="David" w:hAnsi="David" w:cs="David" w:hint="cs"/>
          <w:sz w:val="24"/>
          <w:szCs w:val="24"/>
          <w:rtl/>
        </w:rPr>
        <w:t xml:space="preserve">בנסיבות </w:t>
      </w:r>
      <w:r w:rsidR="00F42345" w:rsidRPr="009F2C07">
        <w:rPr>
          <w:rFonts w:ascii="David" w:hAnsi="David" w:cs="David" w:hint="cs"/>
          <w:sz w:val="24"/>
          <w:szCs w:val="24"/>
          <w:rtl/>
        </w:rPr>
        <w:t>שם</w:t>
      </w:r>
      <w:r w:rsidR="00686D69" w:rsidRPr="009F2C07">
        <w:rPr>
          <w:rFonts w:ascii="David" w:hAnsi="David" w:cs="David" w:hint="cs"/>
          <w:sz w:val="24"/>
          <w:szCs w:val="24"/>
          <w:rtl/>
        </w:rPr>
        <w:t xml:space="preserve">, </w:t>
      </w:r>
      <w:r w:rsidR="009060A1" w:rsidRPr="009F2C07">
        <w:rPr>
          <w:rFonts w:ascii="David" w:hAnsi="David" w:cs="David" w:hint="cs"/>
          <w:sz w:val="24"/>
          <w:szCs w:val="24"/>
          <w:rtl/>
        </w:rPr>
        <w:t>היתה סתירה בין תשריט המצב הקודם ל</w:t>
      </w:r>
      <w:r w:rsidR="00000C95" w:rsidRPr="009F2C07">
        <w:rPr>
          <w:rFonts w:ascii="David" w:hAnsi="David" w:cs="David" w:hint="cs"/>
          <w:sz w:val="24"/>
          <w:szCs w:val="24"/>
          <w:rtl/>
        </w:rPr>
        <w:t>בין הצגת מצב זה בתכנית המשביחה</w:t>
      </w:r>
      <w:r w:rsidR="009060A1" w:rsidRPr="009F2C07">
        <w:rPr>
          <w:rFonts w:ascii="David" w:hAnsi="David" w:cs="David" w:hint="cs"/>
          <w:sz w:val="24"/>
          <w:szCs w:val="24"/>
          <w:rtl/>
        </w:rPr>
        <w:t xml:space="preserve">. </w:t>
      </w:r>
      <w:r w:rsidR="000F6F5C">
        <w:rPr>
          <w:rFonts w:ascii="David" w:hAnsi="David" w:cs="David" w:hint="cs"/>
          <w:sz w:val="24"/>
          <w:szCs w:val="24"/>
          <w:rtl/>
        </w:rPr>
        <w:t>בנסיבות מעין אלו,</w:t>
      </w:r>
      <w:r w:rsidR="009060A1" w:rsidRPr="009F2C07">
        <w:rPr>
          <w:rFonts w:ascii="David" w:hAnsi="David" w:cs="David" w:hint="cs"/>
          <w:sz w:val="24"/>
          <w:szCs w:val="24"/>
          <w:rtl/>
        </w:rPr>
        <w:t xml:space="preserve"> קובע פסק הדין כי תשריט המצב הקודם כפי שהוא מוצג בתכנית החדשה אינו משנה את המציאות התכנונית כפי שהיתה קיימת קודם לה. </w:t>
      </w:r>
    </w:p>
    <w:p w14:paraId="124CBE56" w14:textId="38DB755E" w:rsidR="00EC4B72" w:rsidRDefault="00EC4B72" w:rsidP="009060A1">
      <w:pPr>
        <w:pStyle w:val="a9"/>
        <w:numPr>
          <w:ilvl w:val="0"/>
          <w:numId w:val="1"/>
        </w:numPr>
        <w:spacing w:line="360" w:lineRule="auto"/>
        <w:ind w:left="90" w:hanging="425"/>
        <w:contextualSpacing w:val="0"/>
        <w:jc w:val="both"/>
        <w:rPr>
          <w:rFonts w:ascii="David" w:hAnsi="David" w:cs="David"/>
          <w:sz w:val="24"/>
          <w:szCs w:val="24"/>
        </w:rPr>
      </w:pPr>
      <w:r>
        <w:rPr>
          <w:rFonts w:ascii="David" w:hAnsi="David" w:cs="David" w:hint="cs"/>
          <w:sz w:val="24"/>
          <w:szCs w:val="24"/>
          <w:rtl/>
        </w:rPr>
        <w:t xml:space="preserve">למעלה מן הצורך נבהיר, כי </w:t>
      </w:r>
      <w:r w:rsidR="009060A1" w:rsidRPr="009F2C07">
        <w:rPr>
          <w:rFonts w:ascii="David" w:hAnsi="David" w:cs="David" w:hint="cs"/>
          <w:sz w:val="24"/>
          <w:szCs w:val="24"/>
          <w:rtl/>
        </w:rPr>
        <w:t>ניתן גם להעלות על הדעת</w:t>
      </w:r>
      <w:r w:rsidR="008222F1">
        <w:rPr>
          <w:rFonts w:ascii="David" w:hAnsi="David" w:cs="David" w:hint="cs"/>
          <w:sz w:val="24"/>
          <w:szCs w:val="24"/>
          <w:rtl/>
        </w:rPr>
        <w:t xml:space="preserve">, מצב בו לא ניתן יהיה </w:t>
      </w:r>
      <w:r w:rsidR="00AA76BB">
        <w:rPr>
          <w:rFonts w:ascii="David" w:hAnsi="David" w:cs="David" w:hint="cs"/>
          <w:sz w:val="24"/>
          <w:szCs w:val="24"/>
          <w:rtl/>
        </w:rPr>
        <w:t>להסתמך</w:t>
      </w:r>
      <w:r w:rsidR="008222F1">
        <w:rPr>
          <w:rFonts w:ascii="David" w:hAnsi="David" w:cs="David" w:hint="cs"/>
          <w:sz w:val="24"/>
          <w:szCs w:val="24"/>
          <w:rtl/>
        </w:rPr>
        <w:t xml:space="preserve"> על מדידה חיצונית. כך למשל,</w:t>
      </w:r>
      <w:r w:rsidR="00306F3C">
        <w:rPr>
          <w:rFonts w:ascii="David" w:hAnsi="David" w:cs="David" w:hint="cs"/>
          <w:sz w:val="24"/>
          <w:szCs w:val="24"/>
          <w:rtl/>
        </w:rPr>
        <w:t xml:space="preserve"> שעה</w:t>
      </w:r>
      <w:r w:rsidR="009060A1" w:rsidRPr="009F2C07">
        <w:rPr>
          <w:rFonts w:ascii="David" w:hAnsi="David" w:cs="David" w:hint="cs"/>
          <w:sz w:val="24"/>
          <w:szCs w:val="24"/>
          <w:rtl/>
        </w:rPr>
        <w:t xml:space="preserve"> </w:t>
      </w:r>
      <w:r w:rsidR="00306F3C">
        <w:rPr>
          <w:rFonts w:ascii="David" w:hAnsi="David" w:cs="David" w:hint="cs"/>
          <w:sz w:val="24"/>
          <w:szCs w:val="24"/>
          <w:rtl/>
        </w:rPr>
        <w:t>ש</w:t>
      </w:r>
      <w:r w:rsidR="009060A1" w:rsidRPr="009F2C07">
        <w:rPr>
          <w:rFonts w:ascii="David" w:hAnsi="David" w:cs="David" w:hint="cs"/>
          <w:sz w:val="24"/>
          <w:szCs w:val="24"/>
          <w:rtl/>
        </w:rPr>
        <w:t>קיימת טעות במדידה שנערכה במסגרת תשריטה של תכנית</w:t>
      </w:r>
      <w:r w:rsidR="008222F1">
        <w:rPr>
          <w:rFonts w:ascii="David" w:hAnsi="David" w:cs="David" w:hint="cs"/>
          <w:sz w:val="24"/>
          <w:szCs w:val="24"/>
          <w:rtl/>
        </w:rPr>
        <w:t>, הרי ש</w:t>
      </w:r>
      <w:r w:rsidR="009060A1" w:rsidRPr="009F2C07">
        <w:rPr>
          <w:rFonts w:ascii="David" w:hAnsi="David" w:cs="David" w:hint="cs"/>
          <w:sz w:val="24"/>
          <w:szCs w:val="24"/>
          <w:rtl/>
        </w:rPr>
        <w:t>מאחר והתכנית היא סטטוטור</w:t>
      </w:r>
      <w:r w:rsidR="009060A1" w:rsidRPr="009F2C07">
        <w:rPr>
          <w:rFonts w:ascii="David" w:hAnsi="David" w:cs="David" w:hint="eastAsia"/>
          <w:sz w:val="24"/>
          <w:szCs w:val="24"/>
          <w:rtl/>
        </w:rPr>
        <w:t>ית</w:t>
      </w:r>
      <w:r w:rsidR="009060A1" w:rsidRPr="009F2C07">
        <w:rPr>
          <w:rFonts w:ascii="David" w:hAnsi="David" w:cs="David" w:hint="cs"/>
          <w:sz w:val="24"/>
          <w:szCs w:val="24"/>
          <w:rtl/>
        </w:rPr>
        <w:t xml:space="preserve"> </w:t>
      </w:r>
      <w:r w:rsidR="008222F1">
        <w:rPr>
          <w:rFonts w:ascii="David" w:hAnsi="David" w:cs="David" w:hint="cs"/>
          <w:sz w:val="24"/>
          <w:szCs w:val="24"/>
          <w:rtl/>
        </w:rPr>
        <w:t xml:space="preserve">אזי </w:t>
      </w:r>
      <w:r w:rsidR="009060A1" w:rsidRPr="009F2C07">
        <w:rPr>
          <w:rFonts w:ascii="David" w:hAnsi="David" w:cs="David" w:hint="cs"/>
          <w:sz w:val="24"/>
          <w:szCs w:val="24"/>
          <w:rtl/>
        </w:rPr>
        <w:t xml:space="preserve">היא </w:t>
      </w:r>
      <w:r w:rsidR="00DA5EF3">
        <w:rPr>
          <w:rFonts w:ascii="David" w:hAnsi="David" w:cs="David" w:hint="cs"/>
          <w:sz w:val="24"/>
          <w:szCs w:val="24"/>
          <w:rtl/>
        </w:rPr>
        <w:t xml:space="preserve">הנשקפת </w:t>
      </w:r>
      <w:r w:rsidR="00712CDC">
        <w:rPr>
          <w:rFonts w:ascii="David" w:hAnsi="David" w:cs="David" w:hint="cs"/>
          <w:sz w:val="24"/>
          <w:szCs w:val="24"/>
          <w:rtl/>
        </w:rPr>
        <w:t>לעיניו של</w:t>
      </w:r>
      <w:r w:rsidR="00DA5EF3">
        <w:rPr>
          <w:rFonts w:ascii="David" w:hAnsi="David" w:cs="David" w:hint="cs"/>
          <w:sz w:val="24"/>
          <w:szCs w:val="24"/>
          <w:rtl/>
        </w:rPr>
        <w:t xml:space="preserve"> הרוכש והיא </w:t>
      </w:r>
      <w:r w:rsidR="009060A1" w:rsidRPr="009F2C07">
        <w:rPr>
          <w:rFonts w:ascii="David" w:hAnsi="David" w:cs="David" w:hint="cs"/>
          <w:sz w:val="24"/>
          <w:szCs w:val="24"/>
          <w:rtl/>
        </w:rPr>
        <w:t>הקובעת את המצב התכנוני ואת שווי השוק</w:t>
      </w:r>
      <w:r w:rsidR="008222F1">
        <w:rPr>
          <w:rFonts w:ascii="David" w:hAnsi="David" w:cs="David" w:hint="cs"/>
          <w:sz w:val="24"/>
          <w:szCs w:val="24"/>
          <w:rtl/>
        </w:rPr>
        <w:t xml:space="preserve">. טעות </w:t>
      </w:r>
      <w:proofErr w:type="spellStart"/>
      <w:r w:rsidR="008222F1">
        <w:rPr>
          <w:rFonts w:ascii="David" w:hAnsi="David" w:cs="David" w:hint="cs"/>
          <w:sz w:val="24"/>
          <w:szCs w:val="24"/>
          <w:rtl/>
        </w:rPr>
        <w:t>בתשריט</w:t>
      </w:r>
      <w:proofErr w:type="spellEnd"/>
      <w:r w:rsidR="008222F1">
        <w:rPr>
          <w:rFonts w:ascii="David" w:hAnsi="David" w:cs="David" w:hint="cs"/>
          <w:sz w:val="24"/>
          <w:szCs w:val="24"/>
          <w:rtl/>
        </w:rPr>
        <w:t>, ככל שנפלה,</w:t>
      </w:r>
      <w:r w:rsidR="009060A1" w:rsidRPr="009F2C07">
        <w:rPr>
          <w:rFonts w:ascii="David" w:hAnsi="David" w:cs="David" w:hint="cs"/>
          <w:sz w:val="24"/>
          <w:szCs w:val="24"/>
          <w:rtl/>
        </w:rPr>
        <w:t xml:space="preserve"> יש לתקן במסגרת הראויה לכך. </w:t>
      </w:r>
      <w:r w:rsidR="00F47423">
        <w:rPr>
          <w:rFonts w:ascii="David" w:hAnsi="David" w:cs="David" w:hint="cs"/>
          <w:sz w:val="24"/>
          <w:szCs w:val="24"/>
          <w:rtl/>
        </w:rPr>
        <w:t>ועל כן בנסיבות מעין אלו,</w:t>
      </w:r>
      <w:r w:rsidR="009060A1" w:rsidRPr="009F2C07">
        <w:rPr>
          <w:rFonts w:ascii="David" w:hAnsi="David" w:cs="David" w:hint="cs"/>
          <w:sz w:val="24"/>
          <w:szCs w:val="24"/>
          <w:rtl/>
        </w:rPr>
        <w:t xml:space="preserve"> </w:t>
      </w:r>
      <w:r w:rsidR="00E55900">
        <w:rPr>
          <w:rFonts w:ascii="David" w:hAnsi="David" w:cs="David" w:hint="cs"/>
          <w:sz w:val="24"/>
          <w:szCs w:val="24"/>
          <w:rtl/>
        </w:rPr>
        <w:t xml:space="preserve">שמא ניתן יהיה לומר כי </w:t>
      </w:r>
      <w:r w:rsidR="009060A1" w:rsidRPr="009F2C07">
        <w:rPr>
          <w:rFonts w:ascii="David" w:hAnsi="David" w:cs="David" w:hint="cs"/>
          <w:sz w:val="24"/>
          <w:szCs w:val="24"/>
          <w:rtl/>
        </w:rPr>
        <w:t xml:space="preserve">לא ניתן להציג מדידה אחרת הסוטה מהוראות </w:t>
      </w:r>
      <w:r w:rsidR="00D73C26">
        <w:rPr>
          <w:rFonts w:ascii="David" w:hAnsi="David" w:cs="David" w:hint="cs"/>
          <w:sz w:val="24"/>
          <w:szCs w:val="24"/>
          <w:rtl/>
        </w:rPr>
        <w:t>תשריט התכנית</w:t>
      </w:r>
      <w:r w:rsidR="00AA76BB">
        <w:rPr>
          <w:rFonts w:ascii="David" w:hAnsi="David" w:cs="David" w:hint="cs"/>
          <w:sz w:val="24"/>
          <w:szCs w:val="24"/>
          <w:rtl/>
        </w:rPr>
        <w:t>, לשם קביעת היטל ההשבחה</w:t>
      </w:r>
      <w:r w:rsidR="009060A1" w:rsidRPr="009F2C07">
        <w:rPr>
          <w:rFonts w:ascii="David" w:hAnsi="David" w:cs="David" w:hint="cs"/>
          <w:sz w:val="24"/>
          <w:szCs w:val="24"/>
          <w:rtl/>
        </w:rPr>
        <w:t xml:space="preserve">, על אף השגגה שנפלה בו. </w:t>
      </w:r>
      <w:r w:rsidR="00B9540D">
        <w:rPr>
          <w:rFonts w:ascii="David" w:hAnsi="David" w:cs="David" w:hint="cs"/>
          <w:sz w:val="24"/>
          <w:szCs w:val="24"/>
          <w:rtl/>
        </w:rPr>
        <w:t xml:space="preserve">כאמור </w:t>
      </w:r>
      <w:r w:rsidR="009060A1" w:rsidRPr="009F2C07">
        <w:rPr>
          <w:rFonts w:ascii="David" w:hAnsi="David" w:cs="David" w:hint="cs"/>
          <w:sz w:val="24"/>
          <w:szCs w:val="24"/>
          <w:rtl/>
        </w:rPr>
        <w:t>גם</w:t>
      </w:r>
      <w:r w:rsidR="00B9540D">
        <w:rPr>
          <w:rFonts w:ascii="David" w:hAnsi="David" w:cs="David" w:hint="cs"/>
          <w:sz w:val="24"/>
          <w:szCs w:val="24"/>
          <w:rtl/>
        </w:rPr>
        <w:t xml:space="preserve"> עמדה</w:t>
      </w:r>
      <w:r w:rsidR="009060A1" w:rsidRPr="009F2C07">
        <w:rPr>
          <w:rFonts w:ascii="David" w:hAnsi="David" w:cs="David" w:hint="cs"/>
          <w:sz w:val="24"/>
          <w:szCs w:val="24"/>
          <w:rtl/>
        </w:rPr>
        <w:t xml:space="preserve"> זאת ניתן </w:t>
      </w:r>
      <w:r w:rsidR="006F1CBE">
        <w:rPr>
          <w:rFonts w:ascii="David" w:hAnsi="David" w:cs="David" w:hint="cs"/>
          <w:sz w:val="24"/>
          <w:szCs w:val="24"/>
          <w:rtl/>
        </w:rPr>
        <w:t>לשקול לאמץ</w:t>
      </w:r>
      <w:r w:rsidR="007869EE">
        <w:rPr>
          <w:rFonts w:ascii="David" w:hAnsi="David" w:cs="David" w:hint="cs"/>
          <w:sz w:val="24"/>
          <w:szCs w:val="24"/>
          <w:rtl/>
        </w:rPr>
        <w:t xml:space="preserve"> בנסיבות המתאימות לכך</w:t>
      </w:r>
      <w:r w:rsidR="009060A1" w:rsidRPr="009F2C07">
        <w:rPr>
          <w:rFonts w:ascii="David" w:hAnsi="David" w:cs="David" w:hint="cs"/>
          <w:sz w:val="24"/>
          <w:szCs w:val="24"/>
          <w:rtl/>
        </w:rPr>
        <w:t xml:space="preserve">. </w:t>
      </w:r>
    </w:p>
    <w:p w14:paraId="1D9EA1F2" w14:textId="5780F449" w:rsidR="00E66E17" w:rsidRPr="009F2C07" w:rsidRDefault="00674B2D" w:rsidP="009060A1">
      <w:pPr>
        <w:pStyle w:val="a9"/>
        <w:numPr>
          <w:ilvl w:val="0"/>
          <w:numId w:val="1"/>
        </w:numPr>
        <w:spacing w:line="360" w:lineRule="auto"/>
        <w:ind w:left="90" w:hanging="425"/>
        <w:contextualSpacing w:val="0"/>
        <w:jc w:val="both"/>
        <w:rPr>
          <w:rFonts w:ascii="David" w:hAnsi="David" w:cs="David"/>
          <w:sz w:val="24"/>
          <w:szCs w:val="24"/>
        </w:rPr>
      </w:pPr>
      <w:r>
        <w:rPr>
          <w:rFonts w:ascii="David" w:hAnsi="David" w:cs="David" w:hint="cs"/>
          <w:sz w:val="24"/>
          <w:szCs w:val="24"/>
          <w:rtl/>
        </w:rPr>
        <w:t>מכל מקום,</w:t>
      </w:r>
      <w:r w:rsidR="009060A1" w:rsidRPr="009F2C07">
        <w:rPr>
          <w:rFonts w:ascii="David" w:hAnsi="David" w:cs="David" w:hint="cs"/>
          <w:sz w:val="24"/>
          <w:szCs w:val="24"/>
          <w:rtl/>
        </w:rPr>
        <w:t xml:space="preserve"> אין זה המצב בענייננו. </w:t>
      </w:r>
      <w:r w:rsidR="00E66E17" w:rsidRPr="009F2C07">
        <w:rPr>
          <w:rFonts w:ascii="David" w:hAnsi="David" w:cs="David" w:hint="cs"/>
          <w:sz w:val="24"/>
          <w:szCs w:val="24"/>
          <w:rtl/>
        </w:rPr>
        <w:t xml:space="preserve">ועל כן, </w:t>
      </w:r>
      <w:r w:rsidR="006E5CA9">
        <w:rPr>
          <w:rFonts w:ascii="David" w:hAnsi="David" w:cs="David" w:hint="cs"/>
          <w:sz w:val="24"/>
          <w:szCs w:val="24"/>
          <w:rtl/>
        </w:rPr>
        <w:t>אנו דוחים את טענות העוררות בסוגיה זו.</w:t>
      </w:r>
    </w:p>
    <w:p w14:paraId="6BBD40B1" w14:textId="77777777" w:rsidR="006E016C" w:rsidRPr="000946D0" w:rsidRDefault="006E016C" w:rsidP="000946D0">
      <w:pPr>
        <w:spacing w:line="360" w:lineRule="auto"/>
        <w:ind w:left="90" w:hanging="425"/>
        <w:rPr>
          <w:rFonts w:ascii="David" w:hAnsi="David" w:cs="David"/>
          <w:b/>
          <w:bCs/>
          <w:sz w:val="26"/>
          <w:szCs w:val="26"/>
          <w:u w:val="single"/>
        </w:rPr>
      </w:pPr>
      <w:r w:rsidRPr="000946D0">
        <w:rPr>
          <w:rFonts w:ascii="David" w:hAnsi="David" w:cs="David" w:hint="eastAsia"/>
          <w:b/>
          <w:bCs/>
          <w:sz w:val="26"/>
          <w:szCs w:val="26"/>
          <w:u w:val="single"/>
          <w:rtl/>
        </w:rPr>
        <w:t>עלות</w:t>
      </w:r>
      <w:r w:rsidRPr="000946D0">
        <w:rPr>
          <w:rFonts w:ascii="David" w:hAnsi="David" w:cs="David"/>
          <w:b/>
          <w:bCs/>
          <w:sz w:val="26"/>
          <w:szCs w:val="26"/>
          <w:u w:val="single"/>
          <w:rtl/>
        </w:rPr>
        <w:t xml:space="preserve"> </w:t>
      </w:r>
      <w:r w:rsidRPr="000946D0">
        <w:rPr>
          <w:rFonts w:ascii="David" w:hAnsi="David" w:cs="David" w:hint="eastAsia"/>
          <w:b/>
          <w:bCs/>
          <w:sz w:val="26"/>
          <w:szCs w:val="26"/>
          <w:u w:val="single"/>
          <w:rtl/>
        </w:rPr>
        <w:t>עודפת</w:t>
      </w:r>
      <w:r w:rsidRPr="000946D0">
        <w:rPr>
          <w:rFonts w:ascii="David" w:hAnsi="David" w:cs="David"/>
          <w:b/>
          <w:bCs/>
          <w:sz w:val="26"/>
          <w:szCs w:val="26"/>
          <w:u w:val="single"/>
          <w:rtl/>
        </w:rPr>
        <w:t xml:space="preserve"> </w:t>
      </w:r>
      <w:r w:rsidRPr="000946D0">
        <w:rPr>
          <w:rFonts w:ascii="David" w:hAnsi="David" w:cs="David" w:hint="eastAsia"/>
          <w:b/>
          <w:bCs/>
          <w:sz w:val="26"/>
          <w:szCs w:val="26"/>
          <w:u w:val="single"/>
          <w:rtl/>
        </w:rPr>
        <w:t>בהקמת</w:t>
      </w:r>
      <w:r w:rsidRPr="000946D0">
        <w:rPr>
          <w:rFonts w:ascii="David" w:hAnsi="David" w:cs="David"/>
          <w:b/>
          <w:bCs/>
          <w:sz w:val="26"/>
          <w:szCs w:val="26"/>
          <w:u w:val="single"/>
          <w:rtl/>
        </w:rPr>
        <w:t xml:space="preserve"> </w:t>
      </w:r>
      <w:r w:rsidRPr="000946D0">
        <w:rPr>
          <w:rFonts w:ascii="David" w:hAnsi="David" w:cs="David" w:hint="eastAsia"/>
          <w:b/>
          <w:bCs/>
          <w:sz w:val="26"/>
          <w:szCs w:val="26"/>
          <w:u w:val="single"/>
          <w:rtl/>
        </w:rPr>
        <w:t>השטחים</w:t>
      </w:r>
      <w:r w:rsidRPr="000946D0">
        <w:rPr>
          <w:rFonts w:ascii="David" w:hAnsi="David" w:cs="David"/>
          <w:b/>
          <w:bCs/>
          <w:sz w:val="26"/>
          <w:szCs w:val="26"/>
          <w:u w:val="single"/>
          <w:rtl/>
        </w:rPr>
        <w:t xml:space="preserve"> </w:t>
      </w:r>
      <w:r w:rsidRPr="000946D0">
        <w:rPr>
          <w:rFonts w:ascii="David" w:hAnsi="David" w:cs="David" w:hint="eastAsia"/>
          <w:b/>
          <w:bCs/>
          <w:sz w:val="26"/>
          <w:szCs w:val="26"/>
          <w:u w:val="single"/>
          <w:rtl/>
        </w:rPr>
        <w:t>התת</w:t>
      </w:r>
      <w:r w:rsidRPr="000946D0">
        <w:rPr>
          <w:rFonts w:ascii="David" w:hAnsi="David" w:cs="David"/>
          <w:b/>
          <w:bCs/>
          <w:sz w:val="26"/>
          <w:szCs w:val="26"/>
          <w:u w:val="single"/>
          <w:rtl/>
        </w:rPr>
        <w:t xml:space="preserve"> </w:t>
      </w:r>
      <w:r w:rsidRPr="000946D0">
        <w:rPr>
          <w:rFonts w:ascii="David" w:hAnsi="David" w:cs="David" w:hint="eastAsia"/>
          <w:b/>
          <w:bCs/>
          <w:sz w:val="26"/>
          <w:szCs w:val="26"/>
          <w:u w:val="single"/>
          <w:rtl/>
        </w:rPr>
        <w:t>קרקעיים</w:t>
      </w:r>
    </w:p>
    <w:p w14:paraId="5667C7C7" w14:textId="77777777" w:rsidR="003C6F61" w:rsidRDefault="00FB5E66" w:rsidP="000946D0">
      <w:pPr>
        <w:pStyle w:val="a9"/>
        <w:numPr>
          <w:ilvl w:val="0"/>
          <w:numId w:val="1"/>
        </w:numPr>
        <w:spacing w:line="360" w:lineRule="auto"/>
        <w:ind w:left="90" w:hanging="425"/>
        <w:contextualSpacing w:val="0"/>
        <w:rPr>
          <w:rFonts w:ascii="David" w:hAnsi="David" w:cs="David"/>
          <w:sz w:val="24"/>
          <w:szCs w:val="24"/>
        </w:rPr>
      </w:pPr>
      <w:r>
        <w:rPr>
          <w:rFonts w:ascii="David" w:hAnsi="David" w:cs="David"/>
          <w:noProof/>
          <w:sz w:val="24"/>
          <w:szCs w:val="24"/>
        </w:rPr>
        <w:drawing>
          <wp:anchor distT="0" distB="0" distL="114300" distR="114300" simplePos="0" relativeHeight="251665408" behindDoc="0" locked="0" layoutInCell="1" allowOverlap="1" wp14:anchorId="4C37F165" wp14:editId="19348A6F">
            <wp:simplePos x="0" y="0"/>
            <wp:positionH relativeFrom="margin">
              <wp:align>right</wp:align>
            </wp:positionH>
            <wp:positionV relativeFrom="paragraph">
              <wp:posOffset>383955</wp:posOffset>
            </wp:positionV>
            <wp:extent cx="5287010" cy="1420495"/>
            <wp:effectExtent l="0" t="0" r="8890" b="8255"/>
            <wp:wrapTopAndBottom/>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7010" cy="1420495"/>
                    </a:xfrm>
                    <a:prstGeom prst="rect">
                      <a:avLst/>
                    </a:prstGeom>
                    <a:noFill/>
                  </pic:spPr>
                </pic:pic>
              </a:graphicData>
            </a:graphic>
            <wp14:sizeRelH relativeFrom="page">
              <wp14:pctWidth>0</wp14:pctWidth>
            </wp14:sizeRelH>
            <wp14:sizeRelV relativeFrom="page">
              <wp14:pctHeight>0</wp14:pctHeight>
            </wp14:sizeRelV>
          </wp:anchor>
        </w:drawing>
      </w:r>
      <w:r w:rsidR="003C6F61">
        <w:rPr>
          <w:rFonts w:ascii="David" w:hAnsi="David" w:cs="David" w:hint="cs"/>
          <w:sz w:val="24"/>
          <w:szCs w:val="24"/>
          <w:rtl/>
        </w:rPr>
        <w:t xml:space="preserve">כך נקבע בשומה </w:t>
      </w:r>
      <w:r>
        <w:rPr>
          <w:rFonts w:ascii="David" w:hAnsi="David" w:cs="David" w:hint="cs"/>
          <w:sz w:val="24"/>
          <w:szCs w:val="24"/>
          <w:rtl/>
        </w:rPr>
        <w:t>המכרעת:</w:t>
      </w:r>
    </w:p>
    <w:p w14:paraId="2FF7439B" w14:textId="77777777" w:rsidR="005F0022" w:rsidRDefault="005F0022" w:rsidP="00C45D72">
      <w:pPr>
        <w:pStyle w:val="a9"/>
        <w:spacing w:line="360" w:lineRule="auto"/>
        <w:ind w:left="90"/>
        <w:contextualSpacing w:val="0"/>
        <w:jc w:val="both"/>
        <w:rPr>
          <w:rFonts w:ascii="David" w:hAnsi="David" w:cs="David"/>
          <w:sz w:val="24"/>
          <w:szCs w:val="24"/>
        </w:rPr>
      </w:pPr>
    </w:p>
    <w:p w14:paraId="6667F256" w14:textId="376EC7E4" w:rsidR="00F251AE" w:rsidRDefault="00F251AE" w:rsidP="000946D0">
      <w:pPr>
        <w:pStyle w:val="a9"/>
        <w:numPr>
          <w:ilvl w:val="0"/>
          <w:numId w:val="1"/>
        </w:numPr>
        <w:spacing w:line="360" w:lineRule="auto"/>
        <w:ind w:left="90" w:hanging="425"/>
        <w:contextualSpacing w:val="0"/>
        <w:jc w:val="both"/>
        <w:rPr>
          <w:rFonts w:ascii="David" w:hAnsi="David" w:cs="David"/>
          <w:sz w:val="24"/>
          <w:szCs w:val="24"/>
        </w:rPr>
      </w:pPr>
      <w:r>
        <w:rPr>
          <w:rFonts w:ascii="David" w:hAnsi="David" w:cs="David" w:hint="cs"/>
          <w:sz w:val="24"/>
          <w:szCs w:val="24"/>
          <w:rtl/>
        </w:rPr>
        <w:t xml:space="preserve">העוררות טוענות כי לאור קיומן של עלויות עודפות משמעותיות בהקמת השטחים התת קרקעיים תידרש בניה בשטח ברוטו של כ-50 מ"ר לכל מקום חניה. שמאי העוררות הפנה לעדכון תקן 413 </w:t>
      </w:r>
      <w:r>
        <w:rPr>
          <w:rFonts w:ascii="David" w:hAnsi="David" w:cs="David" w:hint="cs"/>
          <w:sz w:val="24"/>
          <w:szCs w:val="24"/>
          <w:rtl/>
        </w:rPr>
        <w:lastRenderedPageBreak/>
        <w:t>לפיו אלמנטים של ביסוס וחיזוק ורדו לתוך שטחי מרתפים כך שיגדל השטח הממוצע של כל מקום חניה (במיוחד באזורי בניה צפופה וגבוהה).</w:t>
      </w:r>
    </w:p>
    <w:p w14:paraId="3CC8AD4D" w14:textId="77777777" w:rsidR="00F251AE" w:rsidRDefault="00F251AE" w:rsidP="00153751">
      <w:pPr>
        <w:pStyle w:val="a9"/>
        <w:numPr>
          <w:ilvl w:val="0"/>
          <w:numId w:val="1"/>
        </w:numPr>
        <w:spacing w:line="360" w:lineRule="auto"/>
        <w:ind w:left="90" w:hanging="425"/>
        <w:contextualSpacing w:val="0"/>
        <w:jc w:val="both"/>
        <w:rPr>
          <w:rFonts w:ascii="David" w:hAnsi="David" w:cs="David"/>
          <w:sz w:val="24"/>
          <w:szCs w:val="24"/>
        </w:rPr>
      </w:pPr>
      <w:r>
        <w:rPr>
          <w:rFonts w:ascii="David" w:hAnsi="David" w:cs="David" w:hint="cs"/>
          <w:sz w:val="24"/>
          <w:szCs w:val="24"/>
          <w:rtl/>
        </w:rPr>
        <w:t>לעמדת שמאי העוררות, על אף שעדכון התקן פורסם ברשומות באוגוסט 2020 הרי שטיוטת התקן פורסמה לפני המועד הקובע וקונה סביר היה לוקח אותו בחשבון.</w:t>
      </w:r>
    </w:p>
    <w:p w14:paraId="79AD3790" w14:textId="77777777" w:rsidR="00F251AE" w:rsidRDefault="00F251AE" w:rsidP="000946D0">
      <w:pPr>
        <w:pStyle w:val="a9"/>
        <w:numPr>
          <w:ilvl w:val="0"/>
          <w:numId w:val="1"/>
        </w:numPr>
        <w:spacing w:line="360" w:lineRule="auto"/>
        <w:ind w:left="90" w:hanging="425"/>
        <w:contextualSpacing w:val="0"/>
        <w:jc w:val="both"/>
        <w:rPr>
          <w:rFonts w:ascii="David" w:hAnsi="David" w:cs="David"/>
          <w:sz w:val="24"/>
          <w:szCs w:val="24"/>
        </w:rPr>
      </w:pPr>
      <w:r>
        <w:rPr>
          <w:rFonts w:ascii="David" w:hAnsi="David" w:cs="David" w:hint="cs"/>
          <w:sz w:val="24"/>
          <w:szCs w:val="24"/>
          <w:rtl/>
        </w:rPr>
        <w:t xml:space="preserve">כמו כן טענו העוררות כי צורתו של מגרש 101 גורמת לבזבוז שטח תת קרקעי ולעלות עודפת בבניית מקומות חניה וכן במגרשים קיימות מגבלות בינוי בשל דרישה </w:t>
      </w:r>
      <w:r w:rsidR="003B4720">
        <w:rPr>
          <w:rFonts w:ascii="David" w:hAnsi="David" w:cs="David" w:hint="cs"/>
          <w:sz w:val="24"/>
          <w:szCs w:val="24"/>
          <w:rtl/>
        </w:rPr>
        <w:t>לאזורי</w:t>
      </w:r>
      <w:r>
        <w:rPr>
          <w:rFonts w:ascii="David" w:hAnsi="David" w:cs="David" w:hint="cs"/>
          <w:sz w:val="24"/>
          <w:szCs w:val="24"/>
          <w:rtl/>
        </w:rPr>
        <w:t xml:space="preserve"> חלחול אשר לעיתים מחייבים בינוי של קומת חניה נוספת. בנוסף, טוענות העוררות כי ריבוי חניות אופניים ואופנועים מוסיפים מורכבות ומייקרים את עלויות הבניה.</w:t>
      </w:r>
    </w:p>
    <w:p w14:paraId="0539924B" w14:textId="77777777" w:rsidR="00F251AE" w:rsidRDefault="00F251AE" w:rsidP="000946D0">
      <w:pPr>
        <w:pStyle w:val="a9"/>
        <w:numPr>
          <w:ilvl w:val="0"/>
          <w:numId w:val="1"/>
        </w:numPr>
        <w:spacing w:line="360" w:lineRule="auto"/>
        <w:ind w:left="90" w:hanging="425"/>
        <w:contextualSpacing w:val="0"/>
        <w:jc w:val="both"/>
        <w:rPr>
          <w:rFonts w:ascii="David" w:hAnsi="David" w:cs="David"/>
          <w:sz w:val="24"/>
          <w:szCs w:val="24"/>
        </w:rPr>
      </w:pPr>
      <w:r>
        <w:rPr>
          <w:rFonts w:ascii="David" w:hAnsi="David" w:cs="David" w:hint="cs"/>
          <w:sz w:val="24"/>
          <w:szCs w:val="24"/>
          <w:rtl/>
        </w:rPr>
        <w:t>לעמדת העוררות, אופן חישוב שטח ממוצע לחניה כפי שבוצע על ידי השמאי המכריע אינו לוקח בחשבון עלות עודפת של כ-14 מ"ר נוספים לכל מקום חניה שנדרשים, כפי שהוכח ע"י שמאי העוררות.</w:t>
      </w:r>
      <w:r w:rsidR="00AB0A37">
        <w:rPr>
          <w:rFonts w:ascii="David" w:hAnsi="David" w:cs="David" w:hint="cs"/>
          <w:sz w:val="24"/>
          <w:szCs w:val="24"/>
          <w:rtl/>
        </w:rPr>
        <w:t xml:space="preserve"> כך מפנה העוררת גם ל"תכנונים ראשוניים של הבנייה", אשר לשיטתה מחזקים את עמדתה.</w:t>
      </w:r>
    </w:p>
    <w:p w14:paraId="0CADE7D8" w14:textId="4C015C4D" w:rsidR="005A11CB" w:rsidRDefault="005A11CB" w:rsidP="000946D0">
      <w:pPr>
        <w:pStyle w:val="a9"/>
        <w:numPr>
          <w:ilvl w:val="0"/>
          <w:numId w:val="1"/>
        </w:numPr>
        <w:spacing w:line="360" w:lineRule="auto"/>
        <w:ind w:left="90" w:hanging="425"/>
        <w:contextualSpacing w:val="0"/>
        <w:jc w:val="both"/>
        <w:rPr>
          <w:rFonts w:ascii="David" w:hAnsi="David" w:cs="David"/>
          <w:sz w:val="24"/>
          <w:szCs w:val="24"/>
        </w:rPr>
      </w:pPr>
      <w:r>
        <w:rPr>
          <w:rFonts w:ascii="David" w:hAnsi="David" w:cs="David" w:hint="cs"/>
          <w:sz w:val="24"/>
          <w:szCs w:val="24"/>
          <w:rtl/>
        </w:rPr>
        <w:t xml:space="preserve">הוועדה המקומית טוענת כי אופן קביעת שטח חניה ציבורית ממוצע הינו בשיקול דעתו המקצועי </w:t>
      </w:r>
      <w:r w:rsidR="005F0022">
        <w:rPr>
          <w:rFonts w:ascii="David" w:hAnsi="David" w:cs="David" w:hint="cs"/>
          <w:sz w:val="24"/>
          <w:szCs w:val="24"/>
          <w:rtl/>
        </w:rPr>
        <w:t xml:space="preserve">של </w:t>
      </w:r>
      <w:r>
        <w:rPr>
          <w:rFonts w:ascii="David" w:hAnsi="David" w:cs="David" w:hint="cs"/>
          <w:sz w:val="24"/>
          <w:szCs w:val="24"/>
          <w:rtl/>
        </w:rPr>
        <w:t>השמאי המכריע ולא נפל בה כל דופי.</w:t>
      </w:r>
    </w:p>
    <w:p w14:paraId="06A3FD79" w14:textId="2C7BC65F" w:rsidR="006E016C" w:rsidRDefault="00590087" w:rsidP="000946D0">
      <w:pPr>
        <w:pStyle w:val="a9"/>
        <w:numPr>
          <w:ilvl w:val="0"/>
          <w:numId w:val="1"/>
        </w:numPr>
        <w:spacing w:line="360" w:lineRule="auto"/>
        <w:ind w:left="90" w:hanging="425"/>
        <w:contextualSpacing w:val="0"/>
        <w:jc w:val="both"/>
        <w:rPr>
          <w:rFonts w:ascii="David" w:hAnsi="David" w:cs="David"/>
          <w:sz w:val="24"/>
          <w:szCs w:val="24"/>
        </w:rPr>
      </w:pPr>
      <w:r>
        <w:rPr>
          <w:rFonts w:ascii="David" w:hAnsi="David" w:cs="David" w:hint="cs"/>
          <w:sz w:val="24"/>
          <w:szCs w:val="24"/>
          <w:rtl/>
        </w:rPr>
        <w:t>הוועדה המקומית טוענת כי מנספח התנועה המהווה חלק ממסמכי תכנית 4321 עולה כי שטח חניה ממוצע מקסימלי הינו 32-36 מ"ר (למעט מגרש 101) ושמאית הוועדה המקומית לקחה בחשבון שטח של 35 מ"ר ברוטו למקום חניה. השמאי המכריע הגיע למסקנה כי שטח החניה</w:t>
      </w:r>
      <w:r w:rsidR="008F56D6">
        <w:rPr>
          <w:rFonts w:ascii="David" w:hAnsi="David" w:cs="David" w:hint="cs"/>
          <w:sz w:val="24"/>
          <w:szCs w:val="24"/>
          <w:rtl/>
        </w:rPr>
        <w:t xml:space="preserve"> הממוצע</w:t>
      </w:r>
      <w:r>
        <w:rPr>
          <w:rFonts w:ascii="David" w:hAnsi="David" w:cs="David" w:hint="cs"/>
          <w:sz w:val="24"/>
          <w:szCs w:val="24"/>
          <w:rtl/>
        </w:rPr>
        <w:t xml:space="preserve"> שיש להביא בחשבון </w:t>
      </w:r>
      <w:r w:rsidR="008F56D6">
        <w:rPr>
          <w:rFonts w:ascii="David" w:hAnsi="David" w:cs="David" w:hint="cs"/>
          <w:sz w:val="24"/>
          <w:szCs w:val="24"/>
          <w:rtl/>
        </w:rPr>
        <w:t>הוא</w:t>
      </w:r>
      <w:r>
        <w:rPr>
          <w:rFonts w:ascii="David" w:hAnsi="David" w:cs="David" w:hint="cs"/>
          <w:sz w:val="24"/>
          <w:szCs w:val="24"/>
          <w:rtl/>
        </w:rPr>
        <w:t xml:space="preserve"> 36.5 מ"ר ברוטו.</w:t>
      </w:r>
    </w:p>
    <w:p w14:paraId="5C3FC0AE" w14:textId="6FEA117E" w:rsidR="00590087" w:rsidRDefault="00ED4579" w:rsidP="000946D0">
      <w:pPr>
        <w:pStyle w:val="a9"/>
        <w:numPr>
          <w:ilvl w:val="0"/>
          <w:numId w:val="1"/>
        </w:numPr>
        <w:spacing w:line="360" w:lineRule="auto"/>
        <w:ind w:left="90" w:hanging="425"/>
        <w:contextualSpacing w:val="0"/>
        <w:jc w:val="both"/>
        <w:rPr>
          <w:rFonts w:ascii="David" w:hAnsi="David" w:cs="David"/>
          <w:sz w:val="24"/>
          <w:szCs w:val="24"/>
        </w:rPr>
      </w:pPr>
      <w:r>
        <w:rPr>
          <w:rFonts w:ascii="David" w:hAnsi="David" w:cs="David" w:hint="cs"/>
          <w:sz w:val="24"/>
          <w:szCs w:val="24"/>
          <w:rtl/>
        </w:rPr>
        <w:t xml:space="preserve">כן טוענת </w:t>
      </w:r>
      <w:r w:rsidR="00590087">
        <w:rPr>
          <w:rFonts w:ascii="David" w:hAnsi="David" w:cs="David" w:hint="cs"/>
          <w:sz w:val="24"/>
          <w:szCs w:val="24"/>
          <w:rtl/>
        </w:rPr>
        <w:t>הוועדה המקומית כי בהתאם לסעיף 7(4) לתוספת השלישית השומה צריכה לה</w:t>
      </w:r>
      <w:r w:rsidR="008F56D6">
        <w:rPr>
          <w:rFonts w:ascii="David" w:hAnsi="David" w:cs="David" w:hint="cs"/>
          <w:sz w:val="24"/>
          <w:szCs w:val="24"/>
          <w:rtl/>
        </w:rPr>
        <w:t>י</w:t>
      </w:r>
      <w:r w:rsidR="00590087">
        <w:rPr>
          <w:rFonts w:ascii="David" w:hAnsi="David" w:cs="David" w:hint="cs"/>
          <w:sz w:val="24"/>
          <w:szCs w:val="24"/>
          <w:rtl/>
        </w:rPr>
        <w:t>ערך ליום תחילת התכנית ומשכך אין מקום להתייחס לעדכון תקן 413 אשר פורסם לאחר אישור התכנית.</w:t>
      </w:r>
    </w:p>
    <w:p w14:paraId="14CFB61F" w14:textId="3478FF54" w:rsidR="00590087" w:rsidRDefault="005E48C1">
      <w:pPr>
        <w:pStyle w:val="a9"/>
        <w:numPr>
          <w:ilvl w:val="0"/>
          <w:numId w:val="1"/>
        </w:numPr>
        <w:spacing w:line="360" w:lineRule="auto"/>
        <w:ind w:left="90" w:hanging="425"/>
        <w:contextualSpacing w:val="0"/>
        <w:jc w:val="both"/>
        <w:rPr>
          <w:rFonts w:ascii="David" w:hAnsi="David" w:cs="David"/>
          <w:sz w:val="24"/>
          <w:szCs w:val="24"/>
        </w:rPr>
      </w:pPr>
      <w:r>
        <w:rPr>
          <w:rFonts w:ascii="David" w:hAnsi="David" w:cs="David" w:hint="cs"/>
          <w:sz w:val="24"/>
          <w:szCs w:val="24"/>
          <w:rtl/>
        </w:rPr>
        <w:t>באשר למ</w:t>
      </w:r>
      <w:r w:rsidR="005A11CB">
        <w:rPr>
          <w:rFonts w:ascii="David" w:hAnsi="David" w:cs="David" w:hint="cs"/>
          <w:sz w:val="24"/>
          <w:szCs w:val="24"/>
          <w:rtl/>
        </w:rPr>
        <w:t>ס</w:t>
      </w:r>
      <w:r>
        <w:rPr>
          <w:rFonts w:ascii="David" w:hAnsi="David" w:cs="David" w:hint="cs"/>
          <w:sz w:val="24"/>
          <w:szCs w:val="24"/>
          <w:rtl/>
        </w:rPr>
        <w:t>מך שצרפו העוררות טוענת הוועדה המקומית כי מסמך זה לא הוצג בפני השמאי המכריע ו</w:t>
      </w:r>
      <w:r w:rsidR="00E5172C">
        <w:rPr>
          <w:rFonts w:ascii="David" w:hAnsi="David" w:cs="David" w:hint="cs"/>
          <w:sz w:val="24"/>
          <w:szCs w:val="24"/>
          <w:rtl/>
        </w:rPr>
        <w:t>ל</w:t>
      </w:r>
      <w:r>
        <w:rPr>
          <w:rFonts w:ascii="David" w:hAnsi="David" w:cs="David" w:hint="cs"/>
          <w:sz w:val="24"/>
          <w:szCs w:val="24"/>
          <w:rtl/>
        </w:rPr>
        <w:t>פיכך מדובר בהרחבת חזית ודי</w:t>
      </w:r>
      <w:r w:rsidR="005A11CB">
        <w:rPr>
          <w:rFonts w:ascii="David" w:hAnsi="David" w:cs="David" w:hint="cs"/>
          <w:sz w:val="24"/>
          <w:szCs w:val="24"/>
          <w:rtl/>
        </w:rPr>
        <w:t>ן</w:t>
      </w:r>
      <w:r>
        <w:rPr>
          <w:rFonts w:ascii="David" w:hAnsi="David" w:cs="David" w:hint="cs"/>
          <w:sz w:val="24"/>
          <w:szCs w:val="24"/>
          <w:rtl/>
        </w:rPr>
        <w:t xml:space="preserve"> טענה זו לה</w:t>
      </w:r>
      <w:r w:rsidR="008F56D6">
        <w:rPr>
          <w:rFonts w:ascii="David" w:hAnsi="David" w:cs="David" w:hint="cs"/>
          <w:sz w:val="24"/>
          <w:szCs w:val="24"/>
          <w:rtl/>
        </w:rPr>
        <w:t>י</w:t>
      </w:r>
      <w:r>
        <w:rPr>
          <w:rFonts w:ascii="David" w:hAnsi="David" w:cs="David" w:hint="cs"/>
          <w:sz w:val="24"/>
          <w:szCs w:val="24"/>
          <w:rtl/>
        </w:rPr>
        <w:t>דחות.</w:t>
      </w:r>
    </w:p>
    <w:p w14:paraId="7F8A6DBE" w14:textId="77777777" w:rsidR="00AA17CE" w:rsidRDefault="00AA17CE" w:rsidP="00A524B1">
      <w:pPr>
        <w:pStyle w:val="a9"/>
        <w:spacing w:line="360" w:lineRule="auto"/>
        <w:ind w:left="90"/>
        <w:contextualSpacing w:val="0"/>
        <w:jc w:val="both"/>
        <w:rPr>
          <w:rFonts w:ascii="David" w:hAnsi="David" w:cs="David"/>
          <w:sz w:val="24"/>
          <w:szCs w:val="24"/>
        </w:rPr>
      </w:pPr>
    </w:p>
    <w:p w14:paraId="7CA111D9" w14:textId="77777777" w:rsidR="002914EC" w:rsidRPr="002914EC" w:rsidRDefault="002914EC" w:rsidP="00A524B1">
      <w:pPr>
        <w:spacing w:line="360" w:lineRule="auto"/>
        <w:ind w:left="90" w:hanging="425"/>
        <w:rPr>
          <w:rFonts w:ascii="David" w:hAnsi="David" w:cs="David"/>
          <w:b/>
          <w:bCs/>
          <w:sz w:val="24"/>
          <w:szCs w:val="24"/>
          <w:u w:val="single"/>
        </w:rPr>
      </w:pPr>
      <w:r w:rsidRPr="002914EC">
        <w:rPr>
          <w:rFonts w:ascii="David" w:hAnsi="David" w:cs="David" w:hint="cs"/>
          <w:b/>
          <w:bCs/>
          <w:sz w:val="24"/>
          <w:szCs w:val="24"/>
          <w:u w:val="single"/>
          <w:rtl/>
        </w:rPr>
        <w:t>דיון</w:t>
      </w:r>
      <w:r w:rsidR="00AA17CE">
        <w:rPr>
          <w:rFonts w:ascii="David" w:hAnsi="David" w:cs="David" w:hint="cs"/>
          <w:b/>
          <w:bCs/>
          <w:sz w:val="24"/>
          <w:szCs w:val="24"/>
          <w:u w:val="single"/>
          <w:rtl/>
        </w:rPr>
        <w:t xml:space="preserve"> והכרעה</w:t>
      </w:r>
    </w:p>
    <w:p w14:paraId="4A36AD8A" w14:textId="77777777" w:rsidR="002914EC" w:rsidRDefault="00C41560" w:rsidP="00A524B1">
      <w:pPr>
        <w:pStyle w:val="a9"/>
        <w:numPr>
          <w:ilvl w:val="0"/>
          <w:numId w:val="1"/>
        </w:numPr>
        <w:spacing w:line="360" w:lineRule="auto"/>
        <w:ind w:left="90" w:hanging="425"/>
        <w:contextualSpacing w:val="0"/>
        <w:jc w:val="both"/>
        <w:rPr>
          <w:rFonts w:ascii="David" w:hAnsi="David" w:cs="David"/>
          <w:sz w:val="24"/>
          <w:szCs w:val="24"/>
        </w:rPr>
      </w:pPr>
      <w:r>
        <w:rPr>
          <w:rFonts w:ascii="David" w:hAnsi="David" w:cs="David" w:hint="cs"/>
          <w:sz w:val="24"/>
          <w:szCs w:val="24"/>
          <w:rtl/>
        </w:rPr>
        <w:t>ביחס לסוגיית השטחים התת קרקעיים אנו דוחים את עמדת העוררות.</w:t>
      </w:r>
    </w:p>
    <w:p w14:paraId="2EAC5CC7" w14:textId="683482F3" w:rsidR="009D7FE8" w:rsidRDefault="009D7FE8" w:rsidP="00A524B1">
      <w:pPr>
        <w:pStyle w:val="a9"/>
        <w:numPr>
          <w:ilvl w:val="0"/>
          <w:numId w:val="1"/>
        </w:numPr>
        <w:spacing w:line="360" w:lineRule="auto"/>
        <w:ind w:left="90" w:hanging="425"/>
        <w:contextualSpacing w:val="0"/>
        <w:jc w:val="both"/>
        <w:rPr>
          <w:rFonts w:ascii="David" w:hAnsi="David" w:cs="David"/>
          <w:sz w:val="24"/>
          <w:szCs w:val="24"/>
        </w:rPr>
      </w:pPr>
      <w:r>
        <w:rPr>
          <w:rFonts w:ascii="David" w:hAnsi="David" w:cs="David" w:hint="cs"/>
          <w:sz w:val="24"/>
          <w:szCs w:val="24"/>
          <w:rtl/>
        </w:rPr>
        <w:t>אנו סבורים כי אין מקום להתערב בשיקול דעתו של השמאי המכריע. השמאי המכריע הכריע בין גישות הצדדים תוך בחינת טענותיהם. בהתאם להלכת גלר</w:t>
      </w:r>
      <w:r w:rsidR="00FB1C99">
        <w:rPr>
          <w:rFonts w:ascii="David" w:hAnsi="David" w:cs="David" w:hint="cs"/>
          <w:sz w:val="24"/>
          <w:szCs w:val="24"/>
          <w:rtl/>
        </w:rPr>
        <w:t>,</w:t>
      </w:r>
      <w:r>
        <w:rPr>
          <w:rFonts w:ascii="David" w:hAnsi="David" w:cs="David" w:hint="cs"/>
          <w:sz w:val="24"/>
          <w:szCs w:val="24"/>
          <w:rtl/>
        </w:rPr>
        <w:t xml:space="preserve"> גם אם קיימות גישות שונות וחלופות שונות, הרי שאין להתערב בקביעה שמאית כל עוד לא נפל בה דופי חמור.</w:t>
      </w:r>
    </w:p>
    <w:p w14:paraId="25700960" w14:textId="75DE4775" w:rsidR="00BD4655" w:rsidRDefault="00A541C4" w:rsidP="00A524B1">
      <w:pPr>
        <w:pStyle w:val="a9"/>
        <w:numPr>
          <w:ilvl w:val="0"/>
          <w:numId w:val="1"/>
        </w:numPr>
        <w:spacing w:line="360" w:lineRule="auto"/>
        <w:ind w:left="90" w:hanging="425"/>
        <w:contextualSpacing w:val="0"/>
        <w:jc w:val="both"/>
        <w:rPr>
          <w:rFonts w:ascii="David" w:hAnsi="David" w:cs="David"/>
          <w:sz w:val="24"/>
          <w:szCs w:val="24"/>
        </w:rPr>
      </w:pPr>
      <w:r>
        <w:rPr>
          <w:rFonts w:ascii="David" w:hAnsi="David" w:cs="David" w:hint="cs"/>
          <w:sz w:val="24"/>
          <w:szCs w:val="24"/>
          <w:rtl/>
        </w:rPr>
        <w:t>יש לדחות את הטענה לפיה במועד הקובע כבר היה ידוע על עדכון התקן. אכן, לא מן הנמנע כי העדכון האמור היה ידוע לעוסקים במלאכה</w:t>
      </w:r>
      <w:r w:rsidR="00F22D6F">
        <w:rPr>
          <w:rFonts w:ascii="David" w:hAnsi="David" w:cs="David" w:hint="cs"/>
          <w:sz w:val="24"/>
          <w:szCs w:val="24"/>
          <w:rtl/>
        </w:rPr>
        <w:t xml:space="preserve"> וליודעי דבר</w:t>
      </w:r>
      <w:r>
        <w:rPr>
          <w:rFonts w:ascii="David" w:hAnsi="David" w:cs="David" w:hint="cs"/>
          <w:sz w:val="24"/>
          <w:szCs w:val="24"/>
          <w:rtl/>
        </w:rPr>
        <w:t xml:space="preserve"> עוד טרם פרסומו ברשומות. אך בנסיבות העניין לא הוכיחו </w:t>
      </w:r>
      <w:r w:rsidR="00FB1C99">
        <w:rPr>
          <w:rFonts w:ascii="David" w:hAnsi="David" w:cs="David" w:hint="cs"/>
          <w:sz w:val="24"/>
          <w:szCs w:val="24"/>
          <w:rtl/>
        </w:rPr>
        <w:t xml:space="preserve">העוררות </w:t>
      </w:r>
      <w:r>
        <w:rPr>
          <w:rFonts w:ascii="David" w:hAnsi="David" w:cs="David" w:hint="cs"/>
          <w:sz w:val="24"/>
          <w:szCs w:val="24"/>
          <w:rtl/>
        </w:rPr>
        <w:t xml:space="preserve">על בסיס נתונים מפורטים ודוגמאות מעולם המעשה, </w:t>
      </w:r>
      <w:r w:rsidR="008F56D6">
        <w:rPr>
          <w:rFonts w:ascii="David" w:hAnsi="David" w:cs="David" w:hint="cs"/>
          <w:sz w:val="24"/>
          <w:szCs w:val="24"/>
          <w:rtl/>
        </w:rPr>
        <w:t xml:space="preserve">כיצד השפיע </w:t>
      </w:r>
      <w:r>
        <w:rPr>
          <w:rFonts w:ascii="David" w:hAnsi="David" w:cs="David" w:hint="cs"/>
          <w:sz w:val="24"/>
          <w:szCs w:val="24"/>
          <w:rtl/>
        </w:rPr>
        <w:t xml:space="preserve">העדכון האמור על שווי השוק. ועל כן, לא מצאנו מקום </w:t>
      </w:r>
      <w:r w:rsidR="00FB1C99">
        <w:rPr>
          <w:rFonts w:ascii="David" w:hAnsi="David" w:cs="David" w:hint="cs"/>
          <w:sz w:val="24"/>
          <w:szCs w:val="24"/>
          <w:rtl/>
        </w:rPr>
        <w:t>להתערב ב</w:t>
      </w:r>
      <w:r w:rsidR="0079475C">
        <w:rPr>
          <w:rFonts w:ascii="David" w:hAnsi="David" w:cs="David" w:hint="cs"/>
          <w:sz w:val="24"/>
          <w:szCs w:val="24"/>
          <w:rtl/>
        </w:rPr>
        <w:t xml:space="preserve">שקול דעתו של השמאי המכריע </w:t>
      </w:r>
      <w:r>
        <w:rPr>
          <w:rFonts w:ascii="David" w:hAnsi="David" w:cs="David" w:hint="cs"/>
          <w:sz w:val="24"/>
          <w:szCs w:val="24"/>
          <w:rtl/>
        </w:rPr>
        <w:t xml:space="preserve"> </w:t>
      </w:r>
      <w:r w:rsidR="00920E50">
        <w:rPr>
          <w:rFonts w:ascii="David" w:hAnsi="David" w:cs="David" w:hint="cs"/>
          <w:sz w:val="24"/>
          <w:szCs w:val="24"/>
          <w:rtl/>
        </w:rPr>
        <w:t xml:space="preserve">שאף אם ניתן היה לסבור </w:t>
      </w:r>
      <w:r w:rsidR="0079475C">
        <w:rPr>
          <w:rFonts w:ascii="David" w:hAnsi="David" w:cs="David" w:hint="cs"/>
          <w:sz w:val="24"/>
          <w:szCs w:val="24"/>
          <w:rtl/>
        </w:rPr>
        <w:t>או להוכיח אחרת</w:t>
      </w:r>
      <w:r w:rsidR="00920E50">
        <w:rPr>
          <w:rFonts w:ascii="David" w:hAnsi="David" w:cs="David" w:hint="cs"/>
          <w:sz w:val="24"/>
          <w:szCs w:val="24"/>
          <w:rtl/>
        </w:rPr>
        <w:t>,</w:t>
      </w:r>
      <w:r>
        <w:rPr>
          <w:rFonts w:ascii="David" w:hAnsi="David" w:cs="David" w:hint="cs"/>
          <w:sz w:val="24"/>
          <w:szCs w:val="24"/>
          <w:rtl/>
        </w:rPr>
        <w:t xml:space="preserve"> הרי שאין מקום להתערב</w:t>
      </w:r>
      <w:r w:rsidR="00733DB1">
        <w:rPr>
          <w:rFonts w:ascii="David" w:hAnsi="David" w:cs="David" w:hint="cs"/>
          <w:sz w:val="24"/>
          <w:szCs w:val="24"/>
          <w:rtl/>
        </w:rPr>
        <w:t xml:space="preserve">ות שעה שמדובר בקביעה </w:t>
      </w:r>
      <w:r w:rsidR="002B5234">
        <w:rPr>
          <w:rFonts w:ascii="David" w:hAnsi="David" w:cs="David" w:hint="cs"/>
          <w:sz w:val="24"/>
          <w:szCs w:val="24"/>
          <w:rtl/>
        </w:rPr>
        <w:t>שלא הוכח כי נפל בה דופי חמור</w:t>
      </w:r>
      <w:r w:rsidR="00733DB1">
        <w:rPr>
          <w:rFonts w:ascii="David" w:hAnsi="David" w:cs="David" w:hint="cs"/>
          <w:sz w:val="24"/>
          <w:szCs w:val="24"/>
          <w:rtl/>
        </w:rPr>
        <w:t>.</w:t>
      </w:r>
      <w:r>
        <w:rPr>
          <w:rFonts w:ascii="David" w:hAnsi="David" w:cs="David" w:hint="cs"/>
          <w:sz w:val="24"/>
          <w:szCs w:val="24"/>
          <w:rtl/>
        </w:rPr>
        <w:t xml:space="preserve"> </w:t>
      </w:r>
      <w:r w:rsidR="00AF3C3A">
        <w:rPr>
          <w:rFonts w:ascii="David" w:hAnsi="David" w:cs="David" w:hint="cs"/>
          <w:sz w:val="24"/>
          <w:szCs w:val="24"/>
          <w:rtl/>
        </w:rPr>
        <w:t xml:space="preserve">ראו </w:t>
      </w:r>
      <w:r w:rsidR="00D26072">
        <w:rPr>
          <w:rFonts w:ascii="David" w:hAnsi="David" w:cs="David" w:hint="cs"/>
          <w:sz w:val="24"/>
          <w:szCs w:val="24"/>
          <w:rtl/>
        </w:rPr>
        <w:t>פסקי הדין</w:t>
      </w:r>
      <w:r w:rsidR="00AF3C3A">
        <w:rPr>
          <w:rFonts w:ascii="David" w:hAnsi="David" w:cs="David" w:hint="cs"/>
          <w:sz w:val="24"/>
          <w:szCs w:val="24"/>
          <w:rtl/>
        </w:rPr>
        <w:t xml:space="preserve"> לעיל בעניין ההתערבות בשיקול הדעת השמאי.</w:t>
      </w:r>
    </w:p>
    <w:p w14:paraId="4BD71D1C" w14:textId="441B2788" w:rsidR="00A541C4" w:rsidRDefault="00224821" w:rsidP="00A524B1">
      <w:pPr>
        <w:pStyle w:val="a9"/>
        <w:numPr>
          <w:ilvl w:val="0"/>
          <w:numId w:val="1"/>
        </w:numPr>
        <w:spacing w:line="360" w:lineRule="auto"/>
        <w:ind w:left="90" w:hanging="425"/>
        <w:contextualSpacing w:val="0"/>
        <w:jc w:val="both"/>
        <w:rPr>
          <w:rFonts w:ascii="David" w:hAnsi="David" w:cs="David"/>
          <w:sz w:val="24"/>
          <w:szCs w:val="24"/>
        </w:rPr>
      </w:pPr>
      <w:r w:rsidRPr="00224821">
        <w:rPr>
          <w:rFonts w:ascii="David" w:hAnsi="David" w:cs="David" w:hint="cs"/>
          <w:sz w:val="24"/>
          <w:szCs w:val="24"/>
          <w:rtl/>
        </w:rPr>
        <w:lastRenderedPageBreak/>
        <w:t xml:space="preserve">למעלה מן הצורך, </w:t>
      </w:r>
      <w:r w:rsidR="00A541C4">
        <w:rPr>
          <w:rFonts w:ascii="David" w:hAnsi="David" w:cs="David" w:hint="cs"/>
          <w:sz w:val="24"/>
          <w:szCs w:val="24"/>
          <w:rtl/>
        </w:rPr>
        <w:t>נציין</w:t>
      </w:r>
      <w:r w:rsidR="00BD4655">
        <w:rPr>
          <w:rFonts w:ascii="David" w:hAnsi="David" w:cs="David" w:hint="cs"/>
          <w:sz w:val="24"/>
          <w:szCs w:val="24"/>
          <w:rtl/>
        </w:rPr>
        <w:t xml:space="preserve"> גם</w:t>
      </w:r>
      <w:r w:rsidR="00A541C4">
        <w:rPr>
          <w:rFonts w:ascii="David" w:hAnsi="David" w:cs="David" w:hint="cs"/>
          <w:sz w:val="24"/>
          <w:szCs w:val="24"/>
          <w:rtl/>
        </w:rPr>
        <w:t xml:space="preserve"> כי בהעדר נתונים</w:t>
      </w:r>
      <w:r w:rsidR="00FB1C99">
        <w:rPr>
          <w:rFonts w:ascii="David" w:hAnsi="David" w:cs="David" w:hint="cs"/>
          <w:sz w:val="24"/>
          <w:szCs w:val="24"/>
          <w:rtl/>
        </w:rPr>
        <w:t>,</w:t>
      </w:r>
      <w:r w:rsidR="00A541C4">
        <w:rPr>
          <w:rFonts w:ascii="David" w:hAnsi="David" w:cs="David" w:hint="cs"/>
          <w:sz w:val="24"/>
          <w:szCs w:val="24"/>
          <w:rtl/>
        </w:rPr>
        <w:t xml:space="preserve"> וכאמור אלו לא הוצגו על ידי </w:t>
      </w:r>
      <w:r w:rsidR="00FB1C99">
        <w:rPr>
          <w:rFonts w:ascii="David" w:hAnsi="David" w:cs="David" w:hint="cs"/>
          <w:sz w:val="24"/>
          <w:szCs w:val="24"/>
          <w:rtl/>
        </w:rPr>
        <w:t>העוררות</w:t>
      </w:r>
      <w:r w:rsidR="00A541C4">
        <w:rPr>
          <w:rFonts w:ascii="David" w:hAnsi="David" w:cs="David" w:hint="cs"/>
          <w:sz w:val="24"/>
          <w:szCs w:val="24"/>
          <w:rtl/>
        </w:rPr>
        <w:t xml:space="preserve">, הרי שגם ברמה השמאית הפרקטית </w:t>
      </w:r>
      <w:r w:rsidR="002074E7">
        <w:rPr>
          <w:rFonts w:ascii="David" w:hAnsi="David" w:cs="David" w:hint="cs"/>
          <w:sz w:val="24"/>
          <w:szCs w:val="24"/>
          <w:rtl/>
        </w:rPr>
        <w:t>יש קושי</w:t>
      </w:r>
      <w:r w:rsidR="00A541C4">
        <w:rPr>
          <w:rFonts w:ascii="David" w:hAnsi="David" w:cs="David" w:hint="cs"/>
          <w:sz w:val="24"/>
          <w:szCs w:val="24"/>
          <w:rtl/>
        </w:rPr>
        <w:t xml:space="preserve"> להתייחס ל</w:t>
      </w:r>
      <w:r w:rsidR="00BD4655">
        <w:rPr>
          <w:rFonts w:ascii="David" w:hAnsi="David" w:cs="David" w:hint="cs"/>
          <w:sz w:val="24"/>
          <w:szCs w:val="24"/>
          <w:rtl/>
        </w:rPr>
        <w:t xml:space="preserve">טענות אלו. </w:t>
      </w:r>
      <w:r w:rsidR="00214511">
        <w:rPr>
          <w:rFonts w:ascii="David" w:hAnsi="David" w:cs="David" w:hint="cs"/>
          <w:sz w:val="24"/>
          <w:szCs w:val="24"/>
          <w:rtl/>
        </w:rPr>
        <w:t>נסביר</w:t>
      </w:r>
      <w:r w:rsidR="00BD4655">
        <w:rPr>
          <w:rFonts w:ascii="David" w:hAnsi="David" w:cs="David" w:hint="cs"/>
          <w:sz w:val="24"/>
          <w:szCs w:val="24"/>
          <w:rtl/>
        </w:rPr>
        <w:t>: לשם ההמחשה נאמר שאכן התקן היה ידוע למומחים בתחום</w:t>
      </w:r>
      <w:r w:rsidR="00C46EC9">
        <w:rPr>
          <w:rFonts w:ascii="David" w:hAnsi="David" w:cs="David" w:hint="cs"/>
          <w:sz w:val="24"/>
          <w:szCs w:val="24"/>
          <w:rtl/>
        </w:rPr>
        <w:t xml:space="preserve"> עוד טרם פרסומו</w:t>
      </w:r>
      <w:r w:rsidR="00BD4655">
        <w:rPr>
          <w:rFonts w:ascii="David" w:hAnsi="David" w:cs="David" w:hint="cs"/>
          <w:sz w:val="24"/>
          <w:szCs w:val="24"/>
          <w:rtl/>
        </w:rPr>
        <w:t xml:space="preserve">, הרי שהשפעתו על השווי לא ידועה. </w:t>
      </w:r>
      <w:r w:rsidR="00713ED7">
        <w:rPr>
          <w:rFonts w:ascii="David" w:hAnsi="David" w:cs="David" w:hint="cs"/>
          <w:sz w:val="24"/>
          <w:szCs w:val="24"/>
          <w:rtl/>
        </w:rPr>
        <w:t>ונסביר: התקן החדש קובע כללים הנדסיים לחיזוק ולביסוס בניינים. לא קיימת עדיין ודאות באשר לשאלה בכמה ישתנה השטח הממוצע לחניה לאחר שינויים בתקינה ההנדסית. בעיקר לא ידוע האם בשטחים ובחללים הנוספים שי</w:t>
      </w:r>
      <w:r w:rsidR="00654434">
        <w:rPr>
          <w:rFonts w:ascii="David" w:hAnsi="David" w:cs="David" w:hint="cs"/>
          <w:sz w:val="24"/>
          <w:szCs w:val="24"/>
          <w:rtl/>
        </w:rPr>
        <w:t>י</w:t>
      </w:r>
      <w:r w:rsidR="00713ED7">
        <w:rPr>
          <w:rFonts w:ascii="David" w:hAnsi="David" w:cs="David" w:hint="cs"/>
          <w:sz w:val="24"/>
          <w:szCs w:val="24"/>
          <w:rtl/>
        </w:rPr>
        <w:t xml:space="preserve">ווצרו במרתף כתוצאה משינויים בביסוס עשויה לצמוח תועלת כלשהי. למשל האם החללים החדשים שלא ישמשו להצבת כלי רכב תתאפשר סגירה ל"מטרות </w:t>
      </w:r>
      <w:proofErr w:type="spellStart"/>
      <w:r w:rsidR="00713ED7">
        <w:rPr>
          <w:rFonts w:ascii="David" w:hAnsi="David" w:cs="David" w:hint="cs"/>
          <w:sz w:val="24"/>
          <w:szCs w:val="24"/>
          <w:rtl/>
        </w:rPr>
        <w:t>שירותיות</w:t>
      </w:r>
      <w:proofErr w:type="spellEnd"/>
      <w:r w:rsidR="00713ED7">
        <w:rPr>
          <w:rFonts w:ascii="David" w:hAnsi="David" w:cs="David" w:hint="cs"/>
          <w:sz w:val="24"/>
          <w:szCs w:val="24"/>
          <w:rtl/>
        </w:rPr>
        <w:t>" (כגון מעברים, חדרי תשתיות לבניין ואולי אף אחסנה וכו'). במילים אחרות, יתכן ובמציאות תהיה השפעה</w:t>
      </w:r>
      <w:r w:rsidR="00565B1E">
        <w:rPr>
          <w:rFonts w:ascii="David" w:hAnsi="David" w:cs="David" w:hint="cs"/>
          <w:sz w:val="24"/>
          <w:szCs w:val="24"/>
          <w:rtl/>
        </w:rPr>
        <w:t xml:space="preserve"> </w:t>
      </w:r>
      <w:r w:rsidR="00713ED7">
        <w:rPr>
          <w:rFonts w:ascii="David" w:hAnsi="David" w:cs="David" w:hint="cs"/>
          <w:sz w:val="24"/>
          <w:szCs w:val="24"/>
          <w:rtl/>
        </w:rPr>
        <w:t>חיובית מקזזת או מקזזת באופן חלקי להגדלת השטח הבנוי התת קרקעי שאיננו יכול לשמש לחניה.</w:t>
      </w:r>
    </w:p>
    <w:p w14:paraId="708CDD3A" w14:textId="10A6E189" w:rsidR="00A1123A" w:rsidRDefault="00A1123A" w:rsidP="00A524B1">
      <w:pPr>
        <w:pStyle w:val="a9"/>
        <w:numPr>
          <w:ilvl w:val="0"/>
          <w:numId w:val="1"/>
        </w:numPr>
        <w:spacing w:line="360" w:lineRule="auto"/>
        <w:ind w:left="90" w:hanging="425"/>
        <w:contextualSpacing w:val="0"/>
        <w:jc w:val="both"/>
        <w:rPr>
          <w:rFonts w:ascii="David" w:hAnsi="David" w:cs="David"/>
          <w:sz w:val="24"/>
          <w:szCs w:val="24"/>
        </w:rPr>
      </w:pPr>
      <w:r>
        <w:rPr>
          <w:rFonts w:ascii="David" w:hAnsi="David" w:cs="David" w:hint="cs"/>
          <w:sz w:val="24"/>
          <w:szCs w:val="24"/>
          <w:rtl/>
        </w:rPr>
        <w:t xml:space="preserve">על כן טענת העוררות </w:t>
      </w:r>
      <w:r>
        <w:rPr>
          <w:rFonts w:ascii="David" w:hAnsi="David" w:cs="David"/>
          <w:sz w:val="24"/>
          <w:szCs w:val="24"/>
          <w:rtl/>
        </w:rPr>
        <w:t>–</w:t>
      </w:r>
      <w:r>
        <w:rPr>
          <w:rFonts w:ascii="David" w:hAnsi="David" w:cs="David" w:hint="cs"/>
          <w:sz w:val="24"/>
          <w:szCs w:val="24"/>
          <w:rtl/>
        </w:rPr>
        <w:t xml:space="preserve"> נדחית.</w:t>
      </w:r>
    </w:p>
    <w:p w14:paraId="1CD2CFF2" w14:textId="77777777" w:rsidR="00E5172C" w:rsidRPr="00E5172C" w:rsidRDefault="00E5172C" w:rsidP="00E5172C">
      <w:pPr>
        <w:spacing w:line="360" w:lineRule="auto"/>
        <w:jc w:val="both"/>
        <w:rPr>
          <w:rFonts w:ascii="David" w:hAnsi="David" w:cs="David"/>
          <w:sz w:val="24"/>
          <w:szCs w:val="24"/>
        </w:rPr>
      </w:pPr>
    </w:p>
    <w:p w14:paraId="5E8025AB" w14:textId="77777777" w:rsidR="005D5362" w:rsidRPr="008D2046" w:rsidRDefault="005D5362">
      <w:pPr>
        <w:spacing w:line="360" w:lineRule="auto"/>
        <w:ind w:left="90" w:hanging="425"/>
        <w:rPr>
          <w:rFonts w:ascii="David" w:hAnsi="David" w:cs="David"/>
          <w:b/>
          <w:bCs/>
          <w:sz w:val="26"/>
          <w:szCs w:val="26"/>
          <w:highlight w:val="yellow"/>
          <w:u w:val="single"/>
          <w:rtl/>
        </w:rPr>
      </w:pPr>
      <w:r w:rsidRPr="006279D9">
        <w:rPr>
          <w:rFonts w:ascii="David" w:hAnsi="David" w:cs="David" w:hint="eastAsia"/>
          <w:b/>
          <w:bCs/>
          <w:sz w:val="32"/>
          <w:szCs w:val="32"/>
          <w:u w:val="single"/>
          <w:rtl/>
        </w:rPr>
        <w:t>מטלות</w:t>
      </w:r>
      <w:r w:rsidRPr="006279D9">
        <w:rPr>
          <w:rFonts w:ascii="David" w:hAnsi="David" w:cs="David"/>
          <w:b/>
          <w:bCs/>
          <w:sz w:val="32"/>
          <w:szCs w:val="32"/>
          <w:u w:val="single"/>
          <w:rtl/>
        </w:rPr>
        <w:t xml:space="preserve"> </w:t>
      </w:r>
      <w:r w:rsidRPr="006279D9">
        <w:rPr>
          <w:rFonts w:ascii="David" w:hAnsi="David" w:cs="David" w:hint="eastAsia"/>
          <w:b/>
          <w:bCs/>
          <w:sz w:val="32"/>
          <w:szCs w:val="32"/>
          <w:u w:val="single"/>
          <w:rtl/>
        </w:rPr>
        <w:t>ציבוריות</w:t>
      </w:r>
      <w:r w:rsidR="001A2596" w:rsidRPr="006279D9">
        <w:rPr>
          <w:rFonts w:ascii="David" w:hAnsi="David" w:cs="David"/>
          <w:b/>
          <w:bCs/>
          <w:sz w:val="32"/>
          <w:szCs w:val="32"/>
          <w:u w:val="single"/>
          <w:rtl/>
        </w:rPr>
        <w:t xml:space="preserve"> - כללי</w:t>
      </w:r>
    </w:p>
    <w:p w14:paraId="7531F825" w14:textId="77777777" w:rsidR="006E016C" w:rsidRDefault="00C85D50" w:rsidP="006279D9">
      <w:pPr>
        <w:pStyle w:val="a9"/>
        <w:numPr>
          <w:ilvl w:val="0"/>
          <w:numId w:val="1"/>
        </w:numPr>
        <w:spacing w:line="360" w:lineRule="auto"/>
        <w:ind w:left="90" w:hanging="425"/>
        <w:contextualSpacing w:val="0"/>
        <w:rPr>
          <w:rFonts w:ascii="David" w:hAnsi="David" w:cs="David"/>
          <w:sz w:val="24"/>
          <w:szCs w:val="24"/>
        </w:rPr>
      </w:pPr>
      <w:r>
        <w:rPr>
          <w:rFonts w:ascii="David" w:hAnsi="David" w:cs="David" w:hint="cs"/>
          <w:sz w:val="24"/>
          <w:szCs w:val="24"/>
          <w:rtl/>
        </w:rPr>
        <w:t>כך קבע השמאי המכריע ביחס לעלות העודפת בגין המטלות הציבוריות:</w:t>
      </w:r>
    </w:p>
    <w:p w14:paraId="19099A48" w14:textId="77777777" w:rsidR="00C85D50" w:rsidRDefault="006E5590" w:rsidP="006279D9">
      <w:pPr>
        <w:pStyle w:val="a9"/>
        <w:spacing w:line="360" w:lineRule="auto"/>
        <w:ind w:left="90" w:hanging="425"/>
        <w:contextualSpacing w:val="0"/>
        <w:rPr>
          <w:rFonts w:ascii="David" w:hAnsi="David" w:cs="David"/>
          <w:sz w:val="24"/>
          <w:szCs w:val="24"/>
        </w:rPr>
      </w:pPr>
      <w:r w:rsidRPr="006E5590">
        <w:rPr>
          <w:rFonts w:ascii="David" w:hAnsi="David" w:cs="David"/>
          <w:sz w:val="24"/>
          <w:szCs w:val="24"/>
        </w:rPr>
        <w:t xml:space="preserve"> </w:t>
      </w:r>
      <w:r w:rsidRPr="006E5590">
        <w:rPr>
          <w:rFonts w:ascii="David" w:hAnsi="David" w:cs="David"/>
          <w:noProof/>
          <w:sz w:val="24"/>
          <w:szCs w:val="24"/>
        </w:rPr>
        <w:drawing>
          <wp:inline distT="0" distB="0" distL="0" distR="0" wp14:anchorId="0FAF7688" wp14:editId="5962E758">
            <wp:extent cx="5339080" cy="2544431"/>
            <wp:effectExtent l="0" t="0" r="0" b="889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9080" cy="2544431"/>
                    </a:xfrm>
                    <a:prstGeom prst="rect">
                      <a:avLst/>
                    </a:prstGeom>
                    <a:noFill/>
                    <a:ln>
                      <a:noFill/>
                    </a:ln>
                  </pic:spPr>
                </pic:pic>
              </a:graphicData>
            </a:graphic>
          </wp:inline>
        </w:drawing>
      </w:r>
    </w:p>
    <w:p w14:paraId="207072EE" w14:textId="77777777" w:rsidR="001A29AA" w:rsidRPr="008D2046" w:rsidRDefault="001A29AA" w:rsidP="006279D9">
      <w:pPr>
        <w:pStyle w:val="a9"/>
        <w:spacing w:line="360" w:lineRule="auto"/>
        <w:ind w:left="90"/>
        <w:contextualSpacing w:val="0"/>
        <w:jc w:val="both"/>
        <w:rPr>
          <w:rFonts w:ascii="David" w:hAnsi="David" w:cs="David"/>
          <w:sz w:val="26"/>
          <w:szCs w:val="26"/>
        </w:rPr>
      </w:pPr>
    </w:p>
    <w:p w14:paraId="14F5E5D6" w14:textId="77777777" w:rsidR="00C71BB8" w:rsidRPr="006279D9" w:rsidRDefault="00C71BB8" w:rsidP="006279D9">
      <w:pPr>
        <w:spacing w:line="360" w:lineRule="auto"/>
        <w:ind w:left="-335"/>
        <w:rPr>
          <w:rFonts w:ascii="David" w:hAnsi="David" w:cs="David"/>
          <w:b/>
          <w:bCs/>
          <w:sz w:val="26"/>
          <w:szCs w:val="26"/>
          <w:u w:val="single"/>
        </w:rPr>
      </w:pPr>
      <w:r w:rsidRPr="006279D9">
        <w:rPr>
          <w:rFonts w:ascii="David" w:hAnsi="David" w:cs="David" w:hint="eastAsia"/>
          <w:b/>
          <w:bCs/>
          <w:sz w:val="26"/>
          <w:szCs w:val="26"/>
          <w:u w:val="single"/>
          <w:rtl/>
        </w:rPr>
        <w:t>מטלות</w:t>
      </w:r>
      <w:r w:rsidRPr="006279D9">
        <w:rPr>
          <w:rFonts w:ascii="David" w:hAnsi="David" w:cs="David"/>
          <w:b/>
          <w:bCs/>
          <w:sz w:val="26"/>
          <w:szCs w:val="26"/>
          <w:u w:val="single"/>
          <w:rtl/>
        </w:rPr>
        <w:t xml:space="preserve"> ציבוריות – רמת גמר </w:t>
      </w:r>
      <w:r w:rsidR="001A29AA">
        <w:rPr>
          <w:rFonts w:ascii="David" w:hAnsi="David" w:cs="David" w:hint="cs"/>
          <w:b/>
          <w:bCs/>
          <w:sz w:val="26"/>
          <w:szCs w:val="26"/>
          <w:u w:val="single"/>
          <w:rtl/>
        </w:rPr>
        <w:t xml:space="preserve">או רמת </w:t>
      </w:r>
      <w:r w:rsidRPr="008D2046">
        <w:rPr>
          <w:rFonts w:ascii="David" w:hAnsi="David" w:cs="David"/>
          <w:b/>
          <w:bCs/>
          <w:sz w:val="26"/>
          <w:szCs w:val="26"/>
          <w:u w:val="single"/>
          <w:rtl/>
        </w:rPr>
        <w:t>מעטפת</w:t>
      </w:r>
    </w:p>
    <w:p w14:paraId="387F0042" w14:textId="77777777" w:rsidR="001A2596" w:rsidRDefault="001A2596" w:rsidP="006279D9">
      <w:pPr>
        <w:pStyle w:val="a9"/>
        <w:numPr>
          <w:ilvl w:val="0"/>
          <w:numId w:val="1"/>
        </w:numPr>
        <w:spacing w:line="360" w:lineRule="auto"/>
        <w:ind w:left="186" w:hanging="567"/>
        <w:contextualSpacing w:val="0"/>
        <w:jc w:val="both"/>
        <w:rPr>
          <w:rFonts w:ascii="David" w:hAnsi="David" w:cs="David"/>
          <w:sz w:val="24"/>
          <w:szCs w:val="24"/>
        </w:rPr>
      </w:pPr>
      <w:r>
        <w:rPr>
          <w:rFonts w:ascii="David" w:hAnsi="David" w:cs="David" w:hint="cs"/>
          <w:sz w:val="24"/>
          <w:szCs w:val="24"/>
          <w:rtl/>
        </w:rPr>
        <w:t xml:space="preserve">העוררות טענו כי דרישת הוועדה המקומית אשר נכללה בהסכם המטלות הינה כי העוררות ימסרו את מבני הציבור בגמר מלא והדבר מהווה תנאי בלעדיו אין מימוש לתכנית. לפיכך, יש לקחת בחשבון את עלות בניית מבני הציבור בגמר מלא ולתקן את השומה המכרעת לעלות ברמת גמר של 10,000 ₪ ל-1 מ"ר. </w:t>
      </w:r>
    </w:p>
    <w:p w14:paraId="7B39C2AF" w14:textId="77777777" w:rsidR="001A2596" w:rsidRDefault="001A2596" w:rsidP="006279D9">
      <w:pPr>
        <w:pStyle w:val="a9"/>
        <w:numPr>
          <w:ilvl w:val="0"/>
          <w:numId w:val="1"/>
        </w:numPr>
        <w:spacing w:line="360" w:lineRule="auto"/>
        <w:ind w:left="90" w:hanging="458"/>
        <w:contextualSpacing w:val="0"/>
        <w:jc w:val="both"/>
        <w:rPr>
          <w:rFonts w:ascii="David" w:hAnsi="David" w:cs="David"/>
          <w:sz w:val="24"/>
          <w:szCs w:val="24"/>
        </w:rPr>
      </w:pPr>
      <w:r>
        <w:rPr>
          <w:rFonts w:ascii="David" w:hAnsi="David" w:cs="David" w:hint="cs"/>
          <w:sz w:val="24"/>
          <w:szCs w:val="24"/>
          <w:rtl/>
        </w:rPr>
        <w:t>בעניין בית הבאר טוענות העוררות כי יש לתקן את הסכום בהתאם להתחייבות העוררות שהומצאה לשמאי המכריע (צריך להיות 7,700,000 ₪ בתוספת מע"מ).</w:t>
      </w:r>
    </w:p>
    <w:p w14:paraId="71EEA430" w14:textId="77777777" w:rsidR="001A2596" w:rsidRDefault="001A2596" w:rsidP="001A2596">
      <w:pPr>
        <w:pStyle w:val="a9"/>
        <w:numPr>
          <w:ilvl w:val="0"/>
          <w:numId w:val="1"/>
        </w:numPr>
        <w:spacing w:line="360" w:lineRule="auto"/>
        <w:ind w:left="90" w:hanging="458"/>
        <w:contextualSpacing w:val="0"/>
        <w:jc w:val="both"/>
        <w:rPr>
          <w:rFonts w:ascii="David" w:hAnsi="David" w:cs="David"/>
          <w:sz w:val="24"/>
          <w:szCs w:val="24"/>
        </w:rPr>
      </w:pPr>
      <w:r>
        <w:rPr>
          <w:rFonts w:ascii="David" w:hAnsi="David" w:cs="David" w:hint="cs"/>
          <w:sz w:val="24"/>
          <w:szCs w:val="24"/>
          <w:rtl/>
        </w:rPr>
        <w:lastRenderedPageBreak/>
        <w:t>הוועדה המקומית טענה כי בהתאם להלכת אברמוביץ יש להביא בחשבון רק הוצאות הקשורות בקשר סיבתי ישיר למימוש התכנית ואין להביא בחשבון הוצאות חיצוניות לתכנית המשביחה אשר לקח על עצמו היזם ואינן נדרשות לצורך מימוש התכנית. משכך, לעמדת הוועדה, צדק השמאי כשלא לקח בחשבון הסכמות חוזיות כאלה ואחרות בין העוררות לבין עיריית ת"א אשר אינן משפיעות על שווי המקרקעין בהתאם לתכניות התקפות.</w:t>
      </w:r>
    </w:p>
    <w:p w14:paraId="6B1DC5F0" w14:textId="77777777" w:rsidR="001A2596" w:rsidRDefault="001A2596" w:rsidP="006279D9">
      <w:pPr>
        <w:pStyle w:val="a9"/>
        <w:numPr>
          <w:ilvl w:val="0"/>
          <w:numId w:val="1"/>
        </w:numPr>
        <w:spacing w:line="360" w:lineRule="auto"/>
        <w:ind w:left="44" w:hanging="425"/>
        <w:contextualSpacing w:val="0"/>
        <w:rPr>
          <w:rFonts w:ascii="David" w:hAnsi="David" w:cs="David"/>
          <w:sz w:val="24"/>
          <w:szCs w:val="24"/>
        </w:rPr>
      </w:pPr>
      <w:r>
        <w:rPr>
          <w:rFonts w:ascii="David" w:hAnsi="David" w:cs="David" w:hint="cs"/>
          <w:sz w:val="24"/>
          <w:szCs w:val="24"/>
          <w:rtl/>
        </w:rPr>
        <w:t xml:space="preserve">לגבי עלות המטלה הציבורית של בית הבאר </w:t>
      </w:r>
      <w:r>
        <w:rPr>
          <w:rFonts w:ascii="David" w:hAnsi="David" w:cs="David"/>
          <w:sz w:val="24"/>
          <w:szCs w:val="24"/>
          <w:rtl/>
        </w:rPr>
        <w:t>–</w:t>
      </w:r>
      <w:r>
        <w:rPr>
          <w:rFonts w:ascii="David" w:hAnsi="David" w:cs="David" w:hint="cs"/>
          <w:sz w:val="24"/>
          <w:szCs w:val="24"/>
          <w:rtl/>
        </w:rPr>
        <w:t xml:space="preserve"> השמאי המכריע הסתמך על קביעת שמאית הוועדה המקומית שלא נסתרה ע"י שמאי העוררות ולפיכך יש לדחות טענות בעניין זה.</w:t>
      </w:r>
    </w:p>
    <w:p w14:paraId="703F75CE" w14:textId="77777777" w:rsidR="000E3F69" w:rsidRDefault="000E3F69" w:rsidP="006279D9">
      <w:pPr>
        <w:pStyle w:val="a9"/>
        <w:numPr>
          <w:ilvl w:val="0"/>
          <w:numId w:val="1"/>
        </w:numPr>
        <w:spacing w:line="360" w:lineRule="auto"/>
        <w:ind w:left="90" w:hanging="425"/>
        <w:contextualSpacing w:val="0"/>
        <w:jc w:val="both"/>
        <w:rPr>
          <w:rFonts w:ascii="David" w:hAnsi="David" w:cs="David"/>
          <w:sz w:val="24"/>
          <w:szCs w:val="24"/>
        </w:rPr>
      </w:pPr>
      <w:r>
        <w:rPr>
          <w:rFonts w:ascii="David" w:hAnsi="David" w:cs="David" w:hint="cs"/>
          <w:sz w:val="24"/>
          <w:szCs w:val="24"/>
          <w:rtl/>
        </w:rPr>
        <w:t xml:space="preserve">כאמור, בהתייחסות הוועדה המקומית להצעת הפשרה מיום </w:t>
      </w:r>
      <w:r w:rsidR="008134F5">
        <w:rPr>
          <w:rFonts w:ascii="David" w:hAnsi="David" w:cs="David" w:hint="cs"/>
          <w:sz w:val="24"/>
          <w:szCs w:val="24"/>
          <w:rtl/>
        </w:rPr>
        <w:t>16.4.24</w:t>
      </w:r>
      <w:r>
        <w:rPr>
          <w:rFonts w:ascii="David" w:hAnsi="David" w:cs="David" w:hint="cs"/>
          <w:sz w:val="24"/>
          <w:szCs w:val="24"/>
          <w:rtl/>
        </w:rPr>
        <w:t xml:space="preserve"> קיבלה הועדה המקומית</w:t>
      </w:r>
      <w:r w:rsidR="002B1455">
        <w:rPr>
          <w:rFonts w:ascii="David" w:hAnsi="David" w:cs="David" w:hint="cs"/>
          <w:sz w:val="24"/>
          <w:szCs w:val="24"/>
          <w:rtl/>
        </w:rPr>
        <w:t xml:space="preserve"> באופן חלקי </w:t>
      </w:r>
      <w:r>
        <w:rPr>
          <w:rFonts w:ascii="David" w:hAnsi="David" w:cs="David" w:hint="cs"/>
          <w:sz w:val="24"/>
          <w:szCs w:val="24"/>
          <w:rtl/>
        </w:rPr>
        <w:t xml:space="preserve">את הצעת הוועדה ביחס לסוגיית עלויות המטלות הציבוריות. </w:t>
      </w:r>
    </w:p>
    <w:p w14:paraId="4D975626" w14:textId="77777777" w:rsidR="00C71BB8" w:rsidRDefault="00C71BB8" w:rsidP="001A2596">
      <w:pPr>
        <w:pStyle w:val="a9"/>
        <w:numPr>
          <w:ilvl w:val="0"/>
          <w:numId w:val="1"/>
        </w:numPr>
        <w:spacing w:line="360" w:lineRule="auto"/>
        <w:ind w:left="90" w:hanging="425"/>
        <w:contextualSpacing w:val="0"/>
        <w:rPr>
          <w:rFonts w:ascii="David" w:hAnsi="David" w:cs="David"/>
          <w:sz w:val="24"/>
          <w:szCs w:val="24"/>
        </w:rPr>
      </w:pPr>
      <w:r>
        <w:rPr>
          <w:rFonts w:ascii="David" w:hAnsi="David" w:cs="David" w:hint="cs"/>
          <w:sz w:val="24"/>
          <w:szCs w:val="24"/>
          <w:rtl/>
        </w:rPr>
        <w:t xml:space="preserve">כך </w:t>
      </w:r>
      <w:r w:rsidR="006279D9">
        <w:rPr>
          <w:rFonts w:ascii="David" w:hAnsi="David" w:cs="David" w:hint="cs"/>
          <w:sz w:val="24"/>
          <w:szCs w:val="24"/>
          <w:rtl/>
        </w:rPr>
        <w:t>הבהירה הוועדה המקומית</w:t>
      </w:r>
      <w:r>
        <w:rPr>
          <w:rFonts w:ascii="David" w:hAnsi="David" w:cs="David" w:hint="cs"/>
          <w:sz w:val="24"/>
          <w:szCs w:val="24"/>
          <w:rtl/>
        </w:rPr>
        <w:t xml:space="preserve"> בהתייחסות</w:t>
      </w:r>
      <w:r w:rsidR="006279D9">
        <w:rPr>
          <w:rFonts w:ascii="David" w:hAnsi="David" w:cs="David" w:hint="cs"/>
          <w:sz w:val="24"/>
          <w:szCs w:val="24"/>
          <w:rtl/>
        </w:rPr>
        <w:t>ה</w:t>
      </w:r>
      <w:r>
        <w:rPr>
          <w:rFonts w:ascii="David" w:hAnsi="David" w:cs="David" w:hint="cs"/>
          <w:sz w:val="24"/>
          <w:szCs w:val="24"/>
          <w:rtl/>
        </w:rPr>
        <w:t xml:space="preserve"> </w:t>
      </w:r>
      <w:r w:rsidR="006279D9">
        <w:rPr>
          <w:rFonts w:ascii="David" w:hAnsi="David" w:cs="David" w:hint="cs"/>
          <w:sz w:val="24"/>
          <w:szCs w:val="24"/>
          <w:rtl/>
        </w:rPr>
        <w:t>הראשונית:</w:t>
      </w:r>
    </w:p>
    <w:p w14:paraId="41D0C273" w14:textId="77777777" w:rsidR="00C71BB8" w:rsidRPr="00E8629E" w:rsidRDefault="00C71BB8" w:rsidP="00E8629E">
      <w:pPr>
        <w:pStyle w:val="a9"/>
        <w:numPr>
          <w:ilvl w:val="3"/>
          <w:numId w:val="1"/>
        </w:numPr>
        <w:autoSpaceDE w:val="0"/>
        <w:autoSpaceDN w:val="0"/>
        <w:adjustRightInd w:val="0"/>
        <w:spacing w:after="0" w:line="360" w:lineRule="auto"/>
        <w:ind w:left="611" w:right="851" w:hanging="283"/>
        <w:jc w:val="both"/>
        <w:rPr>
          <w:rFonts w:ascii="David" w:hAnsi="David" w:cs="David"/>
          <w:b/>
          <w:bCs/>
          <w:kern w:val="0"/>
          <w:sz w:val="24"/>
          <w:szCs w:val="24"/>
        </w:rPr>
      </w:pPr>
      <w:r w:rsidRPr="00E8629E">
        <w:rPr>
          <w:rFonts w:ascii="David" w:hAnsi="David" w:cs="David"/>
          <w:b/>
          <w:bCs/>
          <w:kern w:val="0"/>
          <w:sz w:val="24"/>
          <w:szCs w:val="24"/>
          <w:rtl/>
        </w:rPr>
        <w:t xml:space="preserve">הוועדה המקומית מקבלת </w:t>
      </w:r>
      <w:r w:rsidRPr="00E8629E">
        <w:rPr>
          <w:rFonts w:ascii="David-Bold" w:hAnsi="David" w:cs="David-Bold" w:hint="eastAsia"/>
          <w:b/>
          <w:bCs/>
          <w:kern w:val="0"/>
          <w:sz w:val="24"/>
          <w:szCs w:val="24"/>
          <w:rtl/>
        </w:rPr>
        <w:t>באופן</w:t>
      </w:r>
      <w:r w:rsidRPr="00E8629E">
        <w:rPr>
          <w:rFonts w:ascii="David-Bold" w:hAnsi="David" w:cs="David-Bold"/>
          <w:b/>
          <w:bCs/>
          <w:kern w:val="0"/>
          <w:sz w:val="24"/>
          <w:szCs w:val="24"/>
          <w:rtl/>
        </w:rPr>
        <w:t xml:space="preserve"> </w:t>
      </w:r>
      <w:r w:rsidRPr="00E8629E">
        <w:rPr>
          <w:rFonts w:ascii="David-Bold" w:hAnsi="David" w:cs="David-Bold" w:hint="eastAsia"/>
          <w:b/>
          <w:bCs/>
          <w:kern w:val="0"/>
          <w:sz w:val="24"/>
          <w:szCs w:val="24"/>
          <w:rtl/>
        </w:rPr>
        <w:t>חלקי</w:t>
      </w:r>
      <w:r w:rsidRPr="00E8629E">
        <w:rPr>
          <w:rFonts w:ascii="David-Bold" w:hAnsi="David" w:cs="David-Bold"/>
          <w:b/>
          <w:bCs/>
          <w:kern w:val="0"/>
          <w:sz w:val="24"/>
          <w:szCs w:val="24"/>
          <w:rtl/>
        </w:rPr>
        <w:t xml:space="preserve"> </w:t>
      </w:r>
      <w:r w:rsidRPr="00E8629E">
        <w:rPr>
          <w:rFonts w:ascii="David" w:hAnsi="David" w:cs="David"/>
          <w:b/>
          <w:bCs/>
          <w:kern w:val="0"/>
          <w:sz w:val="24"/>
          <w:szCs w:val="24"/>
          <w:rtl/>
        </w:rPr>
        <w:t>את הצעת ועדת הערר הנכבדה, בנוגע לסוגית עלויות המטלות הציבוריות בתכנית 4321 "מתחם השומרון" (פורסמה למתן תוקף ביום 3.2.2020 , י.פ. 86749) בלבד</w:t>
      </w:r>
      <w:r w:rsidRPr="00E8629E">
        <w:rPr>
          <w:rFonts w:ascii="David" w:hAnsi="David" w:cs="David"/>
          <w:b/>
          <w:bCs/>
          <w:kern w:val="0"/>
          <w:sz w:val="24"/>
          <w:szCs w:val="24"/>
        </w:rPr>
        <w:t>.</w:t>
      </w:r>
    </w:p>
    <w:p w14:paraId="00C09D08" w14:textId="77777777" w:rsidR="00C71BB8" w:rsidRPr="00E8629E" w:rsidRDefault="00C71BB8" w:rsidP="00E8629E">
      <w:pPr>
        <w:pStyle w:val="a9"/>
        <w:numPr>
          <w:ilvl w:val="3"/>
          <w:numId w:val="1"/>
        </w:numPr>
        <w:autoSpaceDE w:val="0"/>
        <w:autoSpaceDN w:val="0"/>
        <w:adjustRightInd w:val="0"/>
        <w:spacing w:after="0" w:line="360" w:lineRule="auto"/>
        <w:ind w:left="611" w:right="851" w:hanging="283"/>
        <w:jc w:val="both"/>
        <w:rPr>
          <w:rFonts w:ascii="David" w:hAnsi="David" w:cs="David"/>
          <w:b/>
          <w:bCs/>
          <w:kern w:val="0"/>
          <w:sz w:val="24"/>
          <w:szCs w:val="24"/>
        </w:rPr>
      </w:pPr>
      <w:r w:rsidRPr="00E8629E">
        <w:rPr>
          <w:rFonts w:ascii="David" w:hAnsi="David" w:cs="David"/>
          <w:b/>
          <w:bCs/>
          <w:kern w:val="0"/>
          <w:sz w:val="24"/>
          <w:szCs w:val="24"/>
          <w:rtl/>
        </w:rPr>
        <w:t xml:space="preserve">לאחר בחינת הסוגיה מול אגף הנכסים בעיריית תל אביב- יפו, מסכימה הוועדה המקומית כי יש להפחית מההשבחה עלות בניית מבני ציבור </w:t>
      </w:r>
      <w:r w:rsidRPr="003E5093">
        <w:rPr>
          <w:rFonts w:ascii="David-Bold" w:hAnsi="David" w:cs="David-Bold" w:hint="eastAsia"/>
          <w:b/>
          <w:bCs/>
          <w:kern w:val="0"/>
          <w:sz w:val="24"/>
          <w:szCs w:val="24"/>
          <w:rtl/>
        </w:rPr>
        <w:t>ברמת</w:t>
      </w:r>
      <w:r w:rsidRPr="003E5093">
        <w:rPr>
          <w:rFonts w:ascii="David-Bold" w:hAnsi="David" w:cs="David-Bold"/>
          <w:b/>
          <w:bCs/>
          <w:kern w:val="0"/>
          <w:sz w:val="24"/>
          <w:szCs w:val="24"/>
          <w:rtl/>
        </w:rPr>
        <w:t xml:space="preserve"> </w:t>
      </w:r>
      <w:r w:rsidRPr="003E5093">
        <w:rPr>
          <w:rFonts w:ascii="David-Bold" w:hAnsi="David" w:cs="David-Bold" w:hint="eastAsia"/>
          <w:b/>
          <w:bCs/>
          <w:kern w:val="0"/>
          <w:sz w:val="24"/>
          <w:szCs w:val="24"/>
          <w:rtl/>
        </w:rPr>
        <w:t>גמר</w:t>
      </w:r>
      <w:r w:rsidRPr="003E5093">
        <w:rPr>
          <w:rFonts w:ascii="David-Bold" w:hAnsi="David" w:cs="David-Bold"/>
          <w:b/>
          <w:bCs/>
          <w:kern w:val="0"/>
          <w:sz w:val="24"/>
          <w:szCs w:val="24"/>
          <w:rtl/>
        </w:rPr>
        <w:t xml:space="preserve"> </w:t>
      </w:r>
      <w:r w:rsidRPr="00E8629E">
        <w:rPr>
          <w:rFonts w:ascii="David" w:hAnsi="David" w:cs="David"/>
          <w:b/>
          <w:bCs/>
          <w:kern w:val="0"/>
          <w:sz w:val="24"/>
          <w:szCs w:val="24"/>
          <w:rtl/>
        </w:rPr>
        <w:t>(ולא ברמת מעטפת כפי שקבע השמאי המכריע</w:t>
      </w:r>
      <w:r w:rsidRPr="00E8629E">
        <w:rPr>
          <w:rFonts w:ascii="David" w:hAnsi="David" w:cs="David"/>
          <w:b/>
          <w:bCs/>
          <w:kern w:val="0"/>
          <w:sz w:val="24"/>
          <w:szCs w:val="24"/>
        </w:rPr>
        <w:t>(.</w:t>
      </w:r>
    </w:p>
    <w:p w14:paraId="7854FAEB" w14:textId="77777777" w:rsidR="00C71BB8" w:rsidRPr="00E8629E" w:rsidRDefault="00C71BB8" w:rsidP="00E8629E">
      <w:pPr>
        <w:pStyle w:val="a9"/>
        <w:numPr>
          <w:ilvl w:val="3"/>
          <w:numId w:val="1"/>
        </w:numPr>
        <w:autoSpaceDE w:val="0"/>
        <w:autoSpaceDN w:val="0"/>
        <w:adjustRightInd w:val="0"/>
        <w:spacing w:after="0" w:line="360" w:lineRule="auto"/>
        <w:ind w:left="611" w:right="851" w:hanging="283"/>
        <w:jc w:val="both"/>
        <w:rPr>
          <w:rFonts w:ascii="David" w:hAnsi="David" w:cs="David"/>
          <w:b/>
          <w:bCs/>
          <w:kern w:val="0"/>
          <w:sz w:val="24"/>
          <w:szCs w:val="24"/>
        </w:rPr>
      </w:pPr>
      <w:r w:rsidRPr="00E8629E">
        <w:rPr>
          <w:rFonts w:ascii="David" w:hAnsi="David" w:cs="David"/>
          <w:b/>
          <w:bCs/>
          <w:kern w:val="0"/>
          <w:sz w:val="24"/>
          <w:szCs w:val="24"/>
          <w:rtl/>
        </w:rPr>
        <w:t>בנוסף, הוועדה המקומית מסכימה כי שגה השמאי המכריע עת לא הוסיף מע"מ לעלות המטלו</w:t>
      </w:r>
      <w:r w:rsidRPr="00E8629E">
        <w:rPr>
          <w:rFonts w:ascii="David" w:hAnsi="David" w:cs="David" w:hint="eastAsia"/>
          <w:b/>
          <w:bCs/>
          <w:kern w:val="0"/>
          <w:sz w:val="24"/>
          <w:szCs w:val="24"/>
          <w:rtl/>
        </w:rPr>
        <w:t>ת</w:t>
      </w:r>
      <w:r w:rsidRPr="00E8629E">
        <w:rPr>
          <w:rFonts w:ascii="David" w:hAnsi="David" w:cs="David"/>
          <w:b/>
          <w:bCs/>
          <w:kern w:val="0"/>
          <w:sz w:val="24"/>
          <w:szCs w:val="24"/>
          <w:rtl/>
        </w:rPr>
        <w:t xml:space="preserve"> הציבוריות</w:t>
      </w:r>
      <w:r w:rsidRPr="00E8629E">
        <w:rPr>
          <w:rFonts w:ascii="David" w:hAnsi="David" w:cs="David"/>
          <w:b/>
          <w:bCs/>
          <w:kern w:val="0"/>
          <w:sz w:val="24"/>
          <w:szCs w:val="24"/>
        </w:rPr>
        <w:t>.</w:t>
      </w:r>
    </w:p>
    <w:p w14:paraId="6F2B005B" w14:textId="77777777" w:rsidR="00C71BB8" w:rsidRPr="00E8629E" w:rsidRDefault="00C71BB8" w:rsidP="00E8629E">
      <w:pPr>
        <w:pStyle w:val="a9"/>
        <w:numPr>
          <w:ilvl w:val="3"/>
          <w:numId w:val="1"/>
        </w:numPr>
        <w:autoSpaceDE w:val="0"/>
        <w:autoSpaceDN w:val="0"/>
        <w:adjustRightInd w:val="0"/>
        <w:spacing w:after="0" w:line="360" w:lineRule="auto"/>
        <w:ind w:left="611" w:right="851" w:hanging="283"/>
        <w:jc w:val="both"/>
        <w:rPr>
          <w:rFonts w:ascii="David" w:hAnsi="David" w:cs="David"/>
          <w:b/>
          <w:bCs/>
          <w:kern w:val="0"/>
          <w:sz w:val="24"/>
          <w:szCs w:val="24"/>
        </w:rPr>
      </w:pPr>
      <w:r w:rsidRPr="00E8629E">
        <w:rPr>
          <w:rFonts w:ascii="David" w:hAnsi="David" w:cs="David"/>
          <w:b/>
          <w:bCs/>
          <w:kern w:val="0"/>
          <w:sz w:val="24"/>
          <w:szCs w:val="24"/>
          <w:rtl/>
        </w:rPr>
        <w:t>משכך, הוועדה המקומית מסכימה לתקן את השומה המכרעת בנוגע למטלות הציבוריות באופן הבא</w:t>
      </w:r>
      <w:r w:rsidRPr="00E8629E">
        <w:rPr>
          <w:rFonts w:ascii="David" w:hAnsi="David" w:cs="David"/>
          <w:b/>
          <w:bCs/>
          <w:kern w:val="0"/>
          <w:sz w:val="24"/>
          <w:szCs w:val="24"/>
        </w:rPr>
        <w:t>:</w:t>
      </w:r>
    </w:p>
    <w:p w14:paraId="5FB99985" w14:textId="77777777" w:rsidR="00C71BB8" w:rsidRPr="00E8629E" w:rsidRDefault="00C71BB8" w:rsidP="00E8629E">
      <w:pPr>
        <w:pStyle w:val="a9"/>
        <w:numPr>
          <w:ilvl w:val="0"/>
          <w:numId w:val="4"/>
        </w:numPr>
        <w:autoSpaceDE w:val="0"/>
        <w:autoSpaceDN w:val="0"/>
        <w:adjustRightInd w:val="0"/>
        <w:spacing w:after="0" w:line="360" w:lineRule="auto"/>
        <w:ind w:left="611" w:right="851" w:hanging="284"/>
        <w:jc w:val="both"/>
        <w:rPr>
          <w:rFonts w:ascii="David" w:hAnsi="David" w:cs="David"/>
          <w:b/>
          <w:bCs/>
          <w:kern w:val="0"/>
          <w:sz w:val="24"/>
          <w:szCs w:val="24"/>
        </w:rPr>
      </w:pPr>
      <w:r w:rsidRPr="00E8629E">
        <w:rPr>
          <w:rFonts w:ascii="David" w:hAnsi="David" w:cs="David"/>
          <w:b/>
          <w:bCs/>
          <w:kern w:val="0"/>
          <w:sz w:val="24"/>
          <w:szCs w:val="24"/>
          <w:rtl/>
        </w:rPr>
        <w:t xml:space="preserve">עלות בניה לחניה ציבורית כולל מע"מ </w:t>
      </w:r>
      <w:r w:rsidR="000D3C9F">
        <w:rPr>
          <w:rFonts w:ascii="David" w:hAnsi="David" w:cs="David" w:hint="cs"/>
          <w:b/>
          <w:bCs/>
          <w:kern w:val="0"/>
          <w:sz w:val="24"/>
          <w:szCs w:val="24"/>
          <w:rtl/>
        </w:rPr>
        <w:t>-</w:t>
      </w:r>
      <w:r w:rsidRPr="00E8629E">
        <w:rPr>
          <w:rFonts w:ascii="David" w:hAnsi="David" w:cs="David"/>
          <w:b/>
          <w:bCs/>
          <w:kern w:val="0"/>
          <w:sz w:val="24"/>
          <w:szCs w:val="24"/>
          <w:rtl/>
        </w:rPr>
        <w:t xml:space="preserve"> 4,007 ₪ (במקום 3,425 ₪ בשומה המכרעת</w:t>
      </w:r>
      <w:r w:rsidRPr="00E8629E">
        <w:rPr>
          <w:rFonts w:ascii="David" w:hAnsi="David" w:cs="David"/>
          <w:b/>
          <w:bCs/>
          <w:kern w:val="0"/>
          <w:sz w:val="24"/>
          <w:szCs w:val="24"/>
        </w:rPr>
        <w:t>(</w:t>
      </w:r>
    </w:p>
    <w:p w14:paraId="6E4363E5" w14:textId="77777777" w:rsidR="00C71BB8" w:rsidRPr="00E8629E" w:rsidRDefault="00C71BB8" w:rsidP="00E8629E">
      <w:pPr>
        <w:pStyle w:val="a9"/>
        <w:numPr>
          <w:ilvl w:val="0"/>
          <w:numId w:val="4"/>
        </w:numPr>
        <w:autoSpaceDE w:val="0"/>
        <w:autoSpaceDN w:val="0"/>
        <w:adjustRightInd w:val="0"/>
        <w:spacing w:after="0" w:line="360" w:lineRule="auto"/>
        <w:ind w:left="611" w:right="851" w:hanging="284"/>
        <w:jc w:val="both"/>
        <w:rPr>
          <w:rFonts w:ascii="David" w:hAnsi="David" w:cs="David"/>
          <w:b/>
          <w:bCs/>
          <w:kern w:val="0"/>
          <w:sz w:val="24"/>
          <w:szCs w:val="24"/>
        </w:rPr>
      </w:pPr>
      <w:r w:rsidRPr="00E8629E">
        <w:rPr>
          <w:rFonts w:ascii="David" w:hAnsi="David" w:cs="David"/>
          <w:b/>
          <w:bCs/>
          <w:kern w:val="0"/>
          <w:sz w:val="24"/>
          <w:szCs w:val="24"/>
          <w:rtl/>
        </w:rPr>
        <w:t xml:space="preserve">עלות שימור בית הבאר כולל מע"מ </w:t>
      </w:r>
      <w:r w:rsidR="000D3C9F">
        <w:rPr>
          <w:rFonts w:ascii="David" w:hAnsi="David" w:cs="David" w:hint="cs"/>
          <w:b/>
          <w:bCs/>
          <w:kern w:val="0"/>
          <w:sz w:val="24"/>
          <w:szCs w:val="24"/>
          <w:rtl/>
        </w:rPr>
        <w:t>-</w:t>
      </w:r>
      <w:r w:rsidRPr="00E8629E">
        <w:rPr>
          <w:rFonts w:ascii="David" w:hAnsi="David" w:cs="David"/>
          <w:b/>
          <w:bCs/>
          <w:kern w:val="0"/>
          <w:sz w:val="24"/>
          <w:szCs w:val="24"/>
          <w:rtl/>
        </w:rPr>
        <w:t xml:space="preserve"> 8,190,000 ₪ </w:t>
      </w:r>
      <w:r w:rsidRPr="00E8629E">
        <w:rPr>
          <w:rFonts w:ascii="David" w:hAnsi="David" w:cs="David"/>
          <w:b/>
          <w:bCs/>
          <w:kern w:val="0"/>
          <w:sz w:val="24"/>
          <w:szCs w:val="24"/>
        </w:rPr>
        <w:t>)</w:t>
      </w:r>
      <w:r w:rsidRPr="00E8629E">
        <w:rPr>
          <w:rFonts w:ascii="David" w:hAnsi="David" w:cs="David"/>
          <w:b/>
          <w:bCs/>
          <w:kern w:val="0"/>
          <w:sz w:val="24"/>
          <w:szCs w:val="24"/>
          <w:rtl/>
        </w:rPr>
        <w:t>במקום 7,000,000 ₪ בשומה המכרע</w:t>
      </w:r>
      <w:r w:rsidRPr="00E8629E">
        <w:rPr>
          <w:rFonts w:ascii="David" w:hAnsi="David" w:cs="David" w:hint="eastAsia"/>
          <w:b/>
          <w:bCs/>
          <w:kern w:val="0"/>
          <w:sz w:val="24"/>
          <w:szCs w:val="24"/>
          <w:rtl/>
        </w:rPr>
        <w:t>ת</w:t>
      </w:r>
      <w:r w:rsidRPr="00E8629E">
        <w:rPr>
          <w:rFonts w:ascii="David" w:hAnsi="David" w:cs="David"/>
          <w:b/>
          <w:bCs/>
          <w:kern w:val="0"/>
          <w:sz w:val="24"/>
          <w:szCs w:val="24"/>
          <w:rtl/>
        </w:rPr>
        <w:t>)</w:t>
      </w:r>
      <w:r w:rsidRPr="00E8629E">
        <w:rPr>
          <w:rFonts w:ascii="David" w:hAnsi="David" w:cs="David"/>
          <w:b/>
          <w:bCs/>
          <w:kern w:val="0"/>
          <w:sz w:val="24"/>
          <w:szCs w:val="24"/>
        </w:rPr>
        <w:t>;</w:t>
      </w:r>
    </w:p>
    <w:p w14:paraId="2A5C4D91" w14:textId="77777777" w:rsidR="00C71BB8" w:rsidRPr="00E8629E" w:rsidRDefault="00C71BB8" w:rsidP="00E8629E">
      <w:pPr>
        <w:pStyle w:val="a9"/>
        <w:numPr>
          <w:ilvl w:val="0"/>
          <w:numId w:val="4"/>
        </w:numPr>
        <w:autoSpaceDE w:val="0"/>
        <w:autoSpaceDN w:val="0"/>
        <w:adjustRightInd w:val="0"/>
        <w:spacing w:after="0" w:line="360" w:lineRule="auto"/>
        <w:ind w:left="611" w:right="851" w:hanging="284"/>
        <w:contextualSpacing w:val="0"/>
        <w:jc w:val="both"/>
        <w:rPr>
          <w:rFonts w:ascii="David" w:hAnsi="David" w:cs="David"/>
          <w:b/>
          <w:bCs/>
          <w:sz w:val="24"/>
          <w:szCs w:val="24"/>
        </w:rPr>
      </w:pPr>
      <w:r w:rsidRPr="00E8629E">
        <w:rPr>
          <w:rFonts w:ascii="David" w:hAnsi="David" w:cs="David"/>
          <w:b/>
          <w:bCs/>
          <w:kern w:val="0"/>
          <w:sz w:val="24"/>
          <w:szCs w:val="24"/>
          <w:rtl/>
        </w:rPr>
        <w:t xml:space="preserve">עלות בנייה למ"ר מבנה ציבור ברמת גמר כולל מע"מ </w:t>
      </w:r>
      <w:r w:rsidR="000D3C9F">
        <w:rPr>
          <w:rFonts w:ascii="David" w:hAnsi="David" w:cs="David" w:hint="cs"/>
          <w:b/>
          <w:bCs/>
          <w:kern w:val="0"/>
          <w:sz w:val="24"/>
          <w:szCs w:val="24"/>
          <w:rtl/>
        </w:rPr>
        <w:t>-</w:t>
      </w:r>
      <w:r w:rsidRPr="00E8629E">
        <w:rPr>
          <w:rFonts w:ascii="David" w:hAnsi="David" w:cs="David"/>
          <w:b/>
          <w:bCs/>
          <w:kern w:val="0"/>
          <w:sz w:val="24"/>
          <w:szCs w:val="24"/>
          <w:rtl/>
        </w:rPr>
        <w:t xml:space="preserve"> 9,404 ₪ (במקום 6,188 ₪ בשומה המכרעת</w:t>
      </w:r>
      <w:r w:rsidRPr="00E8629E">
        <w:rPr>
          <w:rFonts w:ascii="David" w:hAnsi="David" w:cs="David"/>
          <w:b/>
          <w:bCs/>
          <w:kern w:val="0"/>
          <w:sz w:val="24"/>
          <w:szCs w:val="24"/>
        </w:rPr>
        <w:t>(.</w:t>
      </w:r>
    </w:p>
    <w:p w14:paraId="32187371" w14:textId="77777777" w:rsidR="00F01FE5" w:rsidRPr="00E8629E" w:rsidRDefault="003E5093" w:rsidP="00E8629E">
      <w:pPr>
        <w:pStyle w:val="a9"/>
        <w:numPr>
          <w:ilvl w:val="3"/>
          <w:numId w:val="1"/>
        </w:numPr>
        <w:autoSpaceDE w:val="0"/>
        <w:autoSpaceDN w:val="0"/>
        <w:adjustRightInd w:val="0"/>
        <w:spacing w:after="0" w:line="360" w:lineRule="auto"/>
        <w:ind w:left="611" w:right="851" w:hanging="283"/>
        <w:contextualSpacing w:val="0"/>
        <w:jc w:val="both"/>
        <w:rPr>
          <w:rFonts w:ascii="David" w:hAnsi="David" w:cs="David"/>
          <w:b/>
          <w:bCs/>
          <w:sz w:val="24"/>
          <w:szCs w:val="24"/>
          <w:rtl/>
        </w:rPr>
      </w:pPr>
      <w:r w:rsidRPr="00E8629E">
        <w:rPr>
          <w:rFonts w:ascii="David" w:hAnsi="David" w:cs="David"/>
          <w:b/>
          <w:bCs/>
          <w:sz w:val="24"/>
          <w:szCs w:val="24"/>
          <w:rtl/>
        </w:rPr>
        <w:t>המשמעות הינה שהיטל ההשבחה יעמוד על סך של 133,372,401 ₪ למועד הקובע)</w:t>
      </w:r>
      <w:r w:rsidRPr="003E5093">
        <w:rPr>
          <w:rFonts w:ascii="David" w:hAnsi="David" w:cs="David"/>
          <w:b/>
          <w:bCs/>
          <w:sz w:val="24"/>
          <w:szCs w:val="24"/>
          <w:rtl/>
        </w:rPr>
        <w:t xml:space="preserve"> </w:t>
      </w:r>
      <w:r w:rsidRPr="00E8629E">
        <w:rPr>
          <w:rFonts w:ascii="David" w:hAnsi="David" w:cs="David"/>
          <w:b/>
          <w:bCs/>
          <w:sz w:val="24"/>
          <w:szCs w:val="24"/>
          <w:rtl/>
        </w:rPr>
        <w:t>במקום</w:t>
      </w:r>
      <w:r w:rsidRPr="003E5093">
        <w:rPr>
          <w:rFonts w:ascii="David" w:hAnsi="David" w:cs="David"/>
          <w:b/>
          <w:bCs/>
          <w:sz w:val="24"/>
          <w:szCs w:val="24"/>
          <w:rtl/>
        </w:rPr>
        <w:t xml:space="preserve"> </w:t>
      </w:r>
      <w:r w:rsidRPr="00E8629E">
        <w:rPr>
          <w:rFonts w:ascii="David" w:hAnsi="David" w:cs="David"/>
          <w:b/>
          <w:bCs/>
          <w:sz w:val="24"/>
          <w:szCs w:val="24"/>
          <w:rtl/>
        </w:rPr>
        <w:t>138,543,616 ₪ בשומה המכרעת(, ועסקינן בהפחתה של 5,171,215 ₪ מהיטל ההשבחה.</w:t>
      </w:r>
    </w:p>
    <w:p w14:paraId="6F117FA1" w14:textId="77777777" w:rsidR="00FE28E5" w:rsidRPr="00E8629E" w:rsidRDefault="00FE28E5" w:rsidP="00E8629E">
      <w:pPr>
        <w:autoSpaceDE w:val="0"/>
        <w:autoSpaceDN w:val="0"/>
        <w:adjustRightInd w:val="0"/>
        <w:spacing w:after="0" w:line="360" w:lineRule="auto"/>
        <w:ind w:left="426"/>
        <w:rPr>
          <w:rFonts w:ascii="David" w:hAnsi="David" w:cs="David"/>
          <w:sz w:val="24"/>
          <w:szCs w:val="24"/>
        </w:rPr>
      </w:pPr>
    </w:p>
    <w:p w14:paraId="0D5A2B91" w14:textId="77777777" w:rsidR="00D927C8" w:rsidRDefault="00FE28E5" w:rsidP="001A2596">
      <w:pPr>
        <w:pStyle w:val="a9"/>
        <w:numPr>
          <w:ilvl w:val="0"/>
          <w:numId w:val="1"/>
        </w:numPr>
        <w:spacing w:line="360" w:lineRule="auto"/>
        <w:ind w:left="44" w:hanging="567"/>
        <w:contextualSpacing w:val="0"/>
        <w:rPr>
          <w:rFonts w:ascii="David" w:hAnsi="David" w:cs="David"/>
          <w:sz w:val="24"/>
          <w:szCs w:val="24"/>
        </w:rPr>
      </w:pPr>
      <w:r w:rsidRPr="00E8629E">
        <w:rPr>
          <w:rFonts w:ascii="David" w:hAnsi="David" w:cs="David" w:hint="eastAsia"/>
          <w:sz w:val="24"/>
          <w:szCs w:val="24"/>
          <w:rtl/>
        </w:rPr>
        <w:t>לאחר</w:t>
      </w:r>
      <w:r w:rsidRPr="00E8629E">
        <w:rPr>
          <w:rFonts w:ascii="David" w:hAnsi="David" w:cs="David"/>
          <w:sz w:val="24"/>
          <w:szCs w:val="24"/>
          <w:rtl/>
        </w:rPr>
        <w:t xml:space="preserve"> התייחסות זו ניתנה החלטת יו"ר ועדת </w:t>
      </w:r>
      <w:r w:rsidRPr="00E8629E">
        <w:rPr>
          <w:rFonts w:ascii="David" w:hAnsi="David" w:cs="David" w:hint="eastAsia"/>
          <w:sz w:val="24"/>
          <w:szCs w:val="24"/>
          <w:rtl/>
        </w:rPr>
        <w:t>הערר</w:t>
      </w:r>
      <w:r w:rsidR="002B1455">
        <w:rPr>
          <w:rFonts w:ascii="David" w:hAnsi="David" w:cs="David" w:hint="cs"/>
          <w:sz w:val="24"/>
          <w:szCs w:val="24"/>
          <w:rtl/>
        </w:rPr>
        <w:t xml:space="preserve"> </w:t>
      </w:r>
      <w:r w:rsidR="001608B2">
        <w:rPr>
          <w:rFonts w:ascii="David" w:hAnsi="David" w:cs="David" w:hint="cs"/>
          <w:sz w:val="24"/>
          <w:szCs w:val="24"/>
          <w:rtl/>
        </w:rPr>
        <w:t>כדלקמן:</w:t>
      </w:r>
    </w:p>
    <w:p w14:paraId="574618B0" w14:textId="77777777" w:rsidR="00583345" w:rsidRPr="00E8629E" w:rsidRDefault="00583345" w:rsidP="00E8629E">
      <w:pPr>
        <w:spacing w:before="100" w:beforeAutospacing="1" w:line="360" w:lineRule="auto"/>
        <w:ind w:left="426" w:right="851"/>
        <w:jc w:val="both"/>
        <w:rPr>
          <w:rFonts w:ascii="David" w:eastAsia="Calibri" w:hAnsi="David" w:cs="David"/>
          <w:b/>
          <w:bCs/>
          <w:sz w:val="24"/>
          <w:szCs w:val="24"/>
          <w:rtl/>
          <w14:ligatures w14:val="none"/>
        </w:rPr>
      </w:pPr>
      <w:r w:rsidRPr="00E8629E">
        <w:rPr>
          <w:rFonts w:ascii="David" w:eastAsia="Calibri" w:hAnsi="David" w:cs="David"/>
          <w:b/>
          <w:bCs/>
          <w:sz w:val="24"/>
          <w:szCs w:val="24"/>
          <w:rtl/>
          <w14:ligatures w14:val="none"/>
        </w:rPr>
        <w:t xml:space="preserve">"אכן, ניתן למצוא מקום בדברי העוררות ביחס להתנהלות הוועדה המקומית. הועדה המקומית לא ניהלה מגעים עם העוררות ולא הגיעה איתם להסכמות. ועל כן תכלית הודעתה-לא ברורה. </w:t>
      </w:r>
    </w:p>
    <w:p w14:paraId="372E0EED" w14:textId="77777777" w:rsidR="00583345" w:rsidRPr="00E8629E" w:rsidRDefault="00583345" w:rsidP="00E8629E">
      <w:pPr>
        <w:spacing w:before="100" w:beforeAutospacing="1" w:line="360" w:lineRule="auto"/>
        <w:ind w:left="425" w:right="851"/>
        <w:contextualSpacing/>
        <w:jc w:val="both"/>
        <w:rPr>
          <w:rFonts w:ascii="David" w:eastAsia="Calibri" w:hAnsi="David" w:cs="David"/>
          <w:b/>
          <w:bCs/>
          <w:sz w:val="24"/>
          <w:szCs w:val="24"/>
          <w:rtl/>
          <w14:ligatures w14:val="none"/>
        </w:rPr>
      </w:pPr>
      <w:r w:rsidRPr="00E8629E">
        <w:rPr>
          <w:rFonts w:ascii="David" w:eastAsia="Calibri" w:hAnsi="David" w:cs="David" w:hint="eastAsia"/>
          <w:b/>
          <w:bCs/>
          <w:sz w:val="24"/>
          <w:szCs w:val="24"/>
          <w:rtl/>
          <w14:ligatures w14:val="none"/>
        </w:rPr>
        <w:t>מחד</w:t>
      </w:r>
      <w:r w:rsidRPr="00E8629E">
        <w:rPr>
          <w:rFonts w:ascii="David" w:eastAsia="Calibri" w:hAnsi="David" w:cs="David"/>
          <w:b/>
          <w:bCs/>
          <w:sz w:val="24"/>
          <w:szCs w:val="24"/>
          <w:rtl/>
          <w14:ligatures w14:val="none"/>
        </w:rPr>
        <w:t xml:space="preserve">, אם מדובר </w:t>
      </w:r>
      <w:r w:rsidRPr="00E8629E">
        <w:rPr>
          <w:rFonts w:ascii="David" w:eastAsia="Calibri" w:hAnsi="David" w:cs="David" w:hint="eastAsia"/>
          <w:b/>
          <w:bCs/>
          <w:sz w:val="24"/>
          <w:szCs w:val="24"/>
          <w:u w:val="single"/>
          <w:rtl/>
          <w14:ligatures w14:val="none"/>
        </w:rPr>
        <w:t>בהסכמה</w:t>
      </w:r>
      <w:r w:rsidRPr="00E8629E">
        <w:rPr>
          <w:rFonts w:ascii="David" w:eastAsia="Calibri" w:hAnsi="David" w:cs="David"/>
          <w:b/>
          <w:bCs/>
          <w:sz w:val="24"/>
          <w:szCs w:val="24"/>
          <w:rtl/>
          <w14:ligatures w14:val="none"/>
        </w:rPr>
        <w:t xml:space="preserve">, הרי שהסכמה כלשונה כן היא: יש להגיע להסכמה זו </w:t>
      </w:r>
      <w:r w:rsidRPr="00E8629E">
        <w:rPr>
          <w:rFonts w:ascii="David" w:eastAsia="Calibri" w:hAnsi="David" w:cs="David" w:hint="eastAsia"/>
          <w:b/>
          <w:bCs/>
          <w:sz w:val="24"/>
          <w:szCs w:val="24"/>
          <w:u w:val="single"/>
          <w:rtl/>
          <w14:ligatures w14:val="none"/>
        </w:rPr>
        <w:t>יחד</w:t>
      </w:r>
      <w:r w:rsidRPr="00E8629E">
        <w:rPr>
          <w:rFonts w:ascii="David" w:eastAsia="Calibri" w:hAnsi="David" w:cs="David"/>
          <w:b/>
          <w:bCs/>
          <w:sz w:val="24"/>
          <w:szCs w:val="24"/>
          <w:u w:val="single"/>
          <w:rtl/>
          <w14:ligatures w14:val="none"/>
        </w:rPr>
        <w:t xml:space="preserve"> </w:t>
      </w:r>
      <w:r w:rsidRPr="00E8629E">
        <w:rPr>
          <w:rFonts w:ascii="David" w:eastAsia="Calibri" w:hAnsi="David" w:cs="David" w:hint="eastAsia"/>
          <w:b/>
          <w:bCs/>
          <w:sz w:val="24"/>
          <w:szCs w:val="24"/>
          <w:u w:val="single"/>
          <w:rtl/>
          <w14:ligatures w14:val="none"/>
        </w:rPr>
        <w:t>עם</w:t>
      </w:r>
      <w:r w:rsidRPr="00E8629E">
        <w:rPr>
          <w:rFonts w:ascii="David" w:eastAsia="Calibri" w:hAnsi="David" w:cs="David"/>
          <w:b/>
          <w:bCs/>
          <w:sz w:val="24"/>
          <w:szCs w:val="24"/>
          <w:u w:val="single"/>
          <w:rtl/>
          <w14:ligatures w14:val="none"/>
        </w:rPr>
        <w:t xml:space="preserve"> </w:t>
      </w:r>
      <w:r w:rsidRPr="00E8629E">
        <w:rPr>
          <w:rFonts w:ascii="David" w:eastAsia="Calibri" w:hAnsi="David" w:cs="David" w:hint="eastAsia"/>
          <w:b/>
          <w:bCs/>
          <w:sz w:val="24"/>
          <w:szCs w:val="24"/>
          <w:u w:val="single"/>
          <w:rtl/>
          <w14:ligatures w14:val="none"/>
        </w:rPr>
        <w:t>העוררות</w:t>
      </w:r>
      <w:r w:rsidRPr="00E8629E">
        <w:rPr>
          <w:rFonts w:ascii="David" w:eastAsia="Calibri" w:hAnsi="David" w:cs="David"/>
          <w:b/>
          <w:bCs/>
          <w:sz w:val="24"/>
          <w:szCs w:val="24"/>
          <w:rtl/>
          <w14:ligatures w14:val="none"/>
        </w:rPr>
        <w:t xml:space="preserve"> ולהביא זאת לעיונה של ועדת הערר. מאידך, אם הוועדה המקומית </w:t>
      </w:r>
      <w:r w:rsidRPr="00E8629E">
        <w:rPr>
          <w:rFonts w:ascii="David" w:eastAsia="Calibri" w:hAnsi="David" w:cs="David"/>
          <w:b/>
          <w:bCs/>
          <w:sz w:val="24"/>
          <w:szCs w:val="24"/>
          <w:rtl/>
          <w14:ligatures w14:val="none"/>
        </w:rPr>
        <w:lastRenderedPageBreak/>
        <w:t xml:space="preserve">לא הגיעה להסכמות, אלא </w:t>
      </w:r>
      <w:r w:rsidRPr="00E8629E">
        <w:rPr>
          <w:rFonts w:ascii="David" w:eastAsia="Calibri" w:hAnsi="David" w:cs="David" w:hint="eastAsia"/>
          <w:b/>
          <w:bCs/>
          <w:sz w:val="24"/>
          <w:szCs w:val="24"/>
          <w:u w:val="single"/>
          <w:rtl/>
          <w14:ligatures w14:val="none"/>
        </w:rPr>
        <w:t>מצהירה</w:t>
      </w:r>
      <w:r w:rsidRPr="00E8629E">
        <w:rPr>
          <w:rFonts w:ascii="David" w:eastAsia="Calibri" w:hAnsi="David" w:cs="David"/>
          <w:b/>
          <w:bCs/>
          <w:sz w:val="24"/>
          <w:szCs w:val="24"/>
          <w:u w:val="single"/>
          <w:rtl/>
          <w14:ligatures w14:val="none"/>
        </w:rPr>
        <w:t xml:space="preserve"> </w:t>
      </w:r>
      <w:r w:rsidRPr="00E8629E">
        <w:rPr>
          <w:rFonts w:ascii="David" w:eastAsia="Calibri" w:hAnsi="David" w:cs="David" w:hint="eastAsia"/>
          <w:b/>
          <w:bCs/>
          <w:sz w:val="24"/>
          <w:szCs w:val="24"/>
          <w:u w:val="single"/>
          <w:rtl/>
          <w14:ligatures w14:val="none"/>
        </w:rPr>
        <w:t>על</w:t>
      </w:r>
      <w:r w:rsidRPr="00E8629E">
        <w:rPr>
          <w:rFonts w:ascii="David" w:eastAsia="Calibri" w:hAnsi="David" w:cs="David"/>
          <w:b/>
          <w:bCs/>
          <w:sz w:val="24"/>
          <w:szCs w:val="24"/>
          <w:u w:val="single"/>
          <w:rtl/>
          <w14:ligatures w14:val="none"/>
        </w:rPr>
        <w:t xml:space="preserve"> </w:t>
      </w:r>
      <w:r w:rsidRPr="00E8629E">
        <w:rPr>
          <w:rFonts w:ascii="David" w:eastAsia="Calibri" w:hAnsi="David" w:cs="David" w:hint="eastAsia"/>
          <w:b/>
          <w:bCs/>
          <w:sz w:val="24"/>
          <w:szCs w:val="24"/>
          <w:u w:val="single"/>
          <w:rtl/>
          <w14:ligatures w14:val="none"/>
        </w:rPr>
        <w:t>עמדתה</w:t>
      </w:r>
      <w:r w:rsidRPr="00E8629E">
        <w:rPr>
          <w:rFonts w:ascii="David" w:eastAsia="Calibri" w:hAnsi="David" w:cs="David"/>
          <w:b/>
          <w:bCs/>
          <w:sz w:val="24"/>
          <w:szCs w:val="24"/>
          <w:u w:val="single"/>
          <w:rtl/>
          <w14:ligatures w14:val="none"/>
        </w:rPr>
        <w:t xml:space="preserve"> </w:t>
      </w:r>
      <w:r w:rsidRPr="00E8629E">
        <w:rPr>
          <w:rFonts w:ascii="David" w:eastAsia="Calibri" w:hAnsi="David" w:cs="David" w:hint="eastAsia"/>
          <w:b/>
          <w:bCs/>
          <w:sz w:val="24"/>
          <w:szCs w:val="24"/>
          <w:u w:val="single"/>
          <w:rtl/>
          <w14:ligatures w14:val="none"/>
        </w:rPr>
        <w:t>המתוקנת</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אזי</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ברי</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כי</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ועדת</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הערר</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תראה</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בהודעתה</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את</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עמדתה</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המשפטית</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באופן</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רחב</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יותר</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מערר</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זה</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וכמו</w:t>
      </w:r>
      <w:r w:rsidRPr="00E8629E">
        <w:rPr>
          <w:rFonts w:ascii="David" w:eastAsia="Calibri" w:hAnsi="David" w:cs="David"/>
          <w:b/>
          <w:bCs/>
          <w:sz w:val="24"/>
          <w:szCs w:val="24"/>
          <w:rtl/>
          <w14:ligatures w14:val="none"/>
        </w:rPr>
        <w:t xml:space="preserve">"כ, </w:t>
      </w:r>
      <w:r w:rsidRPr="00E8629E">
        <w:rPr>
          <w:rFonts w:ascii="David" w:eastAsia="Calibri" w:hAnsi="David" w:cs="David" w:hint="eastAsia"/>
          <w:b/>
          <w:bCs/>
          <w:sz w:val="24"/>
          <w:szCs w:val="24"/>
          <w:rtl/>
          <w14:ligatures w14:val="none"/>
        </w:rPr>
        <w:t>ייתכן</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ותשיב</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את</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העניין</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להערכתו</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המחודשת</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של</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השמאי</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המכריע</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תוך</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קביעת</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הוראות</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בעניין</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אופן</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החישוב</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וההפחתות</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הנדרשות</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במקרים</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מעין</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אלו</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ומה</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יש</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לכלול</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בהן</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על</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כל</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המשתמע</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מכך</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זאת</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מבלי</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לקבוע</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מסמרות</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בעניין</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זה</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תוך</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הותרת</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שיקול</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הדעת</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בידי</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ועדת</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הערר</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לקבל</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את</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טענות</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העוררת</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באופן</w:t>
      </w:r>
      <w:r w:rsidRPr="00E8629E">
        <w:rPr>
          <w:rFonts w:ascii="David" w:eastAsia="Calibri" w:hAnsi="David" w:cs="David"/>
          <w:b/>
          <w:bCs/>
          <w:sz w:val="24"/>
          <w:szCs w:val="24"/>
          <w:rtl/>
          <w14:ligatures w14:val="none"/>
        </w:rPr>
        <w:t xml:space="preserve"> "מלא"</w:t>
      </w:r>
      <w:r w:rsidRPr="00E8629E">
        <w:rPr>
          <w:rFonts w:ascii="David" w:eastAsia="Calibri" w:hAnsi="David" w:cs="David"/>
          <w:b/>
          <w:bCs/>
          <w:sz w:val="24"/>
          <w:szCs w:val="24"/>
          <w14:ligatures w14:val="none"/>
        </w:rPr>
        <w:t xml:space="preserve"> </w:t>
      </w:r>
      <w:r w:rsidRPr="00E8629E">
        <w:rPr>
          <w:rFonts w:ascii="David" w:eastAsia="Calibri" w:hAnsi="David" w:cs="David" w:hint="eastAsia"/>
          <w:b/>
          <w:bCs/>
          <w:sz w:val="24"/>
          <w:szCs w:val="24"/>
          <w:rtl/>
          <w14:ligatures w14:val="none"/>
        </w:rPr>
        <w:t>ולא</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באופן</w:t>
      </w:r>
      <w:r w:rsidRPr="00E8629E">
        <w:rPr>
          <w:rFonts w:ascii="David" w:eastAsia="Calibri" w:hAnsi="David" w:cs="David"/>
          <w:b/>
          <w:bCs/>
          <w:sz w:val="24"/>
          <w:szCs w:val="24"/>
          <w:rtl/>
          <w14:ligatures w14:val="none"/>
        </w:rPr>
        <w:t xml:space="preserve"> "חלקי" </w:t>
      </w:r>
      <w:r w:rsidRPr="00E8629E">
        <w:rPr>
          <w:rFonts w:ascii="David" w:eastAsia="Calibri" w:hAnsi="David" w:cs="David" w:hint="eastAsia"/>
          <w:b/>
          <w:bCs/>
          <w:sz w:val="24"/>
          <w:szCs w:val="24"/>
          <w:rtl/>
          <w14:ligatures w14:val="none"/>
        </w:rPr>
        <w:t>כפי</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שהוצג</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על</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ידי</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הוועדה</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המקומית</w:t>
      </w:r>
      <w:r w:rsidRPr="00E8629E">
        <w:rPr>
          <w:rFonts w:ascii="David" w:eastAsia="Calibri" w:hAnsi="David" w:cs="David"/>
          <w:b/>
          <w:bCs/>
          <w:sz w:val="24"/>
          <w:szCs w:val="24"/>
          <w:rtl/>
          <w14:ligatures w14:val="none"/>
        </w:rPr>
        <w:t>.</w:t>
      </w:r>
    </w:p>
    <w:p w14:paraId="7CFF5EA7" w14:textId="77777777" w:rsidR="00583345" w:rsidRPr="00E8629E" w:rsidRDefault="00583345" w:rsidP="00E8629E">
      <w:pPr>
        <w:spacing w:before="100" w:beforeAutospacing="1" w:line="360" w:lineRule="auto"/>
        <w:ind w:left="425" w:right="851"/>
        <w:contextualSpacing/>
        <w:jc w:val="both"/>
        <w:rPr>
          <w:rFonts w:ascii="David" w:eastAsia="Calibri" w:hAnsi="David" w:cs="David"/>
          <w:b/>
          <w:bCs/>
          <w:sz w:val="24"/>
          <w:szCs w:val="24"/>
          <w14:ligatures w14:val="none"/>
        </w:rPr>
      </w:pPr>
      <w:r w:rsidRPr="00E8629E">
        <w:rPr>
          <w:rFonts w:ascii="David" w:eastAsia="Calibri" w:hAnsi="David" w:cs="David" w:hint="eastAsia"/>
          <w:b/>
          <w:bCs/>
          <w:sz w:val="24"/>
          <w:szCs w:val="24"/>
          <w:rtl/>
          <w14:ligatures w14:val="none"/>
        </w:rPr>
        <w:t>על</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כן</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בשלב</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זה</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כוונת</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הוועדה</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המקומית</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אינה</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ברורה</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דיה</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הוועדה</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המקומית</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תבהיר</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עמדתה</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ותבהיר</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אם</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בכוונתה</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להידבר</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עם</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העוררות</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כמו</w:t>
      </w:r>
      <w:r w:rsidRPr="00E8629E">
        <w:rPr>
          <w:rFonts w:ascii="David" w:eastAsia="Calibri" w:hAnsi="David" w:cs="David"/>
          <w:b/>
          <w:bCs/>
          <w:sz w:val="24"/>
          <w:szCs w:val="24"/>
          <w:rtl/>
          <w14:ligatures w14:val="none"/>
        </w:rPr>
        <w:t xml:space="preserve">"כ </w:t>
      </w:r>
      <w:r w:rsidRPr="00E8629E">
        <w:rPr>
          <w:rFonts w:ascii="David" w:eastAsia="Calibri" w:hAnsi="David" w:cs="David" w:hint="eastAsia"/>
          <w:b/>
          <w:bCs/>
          <w:sz w:val="24"/>
          <w:szCs w:val="24"/>
          <w:rtl/>
          <w14:ligatures w14:val="none"/>
        </w:rPr>
        <w:t>תבהיר</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מדוע</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לשיטתה</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אין</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במסמכים</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שהוסיפה</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בגדר</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הרחבת</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חזית</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לטיעונה</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כפי</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שנטען</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על</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ידי</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העוררת</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תגובת</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הוועדה</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המקומית</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תוגש</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עד</w:t>
      </w:r>
      <w:r w:rsidRPr="00E8629E">
        <w:rPr>
          <w:rFonts w:ascii="David" w:eastAsia="Calibri" w:hAnsi="David" w:cs="David"/>
          <w:b/>
          <w:bCs/>
          <w:sz w:val="24"/>
          <w:szCs w:val="24"/>
          <w:rtl/>
          <w14:ligatures w14:val="none"/>
        </w:rPr>
        <w:t xml:space="preserve"> </w:t>
      </w:r>
      <w:r w:rsidRPr="00E8629E">
        <w:rPr>
          <w:rFonts w:ascii="David" w:eastAsia="Calibri" w:hAnsi="David" w:cs="David" w:hint="eastAsia"/>
          <w:b/>
          <w:bCs/>
          <w:sz w:val="24"/>
          <w:szCs w:val="24"/>
          <w:rtl/>
          <w14:ligatures w14:val="none"/>
        </w:rPr>
        <w:t>ליום</w:t>
      </w:r>
      <w:r w:rsidRPr="00E8629E">
        <w:rPr>
          <w:rFonts w:ascii="David" w:eastAsia="Calibri" w:hAnsi="David" w:cs="David"/>
          <w:b/>
          <w:bCs/>
          <w:sz w:val="24"/>
          <w:szCs w:val="24"/>
          <w:rtl/>
          <w14:ligatures w14:val="none"/>
        </w:rPr>
        <w:t xml:space="preserve"> 2.6.24"</w:t>
      </w:r>
    </w:p>
    <w:p w14:paraId="6BDF3496" w14:textId="77777777" w:rsidR="00FE28E5" w:rsidRDefault="00FE28E5" w:rsidP="00E8629E">
      <w:pPr>
        <w:pStyle w:val="a9"/>
        <w:numPr>
          <w:ilvl w:val="0"/>
          <w:numId w:val="1"/>
        </w:numPr>
        <w:spacing w:line="360" w:lineRule="auto"/>
        <w:ind w:left="45" w:hanging="567"/>
        <w:contextualSpacing w:val="0"/>
        <w:rPr>
          <w:rFonts w:ascii="David" w:hAnsi="David" w:cs="David"/>
          <w:sz w:val="24"/>
          <w:szCs w:val="24"/>
        </w:rPr>
      </w:pPr>
      <w:r>
        <w:rPr>
          <w:rFonts w:ascii="David" w:hAnsi="David" w:cs="David" w:hint="cs"/>
          <w:sz w:val="24"/>
          <w:szCs w:val="24"/>
          <w:rtl/>
        </w:rPr>
        <w:t>ביום 2.6.24 התקבלה התייחסות הוועדה המקומית להחלטת יו"ר הוועדה כדלקמן:</w:t>
      </w:r>
    </w:p>
    <w:p w14:paraId="6CF14B83" w14:textId="77777777" w:rsidR="00FE28E5" w:rsidRPr="00E8629E" w:rsidRDefault="00FE28E5" w:rsidP="00E8629E">
      <w:pPr>
        <w:pStyle w:val="a9"/>
        <w:numPr>
          <w:ilvl w:val="3"/>
          <w:numId w:val="1"/>
        </w:numPr>
        <w:autoSpaceDE w:val="0"/>
        <w:autoSpaceDN w:val="0"/>
        <w:adjustRightInd w:val="0"/>
        <w:spacing w:after="0" w:line="360" w:lineRule="auto"/>
        <w:ind w:left="470" w:right="851" w:hanging="284"/>
        <w:jc w:val="both"/>
        <w:rPr>
          <w:rFonts w:ascii="David" w:hAnsi="David" w:cs="David"/>
          <w:b/>
          <w:bCs/>
          <w:kern w:val="0"/>
          <w:sz w:val="24"/>
          <w:szCs w:val="24"/>
        </w:rPr>
      </w:pPr>
      <w:r w:rsidRPr="00E8629E">
        <w:rPr>
          <w:rFonts w:ascii="David" w:hAnsi="David" w:cs="David"/>
          <w:b/>
          <w:bCs/>
          <w:kern w:val="0"/>
          <w:sz w:val="24"/>
          <w:szCs w:val="24"/>
          <w:rtl/>
        </w:rPr>
        <w:t xml:space="preserve">בעקבות הדיון שהתקיים ביום 26.3.2024 , שקלה הוועדה המקומית </w:t>
      </w:r>
      <w:r w:rsidRPr="00E8629E">
        <w:rPr>
          <w:rFonts w:ascii="David" w:hAnsi="David" w:cs="David" w:hint="eastAsia"/>
          <w:b/>
          <w:bCs/>
          <w:kern w:val="0"/>
          <w:sz w:val="24"/>
          <w:szCs w:val="24"/>
          <w:rtl/>
        </w:rPr>
        <w:t>בכובד</w:t>
      </w:r>
      <w:r w:rsidRPr="00E8629E">
        <w:rPr>
          <w:rFonts w:ascii="David" w:hAnsi="David" w:cs="David"/>
          <w:b/>
          <w:bCs/>
          <w:kern w:val="0"/>
          <w:sz w:val="24"/>
          <w:szCs w:val="24"/>
          <w:rtl/>
        </w:rPr>
        <w:t xml:space="preserve"> </w:t>
      </w:r>
      <w:r w:rsidRPr="00E8629E">
        <w:rPr>
          <w:rFonts w:ascii="David" w:hAnsi="David" w:cs="David" w:hint="eastAsia"/>
          <w:b/>
          <w:bCs/>
          <w:kern w:val="0"/>
          <w:sz w:val="24"/>
          <w:szCs w:val="24"/>
          <w:rtl/>
        </w:rPr>
        <w:t>ראש</w:t>
      </w:r>
      <w:r w:rsidRPr="00E8629E">
        <w:rPr>
          <w:rFonts w:ascii="David" w:hAnsi="David" w:cs="David"/>
          <w:b/>
          <w:bCs/>
          <w:kern w:val="0"/>
          <w:sz w:val="24"/>
          <w:szCs w:val="24"/>
          <w:rtl/>
        </w:rPr>
        <w:t xml:space="preserve"> את הצעת הפשרה</w:t>
      </w:r>
      <w:r w:rsidRPr="00FE28E5">
        <w:rPr>
          <w:rFonts w:ascii="David" w:hAnsi="David" w:cs="David"/>
          <w:b/>
          <w:bCs/>
          <w:kern w:val="0"/>
          <w:sz w:val="24"/>
          <w:szCs w:val="24"/>
          <w:rtl/>
        </w:rPr>
        <w:t xml:space="preserve"> </w:t>
      </w:r>
      <w:r w:rsidRPr="00E8629E">
        <w:rPr>
          <w:rFonts w:ascii="David" w:hAnsi="David" w:cs="David"/>
          <w:b/>
          <w:bCs/>
          <w:kern w:val="0"/>
          <w:sz w:val="24"/>
          <w:szCs w:val="24"/>
          <w:rtl/>
        </w:rPr>
        <w:t>של ועדת הערר וכן שקלה בכובד ראש את ההערות שהעלו חברי ועדת הערר הנכבדים בנוגע לעלויות</w:t>
      </w:r>
      <w:r>
        <w:rPr>
          <w:rFonts w:ascii="David" w:hAnsi="David" w:cs="David" w:hint="cs"/>
          <w:b/>
          <w:bCs/>
          <w:kern w:val="0"/>
          <w:sz w:val="24"/>
          <w:szCs w:val="24"/>
          <w:rtl/>
        </w:rPr>
        <w:t xml:space="preserve"> </w:t>
      </w:r>
      <w:r w:rsidRPr="00E8629E">
        <w:rPr>
          <w:rFonts w:ascii="David" w:hAnsi="David" w:cs="David"/>
          <w:b/>
          <w:bCs/>
          <w:kern w:val="0"/>
          <w:sz w:val="24"/>
          <w:szCs w:val="24"/>
          <w:rtl/>
        </w:rPr>
        <w:t>המטלות הציבוריות</w:t>
      </w:r>
      <w:r w:rsidRPr="00E8629E">
        <w:rPr>
          <w:rFonts w:ascii="David" w:hAnsi="David" w:cs="David"/>
          <w:b/>
          <w:bCs/>
          <w:kern w:val="0"/>
          <w:sz w:val="24"/>
          <w:szCs w:val="24"/>
        </w:rPr>
        <w:t>.</w:t>
      </w:r>
    </w:p>
    <w:p w14:paraId="7FEAC584" w14:textId="77777777" w:rsidR="00FE28E5" w:rsidRPr="00E8629E" w:rsidRDefault="00FE28E5" w:rsidP="00E8629E">
      <w:pPr>
        <w:pStyle w:val="a9"/>
        <w:numPr>
          <w:ilvl w:val="3"/>
          <w:numId w:val="1"/>
        </w:numPr>
        <w:autoSpaceDE w:val="0"/>
        <w:autoSpaceDN w:val="0"/>
        <w:adjustRightInd w:val="0"/>
        <w:spacing w:after="0" w:line="360" w:lineRule="auto"/>
        <w:ind w:left="470" w:right="851" w:hanging="284"/>
        <w:jc w:val="both"/>
        <w:rPr>
          <w:rFonts w:ascii="David" w:hAnsi="David" w:cs="David"/>
          <w:b/>
          <w:bCs/>
          <w:kern w:val="0"/>
          <w:sz w:val="24"/>
          <w:szCs w:val="24"/>
        </w:rPr>
      </w:pPr>
      <w:r w:rsidRPr="00E8629E">
        <w:rPr>
          <w:rFonts w:ascii="David" w:hAnsi="David" w:cs="David"/>
          <w:b/>
          <w:bCs/>
          <w:kern w:val="0"/>
          <w:sz w:val="24"/>
          <w:szCs w:val="24"/>
        </w:rPr>
        <w:t xml:space="preserve"> </w:t>
      </w:r>
      <w:r w:rsidRPr="00E8629E">
        <w:rPr>
          <w:rFonts w:ascii="David" w:hAnsi="David" w:cs="David"/>
          <w:b/>
          <w:bCs/>
          <w:kern w:val="0"/>
          <w:sz w:val="24"/>
          <w:szCs w:val="24"/>
          <w:rtl/>
        </w:rPr>
        <w:t xml:space="preserve">בהתאם לכך, הגישה הוועדה המקומית </w:t>
      </w:r>
      <w:r w:rsidRPr="00E8629E">
        <w:rPr>
          <w:rFonts w:ascii="David" w:hAnsi="David" w:cs="David" w:hint="eastAsia"/>
          <w:b/>
          <w:bCs/>
          <w:kern w:val="0"/>
          <w:sz w:val="24"/>
          <w:szCs w:val="24"/>
          <w:rtl/>
        </w:rPr>
        <w:t>עמדה</w:t>
      </w:r>
      <w:r w:rsidRPr="00E8629E">
        <w:rPr>
          <w:rFonts w:ascii="David" w:hAnsi="David" w:cs="David"/>
          <w:b/>
          <w:bCs/>
          <w:kern w:val="0"/>
          <w:sz w:val="24"/>
          <w:szCs w:val="24"/>
          <w:rtl/>
        </w:rPr>
        <w:t xml:space="preserve"> </w:t>
      </w:r>
      <w:r w:rsidRPr="00E8629E">
        <w:rPr>
          <w:rFonts w:ascii="David" w:hAnsi="David" w:cs="David" w:hint="eastAsia"/>
          <w:b/>
          <w:bCs/>
          <w:kern w:val="0"/>
          <w:sz w:val="24"/>
          <w:szCs w:val="24"/>
          <w:rtl/>
        </w:rPr>
        <w:t>מתוקנת</w:t>
      </w:r>
      <w:r w:rsidRPr="00E8629E">
        <w:rPr>
          <w:rFonts w:ascii="David" w:hAnsi="David" w:cs="David"/>
          <w:b/>
          <w:bCs/>
          <w:kern w:val="0"/>
          <w:sz w:val="24"/>
          <w:szCs w:val="24"/>
          <w:rtl/>
        </w:rPr>
        <w:t xml:space="preserve"> בנוגע לעלויות המטלות הציבוריות שיש</w:t>
      </w:r>
      <w:r w:rsidRPr="00FE28E5">
        <w:rPr>
          <w:rFonts w:ascii="David" w:hAnsi="David" w:cs="David"/>
          <w:b/>
          <w:bCs/>
          <w:kern w:val="0"/>
          <w:sz w:val="24"/>
          <w:szCs w:val="24"/>
          <w:rtl/>
        </w:rPr>
        <w:t xml:space="preserve"> </w:t>
      </w:r>
      <w:r w:rsidRPr="00E8629E">
        <w:rPr>
          <w:rFonts w:ascii="David" w:hAnsi="David" w:cs="David"/>
          <w:b/>
          <w:bCs/>
          <w:kern w:val="0"/>
          <w:sz w:val="24"/>
          <w:szCs w:val="24"/>
          <w:rtl/>
        </w:rPr>
        <w:t xml:space="preserve">להפחית משווי מצב חדש של תכנית 4321 "מתחם השומרון" </w:t>
      </w:r>
      <w:r w:rsidRPr="00FE28E5">
        <w:rPr>
          <w:rFonts w:ascii="David" w:hAnsi="David" w:cs="David"/>
          <w:b/>
          <w:bCs/>
          <w:kern w:val="0"/>
          <w:sz w:val="24"/>
          <w:szCs w:val="24"/>
        </w:rPr>
        <w:t>)</w:t>
      </w:r>
      <w:r w:rsidRPr="00E8629E">
        <w:rPr>
          <w:rFonts w:ascii="David" w:hAnsi="David" w:cs="David"/>
          <w:b/>
          <w:bCs/>
          <w:kern w:val="0"/>
          <w:sz w:val="24"/>
          <w:szCs w:val="24"/>
          <w:rtl/>
        </w:rPr>
        <w:t>פורסמה למתן תוקף ביום 3.2.2020</w:t>
      </w:r>
      <w:r w:rsidRPr="00E8629E">
        <w:rPr>
          <w:rFonts w:ascii="David" w:hAnsi="David" w:cs="David"/>
          <w:b/>
          <w:bCs/>
          <w:kern w:val="0"/>
          <w:sz w:val="24"/>
          <w:szCs w:val="24"/>
        </w:rPr>
        <w:t xml:space="preserve"> ,</w:t>
      </w:r>
      <w:r w:rsidRPr="00E8629E">
        <w:rPr>
          <w:rFonts w:ascii="David" w:hAnsi="David" w:cs="David"/>
          <w:b/>
          <w:bCs/>
          <w:kern w:val="0"/>
          <w:sz w:val="24"/>
          <w:szCs w:val="24"/>
          <w:rtl/>
        </w:rPr>
        <w:t>י.פ. 8674</w:t>
      </w:r>
      <w:r w:rsidRPr="00FE28E5">
        <w:rPr>
          <w:rFonts w:ascii="David" w:hAnsi="David" w:cs="David"/>
          <w:b/>
          <w:bCs/>
          <w:kern w:val="0"/>
          <w:sz w:val="24"/>
          <w:szCs w:val="24"/>
        </w:rPr>
        <w:t>(</w:t>
      </w:r>
      <w:r w:rsidRPr="00E8629E">
        <w:rPr>
          <w:rFonts w:ascii="David" w:hAnsi="David" w:cs="David"/>
          <w:b/>
          <w:bCs/>
          <w:kern w:val="0"/>
          <w:sz w:val="24"/>
          <w:szCs w:val="24"/>
          <w:rtl/>
        </w:rPr>
        <w:t>, כך ששונתה עלות הבנייה ל</w:t>
      </w:r>
      <w:r w:rsidRPr="00E8629E">
        <w:rPr>
          <w:rFonts w:ascii="David" w:hAnsi="David" w:cs="David" w:hint="eastAsia"/>
          <w:b/>
          <w:bCs/>
          <w:kern w:val="0"/>
          <w:sz w:val="24"/>
          <w:szCs w:val="24"/>
          <w:rtl/>
        </w:rPr>
        <w:t>עלות</w:t>
      </w:r>
      <w:r w:rsidRPr="00E8629E">
        <w:rPr>
          <w:rFonts w:ascii="David" w:hAnsi="David" w:cs="David"/>
          <w:b/>
          <w:bCs/>
          <w:kern w:val="0"/>
          <w:sz w:val="24"/>
          <w:szCs w:val="24"/>
          <w:rtl/>
        </w:rPr>
        <w:t xml:space="preserve"> </w:t>
      </w:r>
      <w:r w:rsidRPr="00E8629E">
        <w:rPr>
          <w:rFonts w:ascii="David" w:hAnsi="David" w:cs="David" w:hint="eastAsia"/>
          <w:b/>
          <w:bCs/>
          <w:kern w:val="0"/>
          <w:sz w:val="24"/>
          <w:szCs w:val="24"/>
          <w:rtl/>
        </w:rPr>
        <w:t>בנייה</w:t>
      </w:r>
      <w:r w:rsidRPr="00E8629E">
        <w:rPr>
          <w:rFonts w:ascii="David" w:hAnsi="David" w:cs="David"/>
          <w:b/>
          <w:bCs/>
          <w:kern w:val="0"/>
          <w:sz w:val="24"/>
          <w:szCs w:val="24"/>
          <w:rtl/>
        </w:rPr>
        <w:t xml:space="preserve"> </w:t>
      </w:r>
      <w:r w:rsidRPr="00E8629E">
        <w:rPr>
          <w:rFonts w:ascii="David" w:hAnsi="David" w:cs="David" w:hint="eastAsia"/>
          <w:b/>
          <w:bCs/>
          <w:kern w:val="0"/>
          <w:sz w:val="24"/>
          <w:szCs w:val="24"/>
          <w:rtl/>
        </w:rPr>
        <w:t>בגמר</w:t>
      </w:r>
      <w:r w:rsidRPr="00E8629E">
        <w:rPr>
          <w:rFonts w:ascii="David" w:hAnsi="David" w:cs="David"/>
          <w:b/>
          <w:bCs/>
          <w:kern w:val="0"/>
          <w:sz w:val="24"/>
          <w:szCs w:val="24"/>
          <w:rtl/>
        </w:rPr>
        <w:t xml:space="preserve"> </w:t>
      </w:r>
      <w:r w:rsidRPr="00E8629E">
        <w:rPr>
          <w:rFonts w:ascii="David" w:hAnsi="David" w:cs="David" w:hint="eastAsia"/>
          <w:b/>
          <w:bCs/>
          <w:kern w:val="0"/>
          <w:sz w:val="24"/>
          <w:szCs w:val="24"/>
          <w:rtl/>
        </w:rPr>
        <w:t>מלא</w:t>
      </w:r>
      <w:r w:rsidRPr="00E8629E">
        <w:rPr>
          <w:rFonts w:ascii="David" w:hAnsi="David" w:cs="David"/>
          <w:b/>
          <w:bCs/>
          <w:kern w:val="0"/>
          <w:sz w:val="24"/>
          <w:szCs w:val="24"/>
          <w:rtl/>
        </w:rPr>
        <w:t xml:space="preserve"> </w:t>
      </w:r>
      <w:r w:rsidRPr="00E8629E">
        <w:rPr>
          <w:rFonts w:ascii="David" w:hAnsi="David" w:cs="David" w:hint="eastAsia"/>
          <w:b/>
          <w:bCs/>
          <w:kern w:val="0"/>
          <w:sz w:val="24"/>
          <w:szCs w:val="24"/>
          <w:rtl/>
        </w:rPr>
        <w:t>בתוספת</w:t>
      </w:r>
      <w:r w:rsidRPr="00E8629E">
        <w:rPr>
          <w:rFonts w:ascii="David" w:hAnsi="David" w:cs="David"/>
          <w:b/>
          <w:bCs/>
          <w:kern w:val="0"/>
          <w:sz w:val="24"/>
          <w:szCs w:val="24"/>
          <w:rtl/>
        </w:rPr>
        <w:t xml:space="preserve"> </w:t>
      </w:r>
      <w:r w:rsidRPr="00E8629E">
        <w:rPr>
          <w:rFonts w:ascii="David" w:hAnsi="David" w:cs="David" w:hint="eastAsia"/>
          <w:b/>
          <w:bCs/>
          <w:kern w:val="0"/>
          <w:sz w:val="24"/>
          <w:szCs w:val="24"/>
          <w:rtl/>
        </w:rPr>
        <w:t>מע</w:t>
      </w:r>
      <w:r w:rsidRPr="00E8629E">
        <w:rPr>
          <w:rFonts w:ascii="David" w:hAnsi="David" w:cs="David"/>
          <w:b/>
          <w:bCs/>
          <w:kern w:val="0"/>
          <w:sz w:val="24"/>
          <w:szCs w:val="24"/>
          <w:rtl/>
        </w:rPr>
        <w:t>"</w:t>
      </w:r>
      <w:r w:rsidRPr="00E8629E">
        <w:rPr>
          <w:rFonts w:ascii="David" w:hAnsi="David" w:cs="David" w:hint="eastAsia"/>
          <w:b/>
          <w:bCs/>
          <w:kern w:val="0"/>
          <w:sz w:val="24"/>
          <w:szCs w:val="24"/>
          <w:rtl/>
        </w:rPr>
        <w:t>מ</w:t>
      </w:r>
      <w:r w:rsidRPr="00E8629E">
        <w:rPr>
          <w:rFonts w:ascii="David" w:hAnsi="David" w:cs="David"/>
          <w:b/>
          <w:bCs/>
          <w:kern w:val="0"/>
          <w:sz w:val="24"/>
          <w:szCs w:val="24"/>
        </w:rPr>
        <w:t>.</w:t>
      </w:r>
    </w:p>
    <w:p w14:paraId="6CA84C91" w14:textId="77777777" w:rsidR="00FE28E5" w:rsidRPr="00E9125A" w:rsidRDefault="00FE28E5" w:rsidP="00E8629E">
      <w:pPr>
        <w:pStyle w:val="a9"/>
        <w:numPr>
          <w:ilvl w:val="3"/>
          <w:numId w:val="1"/>
        </w:numPr>
        <w:autoSpaceDE w:val="0"/>
        <w:autoSpaceDN w:val="0"/>
        <w:adjustRightInd w:val="0"/>
        <w:spacing w:after="0" w:line="360" w:lineRule="auto"/>
        <w:ind w:left="470" w:right="851" w:hanging="284"/>
        <w:jc w:val="both"/>
        <w:rPr>
          <w:rFonts w:ascii="David" w:hAnsi="David" w:cs="David"/>
          <w:b/>
          <w:bCs/>
          <w:sz w:val="24"/>
          <w:szCs w:val="24"/>
        </w:rPr>
      </w:pPr>
      <w:r w:rsidRPr="00E8629E">
        <w:rPr>
          <w:rFonts w:ascii="David" w:hAnsi="David" w:cs="David"/>
          <w:b/>
          <w:bCs/>
          <w:kern w:val="0"/>
          <w:sz w:val="24"/>
          <w:szCs w:val="24"/>
        </w:rPr>
        <w:t xml:space="preserve"> </w:t>
      </w:r>
      <w:r w:rsidRPr="00E8629E">
        <w:rPr>
          <w:rFonts w:ascii="David" w:hAnsi="David" w:cs="David"/>
          <w:b/>
          <w:bCs/>
          <w:kern w:val="0"/>
          <w:sz w:val="24"/>
          <w:szCs w:val="24"/>
          <w:rtl/>
        </w:rPr>
        <w:t xml:space="preserve">יחד עם זאת, בשאר הסוגיות מושא ערר זה, הוועדה המקומית </w:t>
      </w:r>
      <w:r w:rsidRPr="00E8629E">
        <w:rPr>
          <w:rFonts w:ascii="David" w:hAnsi="David" w:cs="David" w:hint="eastAsia"/>
          <w:b/>
          <w:bCs/>
          <w:kern w:val="0"/>
          <w:sz w:val="24"/>
          <w:szCs w:val="24"/>
          <w:rtl/>
        </w:rPr>
        <w:t>לא</w:t>
      </w:r>
      <w:r w:rsidRPr="00E8629E">
        <w:rPr>
          <w:rFonts w:ascii="David" w:hAnsi="David" w:cs="David"/>
          <w:b/>
          <w:bCs/>
          <w:kern w:val="0"/>
          <w:sz w:val="24"/>
          <w:szCs w:val="24"/>
          <w:rtl/>
        </w:rPr>
        <w:t xml:space="preserve"> </w:t>
      </w:r>
      <w:r w:rsidRPr="00E8629E">
        <w:rPr>
          <w:rFonts w:ascii="David" w:hAnsi="David" w:cs="David" w:hint="eastAsia"/>
          <w:b/>
          <w:bCs/>
          <w:kern w:val="0"/>
          <w:sz w:val="24"/>
          <w:szCs w:val="24"/>
          <w:rtl/>
        </w:rPr>
        <w:t>מסכימה</w:t>
      </w:r>
      <w:r w:rsidRPr="00E8629E">
        <w:rPr>
          <w:rFonts w:ascii="David" w:hAnsi="David" w:cs="David"/>
          <w:b/>
          <w:bCs/>
          <w:kern w:val="0"/>
          <w:sz w:val="24"/>
          <w:szCs w:val="24"/>
          <w:rtl/>
        </w:rPr>
        <w:t xml:space="preserve"> לפשרה. מסיבה זו</w:t>
      </w:r>
      <w:r w:rsidRPr="00E8629E">
        <w:rPr>
          <w:rFonts w:ascii="David" w:hAnsi="David" w:cs="David"/>
          <w:b/>
          <w:bCs/>
          <w:kern w:val="0"/>
          <w:sz w:val="24"/>
          <w:szCs w:val="24"/>
        </w:rPr>
        <w:t>,</w:t>
      </w:r>
      <w:r w:rsidRPr="00FE28E5">
        <w:rPr>
          <w:rFonts w:ascii="David" w:hAnsi="David" w:cs="David"/>
          <w:b/>
          <w:bCs/>
          <w:kern w:val="0"/>
          <w:sz w:val="24"/>
          <w:szCs w:val="24"/>
          <w:rtl/>
        </w:rPr>
        <w:t xml:space="preserve"> </w:t>
      </w:r>
      <w:r w:rsidRPr="00E8629E">
        <w:rPr>
          <w:rFonts w:ascii="David" w:hAnsi="David" w:cs="David"/>
          <w:b/>
          <w:bCs/>
          <w:kern w:val="0"/>
          <w:sz w:val="24"/>
          <w:szCs w:val="24"/>
          <w:rtl/>
        </w:rPr>
        <w:t>הוועדה המקומית לא פנתה לעוררות לצורך מגעים לפשרה</w:t>
      </w:r>
      <w:r w:rsidRPr="00E8629E">
        <w:rPr>
          <w:rFonts w:ascii="David" w:hAnsi="David" w:cs="David"/>
          <w:b/>
          <w:bCs/>
          <w:kern w:val="0"/>
          <w:sz w:val="24"/>
          <w:szCs w:val="24"/>
        </w:rPr>
        <w:t>.</w:t>
      </w:r>
    </w:p>
    <w:p w14:paraId="0F8E3B02" w14:textId="77777777" w:rsidR="00FE28E5" w:rsidRDefault="00FE28E5">
      <w:pPr>
        <w:spacing w:line="360" w:lineRule="auto"/>
        <w:ind w:left="90" w:hanging="425"/>
        <w:rPr>
          <w:rFonts w:ascii="David" w:hAnsi="David" w:cs="David"/>
          <w:b/>
          <w:bCs/>
          <w:sz w:val="24"/>
          <w:szCs w:val="24"/>
          <w:rtl/>
        </w:rPr>
      </w:pPr>
    </w:p>
    <w:p w14:paraId="5E7A7798" w14:textId="77777777" w:rsidR="00620B6C" w:rsidRPr="00E8629E" w:rsidRDefault="00620B6C" w:rsidP="00E8629E">
      <w:pPr>
        <w:spacing w:line="360" w:lineRule="auto"/>
        <w:ind w:left="90" w:hanging="425"/>
        <w:rPr>
          <w:rFonts w:ascii="David" w:hAnsi="David" w:cs="David"/>
          <w:b/>
          <w:bCs/>
          <w:sz w:val="24"/>
          <w:szCs w:val="24"/>
          <w:u w:val="single"/>
        </w:rPr>
      </w:pPr>
      <w:r w:rsidRPr="00E8629E">
        <w:rPr>
          <w:rFonts w:ascii="David" w:hAnsi="David" w:cs="David" w:hint="eastAsia"/>
          <w:b/>
          <w:bCs/>
          <w:sz w:val="24"/>
          <w:szCs w:val="24"/>
          <w:u w:val="single"/>
          <w:rtl/>
        </w:rPr>
        <w:t>דיון</w:t>
      </w:r>
      <w:r w:rsidRPr="00E8629E">
        <w:rPr>
          <w:rFonts w:ascii="David" w:hAnsi="David" w:cs="David"/>
          <w:b/>
          <w:bCs/>
          <w:sz w:val="24"/>
          <w:szCs w:val="24"/>
          <w:u w:val="single"/>
          <w:rtl/>
        </w:rPr>
        <w:t xml:space="preserve"> </w:t>
      </w:r>
      <w:r w:rsidRPr="00E8629E">
        <w:rPr>
          <w:rFonts w:ascii="David" w:hAnsi="David" w:cs="David" w:hint="eastAsia"/>
          <w:b/>
          <w:bCs/>
          <w:sz w:val="24"/>
          <w:szCs w:val="24"/>
          <w:u w:val="single"/>
          <w:rtl/>
        </w:rPr>
        <w:t>והכרעה</w:t>
      </w:r>
    </w:p>
    <w:p w14:paraId="1B4AE115" w14:textId="6D270355" w:rsidR="0006183D" w:rsidRDefault="007F25D1" w:rsidP="00E8629E">
      <w:pPr>
        <w:pStyle w:val="a9"/>
        <w:numPr>
          <w:ilvl w:val="0"/>
          <w:numId w:val="1"/>
        </w:numPr>
        <w:spacing w:line="360" w:lineRule="auto"/>
        <w:ind w:left="90" w:hanging="425"/>
        <w:contextualSpacing w:val="0"/>
        <w:jc w:val="both"/>
        <w:rPr>
          <w:rFonts w:ascii="David" w:hAnsi="David" w:cs="David"/>
          <w:sz w:val="24"/>
          <w:szCs w:val="24"/>
        </w:rPr>
      </w:pPr>
      <w:r>
        <w:rPr>
          <w:rFonts w:ascii="David" w:hAnsi="David" w:cs="David" w:hint="cs"/>
          <w:sz w:val="24"/>
          <w:szCs w:val="24"/>
          <w:rtl/>
        </w:rPr>
        <w:t xml:space="preserve">במסגרת הכרעת השמאי המכריע קבע הוא </w:t>
      </w:r>
      <w:r w:rsidR="0021511E">
        <w:rPr>
          <w:rFonts w:ascii="David" w:hAnsi="David" w:cs="David" w:hint="cs"/>
          <w:sz w:val="24"/>
          <w:szCs w:val="24"/>
          <w:rtl/>
        </w:rPr>
        <w:t xml:space="preserve">כי עלות המטלות הציבוריות יופחת </w:t>
      </w:r>
      <w:r w:rsidR="00C83930">
        <w:rPr>
          <w:rFonts w:ascii="David" w:hAnsi="David" w:cs="David" w:hint="cs"/>
          <w:sz w:val="24"/>
          <w:szCs w:val="24"/>
          <w:rtl/>
        </w:rPr>
        <w:t>לפי עלות</w:t>
      </w:r>
      <w:r w:rsidR="0021511E">
        <w:rPr>
          <w:rFonts w:ascii="David" w:hAnsi="David" w:cs="David" w:hint="cs"/>
          <w:sz w:val="24"/>
          <w:szCs w:val="24"/>
          <w:rtl/>
        </w:rPr>
        <w:t xml:space="preserve"> בנייה ב"רמת מעטפת", ולא בנייה "ברמת גמר</w:t>
      </w:r>
      <w:r w:rsidR="000E4FB5">
        <w:rPr>
          <w:rFonts w:ascii="David" w:hAnsi="David" w:cs="David" w:hint="cs"/>
          <w:sz w:val="24"/>
          <w:szCs w:val="24"/>
          <w:rtl/>
        </w:rPr>
        <w:t xml:space="preserve"> מלאה</w:t>
      </w:r>
      <w:r w:rsidR="0021511E">
        <w:rPr>
          <w:rFonts w:ascii="David" w:hAnsi="David" w:cs="David" w:hint="cs"/>
          <w:sz w:val="24"/>
          <w:szCs w:val="24"/>
          <w:rtl/>
        </w:rPr>
        <w:t>", קרי העלות לבניית המבנה על כל הפרטים שנדרשים להשלמתו לשימושו בפועל לשם התועלת הציבורית</w:t>
      </w:r>
      <w:r w:rsidR="00AD28E0">
        <w:rPr>
          <w:rFonts w:ascii="David" w:hAnsi="David" w:cs="David" w:hint="cs"/>
          <w:sz w:val="24"/>
          <w:szCs w:val="24"/>
          <w:rtl/>
        </w:rPr>
        <w:t xml:space="preserve"> הנדרשת בהתאם להסכם בין הצדדים.</w:t>
      </w:r>
    </w:p>
    <w:p w14:paraId="22A99475" w14:textId="5DD46EF2" w:rsidR="00914BFB" w:rsidRDefault="00AD28E0">
      <w:pPr>
        <w:pStyle w:val="a9"/>
        <w:numPr>
          <w:ilvl w:val="0"/>
          <w:numId w:val="1"/>
        </w:numPr>
        <w:spacing w:line="360" w:lineRule="auto"/>
        <w:ind w:left="90" w:hanging="425"/>
        <w:contextualSpacing w:val="0"/>
        <w:jc w:val="both"/>
        <w:rPr>
          <w:rFonts w:ascii="David" w:hAnsi="David" w:cs="David"/>
          <w:sz w:val="24"/>
          <w:szCs w:val="24"/>
        </w:rPr>
      </w:pPr>
      <w:r>
        <w:rPr>
          <w:rFonts w:ascii="David" w:hAnsi="David" w:cs="David" w:hint="cs"/>
          <w:sz w:val="24"/>
          <w:szCs w:val="24"/>
          <w:rtl/>
        </w:rPr>
        <w:t>כאמור לעיל, לאחר דיון ארוך בפנינו</w:t>
      </w:r>
      <w:r w:rsidR="00A1123A">
        <w:rPr>
          <w:rFonts w:ascii="David" w:hAnsi="David" w:cs="David" w:hint="cs"/>
          <w:sz w:val="24"/>
          <w:szCs w:val="24"/>
          <w:rtl/>
        </w:rPr>
        <w:t xml:space="preserve">, </w:t>
      </w:r>
      <w:r>
        <w:rPr>
          <w:rFonts w:ascii="David" w:hAnsi="David" w:cs="David" w:hint="cs"/>
          <w:sz w:val="24"/>
          <w:szCs w:val="24"/>
          <w:rtl/>
        </w:rPr>
        <w:t xml:space="preserve">כפי שמשתקף מפרוטוקול הדיון </w:t>
      </w:r>
      <w:r w:rsidR="00A1123A">
        <w:rPr>
          <w:rFonts w:ascii="David" w:hAnsi="David" w:cs="David" w:hint="cs"/>
          <w:sz w:val="24"/>
          <w:szCs w:val="24"/>
          <w:rtl/>
        </w:rPr>
        <w:t>והוספת כתבי טענות לאחר קיום הדיון -</w:t>
      </w:r>
      <w:r>
        <w:rPr>
          <w:rFonts w:ascii="David" w:hAnsi="David" w:cs="David" w:hint="cs"/>
          <w:sz w:val="24"/>
          <w:szCs w:val="24"/>
          <w:rtl/>
        </w:rPr>
        <w:t xml:space="preserve"> הבהירה בפנינו</w:t>
      </w:r>
      <w:r w:rsidR="00A1123A">
        <w:rPr>
          <w:rFonts w:ascii="David" w:hAnsi="David" w:cs="David" w:hint="cs"/>
          <w:sz w:val="24"/>
          <w:szCs w:val="24"/>
          <w:rtl/>
        </w:rPr>
        <w:t xml:space="preserve"> הוועדה המקומית</w:t>
      </w:r>
      <w:r>
        <w:rPr>
          <w:rFonts w:ascii="David" w:hAnsi="David" w:cs="David" w:hint="cs"/>
          <w:sz w:val="24"/>
          <w:szCs w:val="24"/>
          <w:rtl/>
        </w:rPr>
        <w:t xml:space="preserve"> כי אכן יש לחשב את שווי עלות המטלה על פי רמת הגמר הנדרשת על ידה בהסכמים מול היזם.</w:t>
      </w:r>
      <w:r w:rsidR="00914BFB">
        <w:rPr>
          <w:rFonts w:ascii="David" w:hAnsi="David" w:cs="David" w:hint="cs"/>
          <w:sz w:val="24"/>
          <w:szCs w:val="24"/>
          <w:rtl/>
        </w:rPr>
        <w:t xml:space="preserve"> </w:t>
      </w:r>
    </w:p>
    <w:p w14:paraId="5EB11E53" w14:textId="77777777" w:rsidR="00A03F7F" w:rsidRPr="00F17F4E" w:rsidRDefault="00A03F7F" w:rsidP="00E8629E">
      <w:pPr>
        <w:pStyle w:val="a9"/>
        <w:numPr>
          <w:ilvl w:val="0"/>
          <w:numId w:val="1"/>
        </w:numPr>
        <w:spacing w:line="360" w:lineRule="auto"/>
        <w:ind w:left="90" w:hanging="425"/>
        <w:contextualSpacing w:val="0"/>
        <w:jc w:val="both"/>
        <w:rPr>
          <w:rFonts w:ascii="David" w:hAnsi="David" w:cs="David"/>
          <w:sz w:val="24"/>
          <w:szCs w:val="24"/>
        </w:rPr>
      </w:pPr>
      <w:r w:rsidRPr="00F17F4E">
        <w:rPr>
          <w:rFonts w:ascii="David" w:hAnsi="David" w:cs="David"/>
          <w:sz w:val="24"/>
          <w:szCs w:val="24"/>
          <w:rtl/>
        </w:rPr>
        <w:t xml:space="preserve">למעשה, הוועדה המקומית שינתה את עמדתה ביחס לסוגיה זו, כעולה מדבריה בדבר </w:t>
      </w:r>
      <w:r w:rsidR="001E50FE" w:rsidRPr="00F17F4E">
        <w:rPr>
          <w:rFonts w:ascii="David" w:hAnsi="David" w:cs="David" w:hint="cs"/>
          <w:sz w:val="24"/>
          <w:szCs w:val="24"/>
          <w:rtl/>
        </w:rPr>
        <w:t>"</w:t>
      </w:r>
      <w:r w:rsidRPr="00F17F4E">
        <w:rPr>
          <w:rFonts w:ascii="David" w:hAnsi="David" w:cs="David"/>
          <w:sz w:val="24"/>
          <w:szCs w:val="24"/>
          <w:u w:val="single"/>
          <w:rtl/>
        </w:rPr>
        <w:t xml:space="preserve">עמדה מתוקנת בנוגע לעלויות המטלות הציבוריות שיש להפחית משווי מצב </w:t>
      </w:r>
      <w:r w:rsidR="001E50FE" w:rsidRPr="00F17F4E">
        <w:rPr>
          <w:rFonts w:ascii="David" w:hAnsi="David" w:cs="David" w:hint="cs"/>
          <w:sz w:val="24"/>
          <w:szCs w:val="24"/>
          <w:u w:val="single"/>
          <w:rtl/>
        </w:rPr>
        <w:t>חדש</w:t>
      </w:r>
      <w:r w:rsidR="001E50FE" w:rsidRPr="00F17F4E">
        <w:rPr>
          <w:rFonts w:ascii="David" w:hAnsi="David" w:cs="David" w:hint="cs"/>
          <w:sz w:val="24"/>
          <w:szCs w:val="24"/>
          <w:rtl/>
        </w:rPr>
        <w:t>"</w:t>
      </w:r>
      <w:r w:rsidRPr="00F17F4E">
        <w:rPr>
          <w:rFonts w:ascii="David" w:hAnsi="David" w:cs="David"/>
          <w:sz w:val="24"/>
          <w:szCs w:val="24"/>
        </w:rPr>
        <w:t>.</w:t>
      </w:r>
      <w:r w:rsidR="001E50FE" w:rsidRPr="00F17F4E">
        <w:rPr>
          <w:rFonts w:ascii="David" w:hAnsi="David" w:cs="David" w:hint="cs"/>
          <w:sz w:val="24"/>
          <w:szCs w:val="24"/>
          <w:rtl/>
        </w:rPr>
        <w:t xml:space="preserve"> </w:t>
      </w:r>
      <w:r w:rsidRPr="00F17F4E">
        <w:rPr>
          <w:rFonts w:ascii="David" w:hAnsi="David" w:cs="David"/>
          <w:sz w:val="24"/>
          <w:szCs w:val="24"/>
          <w:rtl/>
        </w:rPr>
        <w:t>לעמדה מתוקנת זו נודעות, מטבע הדברים, השלכות רוחב גם על מקרים דומים לאלה שבפנינו. לפיכך, במקרים המתאימים, על הוועדה המקומית לאמצה וליישמה, הן מטעמי שוויון בין נישומים והן מכוח עקרונות המשפט המנהלי</w:t>
      </w:r>
      <w:r w:rsidRPr="00F17F4E">
        <w:rPr>
          <w:rFonts w:ascii="David" w:hAnsi="David" w:cs="David"/>
          <w:sz w:val="24"/>
          <w:szCs w:val="24"/>
        </w:rPr>
        <w:t>.</w:t>
      </w:r>
    </w:p>
    <w:p w14:paraId="4BE53D7A" w14:textId="77777777" w:rsidR="00AD28E0" w:rsidRDefault="00DC1827" w:rsidP="00E8629E">
      <w:pPr>
        <w:pStyle w:val="a9"/>
        <w:numPr>
          <w:ilvl w:val="0"/>
          <w:numId w:val="1"/>
        </w:numPr>
        <w:spacing w:line="360" w:lineRule="auto"/>
        <w:ind w:left="90" w:hanging="425"/>
        <w:contextualSpacing w:val="0"/>
        <w:jc w:val="both"/>
        <w:rPr>
          <w:rFonts w:ascii="David" w:hAnsi="David" w:cs="David"/>
          <w:sz w:val="24"/>
          <w:szCs w:val="24"/>
        </w:rPr>
      </w:pPr>
      <w:r>
        <w:rPr>
          <w:rFonts w:ascii="David" w:hAnsi="David" w:cs="David" w:hint="cs"/>
          <w:sz w:val="24"/>
          <w:szCs w:val="24"/>
          <w:rtl/>
        </w:rPr>
        <w:lastRenderedPageBreak/>
        <w:t xml:space="preserve">אנו סבורים כי </w:t>
      </w:r>
      <w:r w:rsidR="00E942D7">
        <w:rPr>
          <w:rFonts w:ascii="David" w:hAnsi="David" w:cs="David" w:hint="cs"/>
          <w:sz w:val="24"/>
          <w:szCs w:val="24"/>
          <w:rtl/>
        </w:rPr>
        <w:t>טוב עשתה</w:t>
      </w:r>
      <w:r>
        <w:rPr>
          <w:rFonts w:ascii="David" w:hAnsi="David" w:cs="David" w:hint="cs"/>
          <w:sz w:val="24"/>
          <w:szCs w:val="24"/>
          <w:rtl/>
        </w:rPr>
        <w:t xml:space="preserve"> </w:t>
      </w:r>
      <w:r w:rsidR="00E942D7">
        <w:rPr>
          <w:rFonts w:ascii="David" w:hAnsi="David" w:cs="David" w:hint="cs"/>
          <w:sz w:val="24"/>
          <w:szCs w:val="24"/>
          <w:rtl/>
        </w:rPr>
        <w:t>ש</w:t>
      </w:r>
      <w:r>
        <w:rPr>
          <w:rFonts w:ascii="David" w:hAnsi="David" w:cs="David" w:hint="cs"/>
          <w:sz w:val="24"/>
          <w:szCs w:val="24"/>
          <w:rtl/>
        </w:rPr>
        <w:t xml:space="preserve">הסכימה לכך. </w:t>
      </w:r>
      <w:r w:rsidR="00AD28E0">
        <w:rPr>
          <w:rFonts w:ascii="David" w:hAnsi="David" w:cs="David" w:hint="cs"/>
          <w:sz w:val="24"/>
          <w:szCs w:val="24"/>
          <w:rtl/>
        </w:rPr>
        <w:t xml:space="preserve">מדובר בהתנהלות ראויה והוגנת המשקפת </w:t>
      </w:r>
      <w:r w:rsidR="00345F74">
        <w:rPr>
          <w:rFonts w:ascii="David" w:hAnsi="David" w:cs="David" w:hint="cs"/>
          <w:sz w:val="24"/>
          <w:szCs w:val="24"/>
          <w:rtl/>
        </w:rPr>
        <w:t>את האופן בו ראוי כי ועדה מקומית תפעל בנסיבות מעין אלו.</w:t>
      </w:r>
    </w:p>
    <w:p w14:paraId="34745DAB" w14:textId="77777777" w:rsidR="00322FBE" w:rsidRPr="000958E1" w:rsidRDefault="00DC1827" w:rsidP="00E9125A">
      <w:pPr>
        <w:pStyle w:val="a9"/>
        <w:numPr>
          <w:ilvl w:val="0"/>
          <w:numId w:val="1"/>
        </w:numPr>
        <w:spacing w:line="360" w:lineRule="auto"/>
        <w:ind w:left="90" w:hanging="425"/>
        <w:contextualSpacing w:val="0"/>
        <w:jc w:val="both"/>
        <w:rPr>
          <w:rFonts w:ascii="David" w:hAnsi="David" w:cs="David"/>
          <w:sz w:val="24"/>
          <w:szCs w:val="24"/>
          <w:rtl/>
        </w:rPr>
      </w:pPr>
      <w:r>
        <w:rPr>
          <w:rFonts w:ascii="David" w:hAnsi="David" w:cs="David" w:hint="cs"/>
          <w:sz w:val="24"/>
          <w:szCs w:val="24"/>
          <w:rtl/>
        </w:rPr>
        <w:t>נזכיר בהקשר זה</w:t>
      </w:r>
      <w:r w:rsidR="00322FBE">
        <w:rPr>
          <w:rFonts w:ascii="David" w:hAnsi="David" w:cs="David" w:hint="cs"/>
          <w:sz w:val="24"/>
          <w:szCs w:val="24"/>
          <w:rtl/>
        </w:rPr>
        <w:t xml:space="preserve"> את החלטת ועדת הערר </w:t>
      </w:r>
      <w:r w:rsidR="00322FBE" w:rsidRPr="00E9125A">
        <w:rPr>
          <w:rFonts w:ascii="David" w:hAnsi="David" w:cs="David"/>
          <w:sz w:val="24"/>
          <w:szCs w:val="24"/>
          <w:rtl/>
        </w:rPr>
        <w:t>ערר (ועדות ערר - תכנון ובנייה ירושלים) 186/13 </w:t>
      </w:r>
      <w:proofErr w:type="spellStart"/>
      <w:r w:rsidR="00322FBE" w:rsidRPr="00E9125A">
        <w:rPr>
          <w:rFonts w:ascii="David" w:hAnsi="David" w:cs="David"/>
          <w:b/>
          <w:bCs/>
          <w:sz w:val="24"/>
          <w:szCs w:val="24"/>
          <w:rtl/>
        </w:rPr>
        <w:t>מ.ה.א.ר</w:t>
      </w:r>
      <w:proofErr w:type="spellEnd"/>
      <w:r w:rsidR="00322FBE" w:rsidRPr="00E9125A">
        <w:rPr>
          <w:rFonts w:ascii="David" w:hAnsi="David" w:cs="David"/>
          <w:b/>
          <w:bCs/>
          <w:sz w:val="24"/>
          <w:szCs w:val="24"/>
          <w:rtl/>
        </w:rPr>
        <w:t xml:space="preserve"> בנין והשקעות בע"מ נ' הועדה המקומית לתכנון ולבניה ירושלים</w:t>
      </w:r>
      <w:r w:rsidR="00322FBE" w:rsidRPr="00E9125A">
        <w:rPr>
          <w:rFonts w:ascii="David" w:hAnsi="David" w:cs="David"/>
          <w:sz w:val="24"/>
          <w:szCs w:val="24"/>
          <w:rtl/>
        </w:rPr>
        <w:t> (נבו</w:t>
      </w:r>
      <w:r w:rsidR="00E02E73">
        <w:rPr>
          <w:rFonts w:ascii="David" w:hAnsi="David" w:cs="David" w:hint="cs"/>
          <w:sz w:val="24"/>
          <w:szCs w:val="24"/>
          <w:rtl/>
        </w:rPr>
        <w:t>)</w:t>
      </w:r>
      <w:r w:rsidR="00FB0744">
        <w:rPr>
          <w:rFonts w:ascii="David" w:hAnsi="David" w:cs="David" w:hint="cs"/>
          <w:sz w:val="24"/>
          <w:szCs w:val="24"/>
          <w:rtl/>
        </w:rPr>
        <w:t xml:space="preserve"> (להלן: "</w:t>
      </w:r>
      <w:r w:rsidR="00FB0744" w:rsidRPr="00E9125A">
        <w:rPr>
          <w:rFonts w:ascii="David" w:hAnsi="David" w:cs="David" w:hint="eastAsia"/>
          <w:b/>
          <w:bCs/>
          <w:sz w:val="24"/>
          <w:szCs w:val="24"/>
          <w:rtl/>
        </w:rPr>
        <w:t>ערר</w:t>
      </w:r>
      <w:r w:rsidR="00FB0744" w:rsidRPr="00E9125A">
        <w:rPr>
          <w:rFonts w:ascii="David" w:hAnsi="David" w:cs="David"/>
          <w:b/>
          <w:bCs/>
          <w:sz w:val="24"/>
          <w:szCs w:val="24"/>
          <w:rtl/>
        </w:rPr>
        <w:t xml:space="preserve"> </w:t>
      </w:r>
      <w:proofErr w:type="spellStart"/>
      <w:r w:rsidR="00FB0744" w:rsidRPr="00E9125A">
        <w:rPr>
          <w:rFonts w:ascii="David" w:hAnsi="David" w:cs="David" w:hint="eastAsia"/>
          <w:b/>
          <w:bCs/>
          <w:sz w:val="24"/>
          <w:szCs w:val="24"/>
          <w:rtl/>
        </w:rPr>
        <w:t>מ</w:t>
      </w:r>
      <w:r w:rsidR="00FB0744" w:rsidRPr="00E9125A">
        <w:rPr>
          <w:rFonts w:ascii="David" w:hAnsi="David" w:cs="David"/>
          <w:b/>
          <w:bCs/>
          <w:sz w:val="24"/>
          <w:szCs w:val="24"/>
          <w:rtl/>
        </w:rPr>
        <w:t>.ה.א.ר</w:t>
      </w:r>
      <w:proofErr w:type="spellEnd"/>
      <w:r w:rsidR="00FB0744">
        <w:rPr>
          <w:rFonts w:ascii="David" w:hAnsi="David" w:cs="David" w:hint="cs"/>
          <w:sz w:val="24"/>
          <w:szCs w:val="24"/>
          <w:rtl/>
        </w:rPr>
        <w:t>")</w:t>
      </w:r>
      <w:r w:rsidR="00E02E73">
        <w:rPr>
          <w:rFonts w:ascii="David" w:hAnsi="David" w:cs="David" w:hint="cs"/>
          <w:sz w:val="24"/>
          <w:szCs w:val="24"/>
          <w:rtl/>
        </w:rPr>
        <w:t>:</w:t>
      </w:r>
    </w:p>
    <w:p w14:paraId="6F3A359F" w14:textId="77777777" w:rsidR="00620B6C" w:rsidRDefault="00322FBE" w:rsidP="00E9125A">
      <w:pPr>
        <w:pStyle w:val="a9"/>
        <w:spacing w:line="360" w:lineRule="auto"/>
        <w:ind w:left="611" w:right="851"/>
        <w:jc w:val="both"/>
        <w:rPr>
          <w:rFonts w:ascii="David" w:hAnsi="David" w:cs="David"/>
          <w:b/>
          <w:bCs/>
          <w:sz w:val="24"/>
          <w:szCs w:val="24"/>
          <w:rtl/>
        </w:rPr>
      </w:pPr>
      <w:r w:rsidRPr="00E9125A">
        <w:rPr>
          <w:rFonts w:ascii="David" w:hAnsi="David" w:cs="David"/>
          <w:b/>
          <w:bCs/>
          <w:sz w:val="24"/>
          <w:szCs w:val="24"/>
          <w:rtl/>
        </w:rPr>
        <w:t xml:space="preserve">"אין בדיני היטל ההשבחה כל אפשרות "לקזז" במסגרת הליך קביעת היטל ההשבחה קיזוז של חוב כלשהו, לא חוב שנוצר מהתכנית ולא חוב שנוצר ממערכת יחסים כלשהי בין הנישום לוועדה המקומית.   בהליך קביעת היטל ההשבחה, בוחנת ועדת הערר, בעזרת הכלים שהקנה לה המחוקק, מהו היטל ההשבחה הנובע מהאקט הנורמטיבי. כאשר קבעה ועדת הערר את היטל ההשבחה הרלוונטי, אין היא מוסמכת לקבוע הפחתות, קיזוזים או מניעה </w:t>
      </w:r>
      <w:proofErr w:type="spellStart"/>
      <w:r w:rsidRPr="00E9125A">
        <w:rPr>
          <w:rFonts w:ascii="David" w:hAnsi="David" w:cs="David"/>
          <w:b/>
          <w:bCs/>
          <w:sz w:val="24"/>
          <w:szCs w:val="24"/>
          <w:rtl/>
        </w:rPr>
        <w:t>מלגבותו</w:t>
      </w:r>
      <w:proofErr w:type="spellEnd"/>
      <w:r w:rsidRPr="00E9125A">
        <w:rPr>
          <w:rFonts w:ascii="David" w:hAnsi="David" w:cs="David"/>
          <w:b/>
          <w:bCs/>
          <w:sz w:val="24"/>
          <w:szCs w:val="24"/>
          <w:rtl/>
        </w:rPr>
        <w:t>. טענות אלו יש לברר בהליך אזרחי בין הנישום לוועדה המקומית ואין הן רלוונטיות להליך קביעת היטל ההשבחה, ההליך המתברר בפני ועדת הערר ו/או שמאי מכריע.  לפיכך, למטלות הציבוריות מכוח התכנית קיימת רלוונטיות אך ורק לשווי המקרקעין במצב החדש. שיעור המטלות הציבוריות נקבע לפי השיעור שהיה צופה קונה סביר במועד הקובע שיהיה עליו להוציא לביצוע מטלות אלו, ושיעור זה יש להפחית משווי המקרקעין במצב החדש. כמובן, ככל שיש במטלה הציבורית להשביח את ערך המקרקעין יש להביא גם השבחה זו בחשבון. לעניין הנחיה בעניין מטלות ציבוריות ר' ערר (י-ם) 437/11 גלבוע מיכל נ' הועדה המקומית לתכנון ולבניה ירושלים (פורסם באתר נבו).   מכאן אין כל מקום לבצע במסגרת ההליך שבפנינו הפחתה מהיטל ההשבחה של מטלות ציבוריות, אלא במסגרת המצב החדש, ככל שאכן התכנית דורשת ביצוע מטלות, יש לבצע הפחתה מתאימה</w:t>
      </w:r>
      <w:r w:rsidRPr="00E9125A">
        <w:rPr>
          <w:rFonts w:ascii="David" w:hAnsi="David" w:cs="David"/>
          <w:b/>
          <w:bCs/>
          <w:sz w:val="24"/>
          <w:szCs w:val="24"/>
        </w:rPr>
        <w:t>."</w:t>
      </w:r>
    </w:p>
    <w:p w14:paraId="27280010" w14:textId="77777777" w:rsidR="00E02E73" w:rsidRPr="00E9125A" w:rsidRDefault="00E02E73" w:rsidP="00E9125A">
      <w:pPr>
        <w:pStyle w:val="a9"/>
        <w:spacing w:line="360" w:lineRule="auto"/>
        <w:ind w:left="90" w:hanging="425"/>
        <w:jc w:val="both"/>
        <w:rPr>
          <w:rFonts w:ascii="David" w:hAnsi="David" w:cs="David"/>
          <w:b/>
          <w:bCs/>
          <w:sz w:val="24"/>
          <w:szCs w:val="24"/>
        </w:rPr>
      </w:pPr>
    </w:p>
    <w:p w14:paraId="44971D7C" w14:textId="77777777" w:rsidR="00B26C6B" w:rsidRPr="000958E1" w:rsidRDefault="00322FBE" w:rsidP="00E9125A">
      <w:pPr>
        <w:pStyle w:val="a9"/>
        <w:numPr>
          <w:ilvl w:val="0"/>
          <w:numId w:val="1"/>
        </w:numPr>
        <w:spacing w:line="360" w:lineRule="auto"/>
        <w:ind w:left="90" w:hanging="425"/>
        <w:contextualSpacing w:val="0"/>
        <w:jc w:val="both"/>
        <w:rPr>
          <w:rFonts w:ascii="David" w:hAnsi="David" w:cs="David"/>
          <w:sz w:val="24"/>
          <w:szCs w:val="24"/>
          <w:rtl/>
        </w:rPr>
      </w:pPr>
      <w:r w:rsidRPr="000958E1">
        <w:rPr>
          <w:rFonts w:ascii="David" w:hAnsi="David" w:cs="David" w:hint="eastAsia"/>
          <w:sz w:val="24"/>
          <w:szCs w:val="24"/>
          <w:rtl/>
        </w:rPr>
        <w:t>דברים</w:t>
      </w:r>
      <w:r w:rsidRPr="000958E1">
        <w:rPr>
          <w:rFonts w:ascii="David" w:hAnsi="David" w:cs="David"/>
          <w:sz w:val="24"/>
          <w:szCs w:val="24"/>
          <w:rtl/>
        </w:rPr>
        <w:t xml:space="preserve"> </w:t>
      </w:r>
      <w:r w:rsidRPr="000958E1">
        <w:rPr>
          <w:rFonts w:ascii="David" w:hAnsi="David" w:cs="David" w:hint="eastAsia"/>
          <w:sz w:val="24"/>
          <w:szCs w:val="24"/>
          <w:rtl/>
        </w:rPr>
        <w:t>אלו</w:t>
      </w:r>
      <w:r w:rsidRPr="000958E1">
        <w:rPr>
          <w:rFonts w:ascii="David" w:hAnsi="David" w:cs="David"/>
          <w:sz w:val="24"/>
          <w:szCs w:val="24"/>
          <w:rtl/>
        </w:rPr>
        <w:t xml:space="preserve"> </w:t>
      </w:r>
      <w:r w:rsidRPr="000958E1">
        <w:rPr>
          <w:rFonts w:ascii="David" w:hAnsi="David" w:cs="David" w:hint="eastAsia"/>
          <w:sz w:val="24"/>
          <w:szCs w:val="24"/>
          <w:rtl/>
        </w:rPr>
        <w:t>עו</w:t>
      </w:r>
      <w:r w:rsidR="00D203C9" w:rsidRPr="000958E1">
        <w:rPr>
          <w:rFonts w:ascii="David" w:hAnsi="David" w:cs="David" w:hint="eastAsia"/>
          <w:sz w:val="24"/>
          <w:szCs w:val="24"/>
          <w:rtl/>
        </w:rPr>
        <w:t>ל</w:t>
      </w:r>
      <w:r w:rsidRPr="000958E1">
        <w:rPr>
          <w:rFonts w:ascii="David" w:hAnsi="David" w:cs="David" w:hint="eastAsia"/>
          <w:sz w:val="24"/>
          <w:szCs w:val="24"/>
          <w:rtl/>
        </w:rPr>
        <w:t>ים</w:t>
      </w:r>
      <w:r w:rsidRPr="000958E1">
        <w:rPr>
          <w:rFonts w:ascii="David" w:hAnsi="David" w:cs="David"/>
          <w:sz w:val="24"/>
          <w:szCs w:val="24"/>
          <w:rtl/>
        </w:rPr>
        <w:t xml:space="preserve"> בקנה אחד עם עקרון היסוד </w:t>
      </w:r>
      <w:r w:rsidRPr="000958E1">
        <w:rPr>
          <w:rFonts w:ascii="David" w:hAnsi="David" w:cs="David" w:hint="eastAsia"/>
          <w:sz w:val="24"/>
          <w:szCs w:val="24"/>
          <w:rtl/>
        </w:rPr>
        <w:t>עליו</w:t>
      </w:r>
      <w:r w:rsidRPr="000958E1">
        <w:rPr>
          <w:rFonts w:ascii="David" w:hAnsi="David" w:cs="David"/>
          <w:sz w:val="24"/>
          <w:szCs w:val="24"/>
          <w:rtl/>
        </w:rPr>
        <w:t xml:space="preserve"> מושתתים דיני היטל </w:t>
      </w:r>
      <w:r w:rsidR="00FE28E5" w:rsidRPr="000958E1">
        <w:rPr>
          <w:rFonts w:ascii="David" w:hAnsi="David" w:cs="David"/>
          <w:sz w:val="24"/>
          <w:szCs w:val="24"/>
          <w:rtl/>
        </w:rPr>
        <w:t>ההשבחה</w:t>
      </w:r>
      <w:r w:rsidR="00FE28E5">
        <w:rPr>
          <w:rFonts w:ascii="David" w:hAnsi="David" w:cs="David" w:hint="cs"/>
          <w:sz w:val="24"/>
          <w:szCs w:val="24"/>
          <w:rtl/>
        </w:rPr>
        <w:t xml:space="preserve">, </w:t>
      </w:r>
      <w:r w:rsidRPr="000958E1">
        <w:rPr>
          <w:rFonts w:ascii="David" w:hAnsi="David" w:cs="David"/>
          <w:sz w:val="24"/>
          <w:szCs w:val="24"/>
          <w:rtl/>
        </w:rPr>
        <w:t xml:space="preserve">"עקרון ההתעשרות". </w:t>
      </w:r>
    </w:p>
    <w:p w14:paraId="7452F64F" w14:textId="77777777" w:rsidR="00FC44E4" w:rsidRPr="000958E1" w:rsidRDefault="00F84349" w:rsidP="00E9125A">
      <w:pPr>
        <w:pStyle w:val="a9"/>
        <w:numPr>
          <w:ilvl w:val="0"/>
          <w:numId w:val="1"/>
        </w:numPr>
        <w:spacing w:line="360" w:lineRule="auto"/>
        <w:ind w:left="90" w:hanging="425"/>
        <w:contextualSpacing w:val="0"/>
        <w:jc w:val="both"/>
        <w:rPr>
          <w:rFonts w:ascii="David" w:hAnsi="David" w:cs="David"/>
          <w:sz w:val="24"/>
          <w:szCs w:val="24"/>
          <w:rtl/>
        </w:rPr>
      </w:pPr>
      <w:r w:rsidRPr="000958E1">
        <w:rPr>
          <w:rFonts w:ascii="David" w:hAnsi="David" w:cs="David" w:hint="eastAsia"/>
          <w:sz w:val="24"/>
          <w:szCs w:val="24"/>
          <w:rtl/>
        </w:rPr>
        <w:t>נבהיר</w:t>
      </w:r>
      <w:r w:rsidR="00B26C6B" w:rsidRPr="000958E1">
        <w:rPr>
          <w:rFonts w:ascii="David" w:hAnsi="David" w:cs="David"/>
          <w:sz w:val="24"/>
          <w:szCs w:val="24"/>
          <w:rtl/>
        </w:rPr>
        <w:t xml:space="preserve">, אף שנתקבל </w:t>
      </w:r>
      <w:r w:rsidR="00FC44E4" w:rsidRPr="000958E1">
        <w:rPr>
          <w:rFonts w:ascii="David" w:hAnsi="David" w:cs="David" w:hint="eastAsia"/>
          <w:sz w:val="24"/>
          <w:szCs w:val="24"/>
          <w:rtl/>
        </w:rPr>
        <w:t>לא</w:t>
      </w:r>
      <w:r w:rsidR="00FC44E4" w:rsidRPr="000958E1">
        <w:rPr>
          <w:rFonts w:ascii="David" w:hAnsi="David" w:cs="David"/>
          <w:sz w:val="24"/>
          <w:szCs w:val="24"/>
          <w:rtl/>
        </w:rPr>
        <w:t xml:space="preserve"> </w:t>
      </w:r>
      <w:r w:rsidR="00FC44E4" w:rsidRPr="000958E1">
        <w:rPr>
          <w:rFonts w:ascii="David" w:hAnsi="David" w:cs="David" w:hint="eastAsia"/>
          <w:sz w:val="24"/>
          <w:szCs w:val="24"/>
          <w:rtl/>
        </w:rPr>
        <w:t>פעם</w:t>
      </w:r>
      <w:r w:rsidR="00FC44E4" w:rsidRPr="000958E1">
        <w:rPr>
          <w:rFonts w:ascii="David" w:hAnsi="David" w:cs="David"/>
          <w:sz w:val="24"/>
          <w:szCs w:val="24"/>
          <w:rtl/>
        </w:rPr>
        <w:t xml:space="preserve"> (ראו </w:t>
      </w:r>
      <w:r w:rsidR="00FC44E4" w:rsidRPr="000958E1">
        <w:rPr>
          <w:rFonts w:ascii="David" w:hAnsi="David" w:cs="David" w:hint="eastAsia"/>
          <w:sz w:val="24"/>
          <w:szCs w:val="24"/>
          <w:rtl/>
        </w:rPr>
        <w:t>למשל</w:t>
      </w:r>
      <w:r w:rsidR="00FC44E4" w:rsidRPr="000958E1">
        <w:rPr>
          <w:rFonts w:ascii="David" w:hAnsi="David" w:cs="David"/>
          <w:sz w:val="24"/>
          <w:szCs w:val="24"/>
          <w:rtl/>
        </w:rPr>
        <w:t>: "ערר (חי') 8027-05-19‏ </w:t>
      </w:r>
      <w:r w:rsidR="00FC44E4" w:rsidRPr="00E9125A">
        <w:rPr>
          <w:rFonts w:ascii="David" w:hAnsi="David" w:cs="David"/>
          <w:b/>
          <w:bCs/>
          <w:sz w:val="24"/>
          <w:szCs w:val="24"/>
          <w:rtl/>
        </w:rPr>
        <w:t xml:space="preserve">הוועדה המקומית לתכנון ולבנייה פרדס חנה - כרכור נ' מרכז </w:t>
      </w:r>
      <w:proofErr w:type="spellStart"/>
      <w:r w:rsidR="00FC44E4" w:rsidRPr="00E9125A">
        <w:rPr>
          <w:rFonts w:ascii="David" w:hAnsi="David" w:cs="David"/>
          <w:b/>
          <w:bCs/>
          <w:sz w:val="24"/>
          <w:szCs w:val="24"/>
          <w:rtl/>
        </w:rPr>
        <w:t>תבורי</w:t>
      </w:r>
      <w:proofErr w:type="spellEnd"/>
      <w:r w:rsidR="00FC44E4" w:rsidRPr="00E9125A">
        <w:rPr>
          <w:rFonts w:ascii="David" w:hAnsi="David" w:cs="David"/>
          <w:b/>
          <w:bCs/>
          <w:sz w:val="24"/>
          <w:szCs w:val="24"/>
          <w:rtl/>
        </w:rPr>
        <w:t xml:space="preserve"> פרדס חנה בע"מ</w:t>
      </w:r>
      <w:r w:rsidR="00FC44E4" w:rsidRPr="000958E1">
        <w:rPr>
          <w:rFonts w:ascii="David" w:hAnsi="David" w:cs="David"/>
          <w:sz w:val="24"/>
          <w:szCs w:val="24"/>
          <w:rtl/>
        </w:rPr>
        <w:t xml:space="preserve"> </w:t>
      </w:r>
      <w:r w:rsidR="00FE28E5">
        <w:rPr>
          <w:rFonts w:ascii="David" w:hAnsi="David" w:cs="David" w:hint="cs"/>
          <w:sz w:val="24"/>
          <w:szCs w:val="24"/>
          <w:rtl/>
        </w:rPr>
        <w:t>(</w:t>
      </w:r>
      <w:r w:rsidR="00FC44E4" w:rsidRPr="000958E1">
        <w:rPr>
          <w:rFonts w:ascii="David" w:hAnsi="David" w:cs="David"/>
          <w:sz w:val="24"/>
          <w:szCs w:val="24"/>
          <w:rtl/>
        </w:rPr>
        <w:t>נבו)</w:t>
      </w:r>
      <w:r w:rsidR="00FE28E5">
        <w:rPr>
          <w:rFonts w:ascii="David" w:hAnsi="David" w:cs="David" w:hint="cs"/>
          <w:sz w:val="24"/>
          <w:szCs w:val="24"/>
          <w:rtl/>
        </w:rPr>
        <w:t>)</w:t>
      </w:r>
      <w:r w:rsidR="00FC44E4" w:rsidRPr="000958E1">
        <w:rPr>
          <w:rFonts w:ascii="David" w:hAnsi="David" w:cs="David"/>
          <w:sz w:val="24"/>
          <w:szCs w:val="24"/>
          <w:rtl/>
        </w:rPr>
        <w:t xml:space="preserve"> </w:t>
      </w:r>
      <w:r w:rsidR="00FB0744">
        <w:rPr>
          <w:rFonts w:ascii="David" w:hAnsi="David" w:cs="David" w:hint="cs"/>
          <w:sz w:val="24"/>
          <w:szCs w:val="24"/>
          <w:rtl/>
        </w:rPr>
        <w:t>(להלן: "</w:t>
      </w:r>
      <w:r w:rsidR="00FB0744" w:rsidRPr="00E9125A">
        <w:rPr>
          <w:rFonts w:ascii="David" w:hAnsi="David" w:cs="David" w:hint="eastAsia"/>
          <w:b/>
          <w:bCs/>
          <w:sz w:val="24"/>
          <w:szCs w:val="24"/>
          <w:rtl/>
        </w:rPr>
        <w:t>מרכז</w:t>
      </w:r>
      <w:r w:rsidR="00FB0744" w:rsidRPr="00E9125A">
        <w:rPr>
          <w:rFonts w:ascii="David" w:hAnsi="David" w:cs="David"/>
          <w:b/>
          <w:bCs/>
          <w:sz w:val="24"/>
          <w:szCs w:val="24"/>
          <w:rtl/>
        </w:rPr>
        <w:t xml:space="preserve"> </w:t>
      </w:r>
      <w:proofErr w:type="spellStart"/>
      <w:r w:rsidR="00FB0744" w:rsidRPr="00E9125A">
        <w:rPr>
          <w:rFonts w:ascii="David" w:hAnsi="David" w:cs="David" w:hint="eastAsia"/>
          <w:b/>
          <w:bCs/>
          <w:sz w:val="24"/>
          <w:szCs w:val="24"/>
          <w:rtl/>
        </w:rPr>
        <w:t>תבורי</w:t>
      </w:r>
      <w:proofErr w:type="spellEnd"/>
      <w:r w:rsidR="00FB0744">
        <w:rPr>
          <w:rFonts w:ascii="David" w:hAnsi="David" w:cs="David" w:hint="cs"/>
          <w:sz w:val="24"/>
          <w:szCs w:val="24"/>
          <w:rtl/>
        </w:rPr>
        <w:t xml:space="preserve">") </w:t>
      </w:r>
      <w:r w:rsidR="00FC44E4" w:rsidRPr="000958E1">
        <w:rPr>
          <w:rFonts w:ascii="David" w:hAnsi="David" w:cs="David"/>
          <w:sz w:val="24"/>
          <w:szCs w:val="24"/>
          <w:rtl/>
        </w:rPr>
        <w:t xml:space="preserve">כי יש לקזז את שווי המטלה הציבורית </w:t>
      </w:r>
      <w:r w:rsidR="00B26C6B" w:rsidRPr="000958E1">
        <w:rPr>
          <w:rFonts w:ascii="David" w:hAnsi="David" w:cs="David" w:hint="eastAsia"/>
          <w:sz w:val="24"/>
          <w:szCs w:val="24"/>
          <w:rtl/>
        </w:rPr>
        <w:t>ברמת</w:t>
      </w:r>
      <w:r w:rsidR="00B26C6B" w:rsidRPr="000958E1">
        <w:rPr>
          <w:rFonts w:ascii="David" w:hAnsi="David" w:cs="David"/>
          <w:sz w:val="24"/>
          <w:szCs w:val="24"/>
          <w:rtl/>
        </w:rPr>
        <w:t xml:space="preserve"> </w:t>
      </w:r>
      <w:r w:rsidR="00B26C6B" w:rsidRPr="000958E1">
        <w:rPr>
          <w:rFonts w:ascii="David" w:hAnsi="David" w:cs="David" w:hint="eastAsia"/>
          <w:sz w:val="24"/>
          <w:szCs w:val="24"/>
          <w:rtl/>
        </w:rPr>
        <w:t>מעטפת</w:t>
      </w:r>
      <w:r w:rsidR="00FC44E4" w:rsidRPr="000958E1">
        <w:rPr>
          <w:rFonts w:ascii="David" w:hAnsi="David" w:cs="David"/>
          <w:sz w:val="24"/>
          <w:szCs w:val="24"/>
          <w:rtl/>
        </w:rPr>
        <w:t xml:space="preserve">, </w:t>
      </w:r>
      <w:r w:rsidR="00FC44E4" w:rsidRPr="000958E1">
        <w:rPr>
          <w:rFonts w:ascii="David" w:hAnsi="David" w:cs="David" w:hint="eastAsia"/>
          <w:sz w:val="24"/>
          <w:szCs w:val="24"/>
          <w:rtl/>
        </w:rPr>
        <w:t>הרי</w:t>
      </w:r>
      <w:r w:rsidR="00FC44E4" w:rsidRPr="000958E1">
        <w:rPr>
          <w:rFonts w:ascii="David" w:hAnsi="David" w:cs="David"/>
          <w:sz w:val="24"/>
          <w:szCs w:val="24"/>
          <w:rtl/>
        </w:rPr>
        <w:t xml:space="preserve"> </w:t>
      </w:r>
      <w:r w:rsidR="00FC44E4" w:rsidRPr="000958E1">
        <w:rPr>
          <w:rFonts w:ascii="David" w:hAnsi="David" w:cs="David" w:hint="eastAsia"/>
          <w:sz w:val="24"/>
          <w:szCs w:val="24"/>
          <w:rtl/>
        </w:rPr>
        <w:t>דברים</w:t>
      </w:r>
      <w:r w:rsidR="00FC44E4" w:rsidRPr="000958E1">
        <w:rPr>
          <w:rFonts w:ascii="David" w:hAnsi="David" w:cs="David"/>
          <w:sz w:val="24"/>
          <w:szCs w:val="24"/>
          <w:rtl/>
        </w:rPr>
        <w:t xml:space="preserve"> </w:t>
      </w:r>
      <w:r w:rsidR="00FC44E4" w:rsidRPr="000958E1">
        <w:rPr>
          <w:rFonts w:ascii="David" w:hAnsi="David" w:cs="David" w:hint="eastAsia"/>
          <w:sz w:val="24"/>
          <w:szCs w:val="24"/>
          <w:rtl/>
        </w:rPr>
        <w:t>אלו</w:t>
      </w:r>
      <w:r w:rsidR="00FC44E4" w:rsidRPr="000958E1">
        <w:rPr>
          <w:rFonts w:ascii="David" w:hAnsi="David" w:cs="David"/>
          <w:sz w:val="24"/>
          <w:szCs w:val="24"/>
          <w:rtl/>
        </w:rPr>
        <w:t xml:space="preserve"> </w:t>
      </w:r>
      <w:r w:rsidR="00FC44E4" w:rsidRPr="000958E1">
        <w:rPr>
          <w:rFonts w:ascii="David" w:hAnsi="David" w:cs="David" w:hint="eastAsia"/>
          <w:sz w:val="24"/>
          <w:szCs w:val="24"/>
          <w:rtl/>
        </w:rPr>
        <w:t>נכונים</w:t>
      </w:r>
      <w:r w:rsidR="00FC44E4" w:rsidRPr="000958E1">
        <w:rPr>
          <w:rFonts w:ascii="David" w:hAnsi="David" w:cs="David"/>
          <w:sz w:val="24"/>
          <w:szCs w:val="24"/>
          <w:rtl/>
        </w:rPr>
        <w:t xml:space="preserve"> </w:t>
      </w:r>
      <w:r w:rsidR="00FC44E4" w:rsidRPr="000958E1">
        <w:rPr>
          <w:rFonts w:ascii="David" w:hAnsi="David" w:cs="David" w:hint="eastAsia"/>
          <w:sz w:val="24"/>
          <w:szCs w:val="24"/>
          <w:rtl/>
        </w:rPr>
        <w:t>שעה</w:t>
      </w:r>
      <w:r w:rsidR="00FC44E4" w:rsidRPr="000958E1">
        <w:rPr>
          <w:rFonts w:ascii="David" w:hAnsi="David" w:cs="David"/>
          <w:sz w:val="24"/>
          <w:szCs w:val="24"/>
          <w:rtl/>
        </w:rPr>
        <w:t xml:space="preserve"> </w:t>
      </w:r>
      <w:r w:rsidR="00FC44E4" w:rsidRPr="000958E1">
        <w:rPr>
          <w:rFonts w:ascii="David" w:hAnsi="David" w:cs="David" w:hint="eastAsia"/>
          <w:sz w:val="24"/>
          <w:szCs w:val="24"/>
          <w:rtl/>
        </w:rPr>
        <w:t>שכך</w:t>
      </w:r>
      <w:r w:rsidR="00FC44E4" w:rsidRPr="000958E1">
        <w:rPr>
          <w:rFonts w:ascii="David" w:hAnsi="David" w:cs="David"/>
          <w:sz w:val="24"/>
          <w:szCs w:val="24"/>
          <w:rtl/>
        </w:rPr>
        <w:t xml:space="preserve"> </w:t>
      </w:r>
      <w:r w:rsidR="00FC44E4" w:rsidRPr="000958E1">
        <w:rPr>
          <w:rFonts w:ascii="David" w:hAnsi="David" w:cs="David" w:hint="eastAsia"/>
          <w:sz w:val="24"/>
          <w:szCs w:val="24"/>
          <w:rtl/>
        </w:rPr>
        <w:t>נוהגת</w:t>
      </w:r>
      <w:r w:rsidR="00FC44E4" w:rsidRPr="000958E1">
        <w:rPr>
          <w:rFonts w:ascii="David" w:hAnsi="David" w:cs="David"/>
          <w:sz w:val="24"/>
          <w:szCs w:val="24"/>
          <w:rtl/>
        </w:rPr>
        <w:t xml:space="preserve"> </w:t>
      </w:r>
      <w:r w:rsidR="00FC44E4" w:rsidRPr="000958E1">
        <w:rPr>
          <w:rFonts w:ascii="David" w:hAnsi="David" w:cs="David" w:hint="eastAsia"/>
          <w:sz w:val="24"/>
          <w:szCs w:val="24"/>
          <w:rtl/>
        </w:rPr>
        <w:t>הרשות</w:t>
      </w:r>
      <w:r w:rsidR="00FC44E4" w:rsidRPr="000958E1">
        <w:rPr>
          <w:rFonts w:ascii="David" w:hAnsi="David" w:cs="David"/>
          <w:sz w:val="24"/>
          <w:szCs w:val="24"/>
          <w:rtl/>
        </w:rPr>
        <w:t xml:space="preserve"> </w:t>
      </w:r>
      <w:r w:rsidR="00FC44E4" w:rsidRPr="000958E1">
        <w:rPr>
          <w:rFonts w:ascii="David" w:hAnsi="David" w:cs="David" w:hint="eastAsia"/>
          <w:sz w:val="24"/>
          <w:szCs w:val="24"/>
          <w:rtl/>
        </w:rPr>
        <w:t>במסגרת</w:t>
      </w:r>
      <w:r w:rsidR="00FC44E4" w:rsidRPr="000958E1">
        <w:rPr>
          <w:rFonts w:ascii="David" w:hAnsi="David" w:cs="David"/>
          <w:sz w:val="24"/>
          <w:szCs w:val="24"/>
          <w:rtl/>
        </w:rPr>
        <w:t xml:space="preserve"> </w:t>
      </w:r>
      <w:r w:rsidR="00FC44E4" w:rsidRPr="000958E1">
        <w:rPr>
          <w:rFonts w:ascii="David" w:hAnsi="David" w:cs="David" w:hint="eastAsia"/>
          <w:sz w:val="24"/>
          <w:szCs w:val="24"/>
          <w:rtl/>
        </w:rPr>
        <w:t>ההסכמים</w:t>
      </w:r>
      <w:r w:rsidR="00FC44E4" w:rsidRPr="000958E1">
        <w:rPr>
          <w:rFonts w:ascii="David" w:hAnsi="David" w:cs="David"/>
          <w:sz w:val="24"/>
          <w:szCs w:val="24"/>
          <w:rtl/>
        </w:rPr>
        <w:t xml:space="preserve"> </w:t>
      </w:r>
      <w:r w:rsidR="00FC44E4" w:rsidRPr="000958E1">
        <w:rPr>
          <w:rFonts w:ascii="David" w:hAnsi="David" w:cs="David" w:hint="eastAsia"/>
          <w:sz w:val="24"/>
          <w:szCs w:val="24"/>
          <w:rtl/>
        </w:rPr>
        <w:t>הרלבנטיים</w:t>
      </w:r>
      <w:r w:rsidR="00FC44E4" w:rsidRPr="000958E1">
        <w:rPr>
          <w:rFonts w:ascii="David" w:hAnsi="David" w:cs="David"/>
          <w:sz w:val="24"/>
          <w:szCs w:val="24"/>
          <w:rtl/>
        </w:rPr>
        <w:t>.</w:t>
      </w:r>
    </w:p>
    <w:p w14:paraId="2DC033DB" w14:textId="4187BB02" w:rsidR="007757BF" w:rsidRPr="000958E1" w:rsidRDefault="00FC44E4" w:rsidP="00E9125A">
      <w:pPr>
        <w:pStyle w:val="a9"/>
        <w:numPr>
          <w:ilvl w:val="0"/>
          <w:numId w:val="1"/>
        </w:numPr>
        <w:spacing w:line="360" w:lineRule="auto"/>
        <w:ind w:left="90" w:hanging="425"/>
        <w:contextualSpacing w:val="0"/>
        <w:jc w:val="both"/>
        <w:rPr>
          <w:rFonts w:ascii="David" w:hAnsi="David" w:cs="David"/>
          <w:sz w:val="24"/>
          <w:szCs w:val="24"/>
          <w:rtl/>
        </w:rPr>
      </w:pPr>
      <w:r w:rsidRPr="000958E1">
        <w:rPr>
          <w:rFonts w:ascii="David" w:hAnsi="David" w:cs="David" w:hint="eastAsia"/>
          <w:sz w:val="24"/>
          <w:szCs w:val="24"/>
          <w:rtl/>
        </w:rPr>
        <w:t>אך</w:t>
      </w:r>
      <w:r w:rsidRPr="000958E1">
        <w:rPr>
          <w:rFonts w:ascii="David" w:hAnsi="David" w:cs="David"/>
          <w:sz w:val="24"/>
          <w:szCs w:val="24"/>
          <w:rtl/>
        </w:rPr>
        <w:t xml:space="preserve"> </w:t>
      </w:r>
      <w:r w:rsidR="00CE31E7" w:rsidRPr="000958E1">
        <w:rPr>
          <w:rFonts w:ascii="David" w:hAnsi="David" w:cs="David" w:hint="eastAsia"/>
          <w:sz w:val="24"/>
          <w:szCs w:val="24"/>
          <w:rtl/>
        </w:rPr>
        <w:t>בענייננו</w:t>
      </w:r>
      <w:r w:rsidR="00B26C6B" w:rsidRPr="000958E1">
        <w:rPr>
          <w:rFonts w:ascii="David" w:hAnsi="David" w:cs="David"/>
          <w:sz w:val="24"/>
          <w:szCs w:val="24"/>
          <w:rtl/>
        </w:rPr>
        <w:t xml:space="preserve"> </w:t>
      </w:r>
      <w:r w:rsidR="00B26C6B" w:rsidRPr="000958E1">
        <w:rPr>
          <w:rFonts w:ascii="David" w:hAnsi="David" w:cs="David" w:hint="eastAsia"/>
          <w:sz w:val="24"/>
          <w:szCs w:val="24"/>
          <w:rtl/>
        </w:rPr>
        <w:t>במסגרת</w:t>
      </w:r>
      <w:r w:rsidR="00B26C6B" w:rsidRPr="000958E1">
        <w:rPr>
          <w:rFonts w:ascii="David" w:hAnsi="David" w:cs="David"/>
          <w:sz w:val="24"/>
          <w:szCs w:val="24"/>
          <w:rtl/>
        </w:rPr>
        <w:t xml:space="preserve"> </w:t>
      </w:r>
      <w:r w:rsidR="00B26C6B" w:rsidRPr="000958E1">
        <w:rPr>
          <w:rFonts w:ascii="David" w:hAnsi="David" w:cs="David" w:hint="eastAsia"/>
          <w:sz w:val="24"/>
          <w:szCs w:val="24"/>
          <w:rtl/>
        </w:rPr>
        <w:t>הסכמים</w:t>
      </w:r>
      <w:r w:rsidR="00B26C6B" w:rsidRPr="000958E1">
        <w:rPr>
          <w:rFonts w:ascii="David" w:hAnsi="David" w:cs="David"/>
          <w:sz w:val="24"/>
          <w:szCs w:val="24"/>
          <w:rtl/>
        </w:rPr>
        <w:t xml:space="preserve"> לביצוע המטלות הציבוריות דורשת הוועדה המקומית ביצוע מטלות </w:t>
      </w:r>
      <w:r w:rsidR="00CE31E7" w:rsidRPr="000958E1">
        <w:rPr>
          <w:rFonts w:ascii="David" w:hAnsi="David" w:cs="David" w:hint="eastAsia"/>
          <w:sz w:val="24"/>
          <w:szCs w:val="24"/>
          <w:rtl/>
        </w:rPr>
        <w:t>ציבוריות</w:t>
      </w:r>
      <w:r w:rsidR="00CE31E7" w:rsidRPr="000958E1">
        <w:rPr>
          <w:rFonts w:ascii="David" w:hAnsi="David" w:cs="David"/>
          <w:sz w:val="24"/>
          <w:szCs w:val="24"/>
          <w:rtl/>
        </w:rPr>
        <w:t xml:space="preserve"> ברמת גמר</w:t>
      </w:r>
      <w:r w:rsidR="0035281A">
        <w:rPr>
          <w:rFonts w:ascii="David" w:hAnsi="David" w:cs="David" w:hint="cs"/>
          <w:sz w:val="24"/>
          <w:szCs w:val="24"/>
          <w:rtl/>
        </w:rPr>
        <w:t xml:space="preserve"> וכך </w:t>
      </w:r>
      <w:r w:rsidR="00760A94">
        <w:rPr>
          <w:rFonts w:ascii="David" w:hAnsi="David" w:cs="David" w:hint="cs"/>
          <w:sz w:val="24"/>
          <w:szCs w:val="24"/>
          <w:rtl/>
        </w:rPr>
        <w:t>התקבע</w:t>
      </w:r>
      <w:r w:rsidR="0035281A">
        <w:rPr>
          <w:rFonts w:ascii="David" w:hAnsi="David" w:cs="David" w:hint="cs"/>
          <w:sz w:val="24"/>
          <w:szCs w:val="24"/>
          <w:rtl/>
        </w:rPr>
        <w:t xml:space="preserve"> </w:t>
      </w:r>
      <w:r w:rsidR="00760A94">
        <w:rPr>
          <w:rFonts w:ascii="David" w:hAnsi="David" w:cs="David" w:hint="cs"/>
          <w:sz w:val="24"/>
          <w:szCs w:val="24"/>
          <w:rtl/>
        </w:rPr>
        <w:t>במועד הקובע</w:t>
      </w:r>
      <w:r w:rsidR="0035281A">
        <w:rPr>
          <w:rFonts w:ascii="David" w:hAnsi="David" w:cs="David" w:hint="cs"/>
          <w:sz w:val="24"/>
          <w:szCs w:val="24"/>
          <w:rtl/>
        </w:rPr>
        <w:t xml:space="preserve"> </w:t>
      </w:r>
      <w:r w:rsidR="00CE31E7" w:rsidRPr="000958E1">
        <w:rPr>
          <w:rFonts w:ascii="David" w:hAnsi="David" w:cs="David"/>
          <w:sz w:val="24"/>
          <w:szCs w:val="24"/>
          <w:rtl/>
        </w:rPr>
        <w:t xml:space="preserve">ועל כן, </w:t>
      </w:r>
      <w:r w:rsidR="00C83930">
        <w:rPr>
          <w:rFonts w:ascii="David" w:hAnsi="David" w:cs="David" w:hint="cs"/>
          <w:sz w:val="24"/>
          <w:szCs w:val="24"/>
          <w:rtl/>
        </w:rPr>
        <w:t>ראוי כי קיזוז עלות</w:t>
      </w:r>
      <w:r w:rsidR="00CE31E7" w:rsidRPr="000958E1">
        <w:rPr>
          <w:rFonts w:ascii="David" w:hAnsi="David" w:cs="David"/>
          <w:sz w:val="24"/>
          <w:szCs w:val="24"/>
          <w:rtl/>
        </w:rPr>
        <w:t xml:space="preserve"> </w:t>
      </w:r>
      <w:r w:rsidR="00CE31E7" w:rsidRPr="000958E1">
        <w:rPr>
          <w:rFonts w:ascii="David" w:hAnsi="David" w:cs="David" w:hint="eastAsia"/>
          <w:sz w:val="24"/>
          <w:szCs w:val="24"/>
          <w:rtl/>
        </w:rPr>
        <w:t>המטלה</w:t>
      </w:r>
      <w:r w:rsidR="00CE31E7" w:rsidRPr="000958E1">
        <w:rPr>
          <w:rFonts w:ascii="David" w:hAnsi="David" w:cs="David"/>
          <w:sz w:val="24"/>
          <w:szCs w:val="24"/>
          <w:rtl/>
        </w:rPr>
        <w:t xml:space="preserve"> </w:t>
      </w:r>
      <w:r w:rsidR="00CE31E7" w:rsidRPr="000958E1">
        <w:rPr>
          <w:rFonts w:ascii="David" w:hAnsi="David" w:cs="David" w:hint="eastAsia"/>
          <w:sz w:val="24"/>
          <w:szCs w:val="24"/>
          <w:rtl/>
        </w:rPr>
        <w:t>הציבורית</w:t>
      </w:r>
      <w:r w:rsidR="00CE31E7" w:rsidRPr="000958E1">
        <w:rPr>
          <w:rFonts w:ascii="David" w:hAnsi="David" w:cs="David"/>
          <w:sz w:val="24"/>
          <w:szCs w:val="24"/>
          <w:rtl/>
        </w:rPr>
        <w:t xml:space="preserve"> </w:t>
      </w:r>
      <w:r w:rsidR="00CE31E7" w:rsidRPr="000958E1">
        <w:rPr>
          <w:rFonts w:ascii="David" w:hAnsi="David" w:cs="David" w:hint="eastAsia"/>
          <w:sz w:val="24"/>
          <w:szCs w:val="24"/>
          <w:rtl/>
        </w:rPr>
        <w:t>יעשה</w:t>
      </w:r>
      <w:r w:rsidR="00CE31E7" w:rsidRPr="000958E1">
        <w:rPr>
          <w:rFonts w:ascii="David" w:hAnsi="David" w:cs="David"/>
          <w:sz w:val="24"/>
          <w:szCs w:val="24"/>
          <w:rtl/>
        </w:rPr>
        <w:t xml:space="preserve"> </w:t>
      </w:r>
      <w:r w:rsidR="00C83930">
        <w:rPr>
          <w:rFonts w:ascii="David" w:hAnsi="David" w:cs="David" w:hint="cs"/>
          <w:sz w:val="24"/>
          <w:szCs w:val="24"/>
          <w:rtl/>
        </w:rPr>
        <w:t>בערכים כספיים ריאליים ואמיתיים</w:t>
      </w:r>
      <w:r w:rsidR="00CE31E7" w:rsidRPr="000958E1">
        <w:rPr>
          <w:rFonts w:ascii="David" w:hAnsi="David" w:cs="David"/>
          <w:sz w:val="24"/>
          <w:szCs w:val="24"/>
          <w:rtl/>
        </w:rPr>
        <w:t>.</w:t>
      </w:r>
      <w:r w:rsidR="0035281A">
        <w:rPr>
          <w:rFonts w:ascii="David" w:hAnsi="David" w:cs="David" w:hint="cs"/>
          <w:sz w:val="24"/>
          <w:szCs w:val="24"/>
          <w:rtl/>
        </w:rPr>
        <w:t xml:space="preserve"> </w:t>
      </w:r>
    </w:p>
    <w:p w14:paraId="4192157A" w14:textId="7D7DCB98" w:rsidR="007757BF" w:rsidRPr="000958E1" w:rsidRDefault="007757BF" w:rsidP="00E9125A">
      <w:pPr>
        <w:pStyle w:val="a9"/>
        <w:numPr>
          <w:ilvl w:val="0"/>
          <w:numId w:val="1"/>
        </w:numPr>
        <w:spacing w:line="360" w:lineRule="auto"/>
        <w:ind w:left="90" w:hanging="425"/>
        <w:contextualSpacing w:val="0"/>
        <w:jc w:val="both"/>
        <w:rPr>
          <w:rFonts w:ascii="David" w:hAnsi="David" w:cs="David"/>
          <w:sz w:val="24"/>
          <w:szCs w:val="24"/>
          <w:rtl/>
        </w:rPr>
      </w:pPr>
      <w:r w:rsidRPr="000958E1">
        <w:rPr>
          <w:rFonts w:ascii="David" w:hAnsi="David" w:cs="David" w:hint="eastAsia"/>
          <w:sz w:val="24"/>
          <w:szCs w:val="24"/>
          <w:rtl/>
        </w:rPr>
        <w:t>בהקשר</w:t>
      </w:r>
      <w:r w:rsidRPr="000958E1">
        <w:rPr>
          <w:rFonts w:ascii="David" w:hAnsi="David" w:cs="David"/>
          <w:sz w:val="24"/>
          <w:szCs w:val="24"/>
          <w:rtl/>
        </w:rPr>
        <w:t xml:space="preserve"> </w:t>
      </w:r>
      <w:r w:rsidRPr="000958E1">
        <w:rPr>
          <w:rFonts w:ascii="David" w:hAnsi="David" w:cs="David" w:hint="eastAsia"/>
          <w:sz w:val="24"/>
          <w:szCs w:val="24"/>
          <w:rtl/>
        </w:rPr>
        <w:t>זה</w:t>
      </w:r>
      <w:r w:rsidR="00FD310B">
        <w:rPr>
          <w:rFonts w:ascii="David" w:hAnsi="David" w:cs="David" w:hint="cs"/>
          <w:sz w:val="24"/>
          <w:szCs w:val="24"/>
          <w:rtl/>
        </w:rPr>
        <w:t xml:space="preserve"> </w:t>
      </w:r>
      <w:r w:rsidRPr="000958E1">
        <w:rPr>
          <w:rFonts w:ascii="David" w:hAnsi="David" w:cs="David" w:hint="eastAsia"/>
          <w:sz w:val="24"/>
          <w:szCs w:val="24"/>
          <w:rtl/>
        </w:rPr>
        <w:t>נזכיר</w:t>
      </w:r>
      <w:r w:rsidRPr="000958E1">
        <w:rPr>
          <w:rFonts w:ascii="David" w:hAnsi="David" w:cs="David"/>
          <w:sz w:val="24"/>
          <w:szCs w:val="24"/>
          <w:rtl/>
        </w:rPr>
        <w:t xml:space="preserve"> כי אח</w:t>
      </w:r>
      <w:r w:rsidR="00FD310B">
        <w:rPr>
          <w:rFonts w:ascii="David" w:hAnsi="David" w:cs="David" w:hint="cs"/>
          <w:sz w:val="24"/>
          <w:szCs w:val="24"/>
          <w:rtl/>
        </w:rPr>
        <w:t>ד</w:t>
      </w:r>
      <w:r w:rsidRPr="000958E1">
        <w:rPr>
          <w:rFonts w:ascii="David" w:hAnsi="David" w:cs="David"/>
          <w:sz w:val="24"/>
          <w:szCs w:val="24"/>
          <w:rtl/>
        </w:rPr>
        <w:t xml:space="preserve"> היסודות עליהם מושתת היטל ההשבחה הוא עקרון ההתעשרות.</w:t>
      </w:r>
    </w:p>
    <w:p w14:paraId="1C4EB6A6" w14:textId="77777777" w:rsidR="00322FBE" w:rsidRPr="000958E1" w:rsidRDefault="00CE31E7" w:rsidP="00E9125A">
      <w:pPr>
        <w:pStyle w:val="a9"/>
        <w:numPr>
          <w:ilvl w:val="0"/>
          <w:numId w:val="1"/>
        </w:numPr>
        <w:spacing w:line="360" w:lineRule="auto"/>
        <w:ind w:left="90" w:hanging="425"/>
        <w:contextualSpacing w:val="0"/>
        <w:jc w:val="both"/>
        <w:rPr>
          <w:rFonts w:ascii="David" w:hAnsi="David" w:cs="David"/>
          <w:sz w:val="24"/>
          <w:szCs w:val="24"/>
          <w:rtl/>
        </w:rPr>
      </w:pPr>
      <w:r w:rsidRPr="000958E1">
        <w:rPr>
          <w:rFonts w:ascii="David" w:hAnsi="David" w:cs="David" w:hint="eastAsia"/>
          <w:sz w:val="24"/>
          <w:szCs w:val="24"/>
          <w:rtl/>
        </w:rPr>
        <w:t>עקרון</w:t>
      </w:r>
      <w:r w:rsidRPr="000958E1">
        <w:rPr>
          <w:rFonts w:ascii="David" w:hAnsi="David" w:cs="David"/>
          <w:sz w:val="24"/>
          <w:szCs w:val="24"/>
          <w:rtl/>
        </w:rPr>
        <w:t xml:space="preserve"> </w:t>
      </w:r>
      <w:r w:rsidRPr="000958E1">
        <w:rPr>
          <w:rFonts w:ascii="David" w:hAnsi="David" w:cs="David" w:hint="eastAsia"/>
          <w:sz w:val="24"/>
          <w:szCs w:val="24"/>
          <w:rtl/>
        </w:rPr>
        <w:t>זה</w:t>
      </w:r>
      <w:r w:rsidRPr="000958E1">
        <w:rPr>
          <w:rFonts w:ascii="David" w:hAnsi="David" w:cs="David"/>
          <w:sz w:val="24"/>
          <w:szCs w:val="24"/>
          <w:rtl/>
        </w:rPr>
        <w:t xml:space="preserve"> עליו מושתת החיוב בהיטל ההשבחה מביא למסקנה כי רמת הגימור (גמר או מעטפת) ת</w:t>
      </w:r>
      <w:r w:rsidR="00FD310B">
        <w:rPr>
          <w:rFonts w:ascii="David" w:hAnsi="David" w:cs="David" w:hint="cs"/>
          <w:sz w:val="24"/>
          <w:szCs w:val="24"/>
          <w:rtl/>
        </w:rPr>
        <w:t>י</w:t>
      </w:r>
      <w:r w:rsidRPr="000958E1">
        <w:rPr>
          <w:rFonts w:ascii="David" w:hAnsi="David" w:cs="David"/>
          <w:sz w:val="24"/>
          <w:szCs w:val="24"/>
          <w:rtl/>
        </w:rPr>
        <w:t>בחן בהתאם לנוהג המקובל ברשות אשר ממילא מ</w:t>
      </w:r>
      <w:r w:rsidRPr="000958E1">
        <w:rPr>
          <w:rFonts w:ascii="David" w:hAnsi="David" w:cs="David" w:hint="eastAsia"/>
          <w:sz w:val="24"/>
          <w:szCs w:val="24"/>
          <w:rtl/>
        </w:rPr>
        <w:t>שפיע</w:t>
      </w:r>
      <w:r w:rsidRPr="000958E1">
        <w:rPr>
          <w:rFonts w:ascii="David" w:hAnsi="David" w:cs="David"/>
          <w:sz w:val="24"/>
          <w:szCs w:val="24"/>
          <w:rtl/>
        </w:rPr>
        <w:t xml:space="preserve"> </w:t>
      </w:r>
      <w:r w:rsidRPr="000958E1">
        <w:rPr>
          <w:rFonts w:ascii="David" w:hAnsi="David" w:cs="David" w:hint="eastAsia"/>
          <w:sz w:val="24"/>
          <w:szCs w:val="24"/>
          <w:rtl/>
        </w:rPr>
        <w:t>גם</w:t>
      </w:r>
      <w:r w:rsidRPr="000958E1">
        <w:rPr>
          <w:rFonts w:ascii="David" w:hAnsi="David" w:cs="David"/>
          <w:sz w:val="24"/>
          <w:szCs w:val="24"/>
          <w:rtl/>
        </w:rPr>
        <w:t xml:space="preserve"> </w:t>
      </w:r>
      <w:r w:rsidRPr="000958E1">
        <w:rPr>
          <w:rFonts w:ascii="David" w:hAnsi="David" w:cs="David" w:hint="eastAsia"/>
          <w:sz w:val="24"/>
          <w:szCs w:val="24"/>
          <w:rtl/>
        </w:rPr>
        <w:t>על</w:t>
      </w:r>
      <w:r w:rsidRPr="000958E1">
        <w:rPr>
          <w:rFonts w:ascii="David" w:hAnsi="David" w:cs="David"/>
          <w:sz w:val="24"/>
          <w:szCs w:val="24"/>
          <w:rtl/>
        </w:rPr>
        <w:t xml:space="preserve"> </w:t>
      </w:r>
      <w:r w:rsidRPr="000958E1">
        <w:rPr>
          <w:rFonts w:ascii="David" w:hAnsi="David" w:cs="David" w:hint="eastAsia"/>
          <w:sz w:val="24"/>
          <w:szCs w:val="24"/>
          <w:rtl/>
        </w:rPr>
        <w:t>שווי</w:t>
      </w:r>
      <w:r w:rsidRPr="000958E1">
        <w:rPr>
          <w:rFonts w:ascii="David" w:hAnsi="David" w:cs="David"/>
          <w:sz w:val="24"/>
          <w:szCs w:val="24"/>
          <w:rtl/>
        </w:rPr>
        <w:t xml:space="preserve"> </w:t>
      </w:r>
      <w:r w:rsidRPr="000958E1">
        <w:rPr>
          <w:rFonts w:ascii="David" w:hAnsi="David" w:cs="David" w:hint="eastAsia"/>
          <w:sz w:val="24"/>
          <w:szCs w:val="24"/>
          <w:rtl/>
        </w:rPr>
        <w:t>השוק</w:t>
      </w:r>
      <w:r w:rsidRPr="000958E1">
        <w:rPr>
          <w:rFonts w:ascii="David" w:hAnsi="David" w:cs="David"/>
          <w:sz w:val="24"/>
          <w:szCs w:val="24"/>
          <w:rtl/>
        </w:rPr>
        <w:t xml:space="preserve"> </w:t>
      </w:r>
      <w:r w:rsidRPr="000958E1">
        <w:rPr>
          <w:rFonts w:ascii="David" w:hAnsi="David" w:cs="David" w:hint="eastAsia"/>
          <w:sz w:val="24"/>
          <w:szCs w:val="24"/>
          <w:rtl/>
        </w:rPr>
        <w:t>של</w:t>
      </w:r>
      <w:r w:rsidRPr="000958E1">
        <w:rPr>
          <w:rFonts w:ascii="David" w:hAnsi="David" w:cs="David"/>
          <w:sz w:val="24"/>
          <w:szCs w:val="24"/>
          <w:rtl/>
        </w:rPr>
        <w:t xml:space="preserve"> </w:t>
      </w:r>
      <w:r w:rsidRPr="000958E1">
        <w:rPr>
          <w:rFonts w:ascii="David" w:hAnsi="David" w:cs="David" w:hint="eastAsia"/>
          <w:sz w:val="24"/>
          <w:szCs w:val="24"/>
          <w:rtl/>
        </w:rPr>
        <w:t>המקרקעין</w:t>
      </w:r>
      <w:r w:rsidRPr="000958E1">
        <w:rPr>
          <w:rFonts w:ascii="David" w:hAnsi="David" w:cs="David"/>
          <w:sz w:val="24"/>
          <w:szCs w:val="24"/>
          <w:rtl/>
        </w:rPr>
        <w:t xml:space="preserve"> </w:t>
      </w:r>
      <w:r w:rsidRPr="000958E1">
        <w:rPr>
          <w:rFonts w:ascii="David" w:hAnsi="David" w:cs="David" w:hint="eastAsia"/>
          <w:sz w:val="24"/>
          <w:szCs w:val="24"/>
          <w:rtl/>
        </w:rPr>
        <w:t>ולמידע</w:t>
      </w:r>
      <w:r w:rsidRPr="000958E1">
        <w:rPr>
          <w:rFonts w:ascii="David" w:hAnsi="David" w:cs="David"/>
          <w:sz w:val="24"/>
          <w:szCs w:val="24"/>
          <w:rtl/>
        </w:rPr>
        <w:t xml:space="preserve"> </w:t>
      </w:r>
      <w:r w:rsidRPr="000958E1">
        <w:rPr>
          <w:rFonts w:ascii="David" w:hAnsi="David" w:cs="David" w:hint="eastAsia"/>
          <w:sz w:val="24"/>
          <w:szCs w:val="24"/>
          <w:rtl/>
        </w:rPr>
        <w:t>המצוי</w:t>
      </w:r>
      <w:r w:rsidRPr="000958E1">
        <w:rPr>
          <w:rFonts w:ascii="David" w:hAnsi="David" w:cs="David"/>
          <w:sz w:val="24"/>
          <w:szCs w:val="24"/>
          <w:rtl/>
        </w:rPr>
        <w:t xml:space="preserve"> </w:t>
      </w:r>
      <w:r w:rsidRPr="000958E1">
        <w:rPr>
          <w:rFonts w:ascii="David" w:hAnsi="David" w:cs="David" w:hint="eastAsia"/>
          <w:sz w:val="24"/>
          <w:szCs w:val="24"/>
          <w:rtl/>
        </w:rPr>
        <w:t>בפני</w:t>
      </w:r>
      <w:r w:rsidRPr="000958E1">
        <w:rPr>
          <w:rFonts w:ascii="David" w:hAnsi="David" w:cs="David"/>
          <w:sz w:val="24"/>
          <w:szCs w:val="24"/>
          <w:rtl/>
        </w:rPr>
        <w:t xml:space="preserve"> </w:t>
      </w:r>
      <w:r w:rsidRPr="000958E1">
        <w:rPr>
          <w:rFonts w:ascii="David" w:hAnsi="David" w:cs="David" w:hint="eastAsia"/>
          <w:sz w:val="24"/>
          <w:szCs w:val="24"/>
          <w:rtl/>
        </w:rPr>
        <w:t>קונה</w:t>
      </w:r>
      <w:r w:rsidRPr="000958E1">
        <w:rPr>
          <w:rFonts w:ascii="David" w:hAnsi="David" w:cs="David"/>
          <w:sz w:val="24"/>
          <w:szCs w:val="24"/>
          <w:rtl/>
        </w:rPr>
        <w:t xml:space="preserve"> </w:t>
      </w:r>
      <w:r w:rsidRPr="000958E1">
        <w:rPr>
          <w:rFonts w:ascii="David" w:hAnsi="David" w:cs="David" w:hint="eastAsia"/>
          <w:sz w:val="24"/>
          <w:szCs w:val="24"/>
          <w:rtl/>
        </w:rPr>
        <w:t>סביר</w:t>
      </w:r>
      <w:r w:rsidRPr="000958E1">
        <w:rPr>
          <w:rFonts w:ascii="David" w:hAnsi="David" w:cs="David"/>
          <w:sz w:val="24"/>
          <w:szCs w:val="24"/>
          <w:rtl/>
        </w:rPr>
        <w:t>.</w:t>
      </w:r>
      <w:r w:rsidR="00275410" w:rsidRPr="000958E1">
        <w:rPr>
          <w:rFonts w:ascii="David" w:hAnsi="David" w:cs="David"/>
          <w:sz w:val="24"/>
          <w:szCs w:val="24"/>
          <w:rtl/>
        </w:rPr>
        <w:t xml:space="preserve"> כך</w:t>
      </w:r>
      <w:r w:rsidR="005C33F5" w:rsidRPr="000958E1">
        <w:rPr>
          <w:rFonts w:ascii="David" w:hAnsi="David" w:cs="David"/>
          <w:sz w:val="24"/>
          <w:szCs w:val="24"/>
          <w:rtl/>
        </w:rPr>
        <w:t xml:space="preserve"> קבע כבוד השופט אור בעניין </w:t>
      </w:r>
      <w:r w:rsidR="003132F8" w:rsidRPr="00E9125A">
        <w:rPr>
          <w:rFonts w:ascii="David" w:hAnsi="David" w:cs="David"/>
          <w:sz w:val="24"/>
          <w:szCs w:val="24"/>
          <w:rtl/>
        </w:rPr>
        <w:t>דנ"א 3768/98</w:t>
      </w:r>
      <w:r w:rsidR="003132F8" w:rsidRPr="00E9125A">
        <w:rPr>
          <w:rFonts w:ascii="David" w:hAnsi="David" w:cs="David"/>
          <w:sz w:val="24"/>
          <w:szCs w:val="24"/>
        </w:rPr>
        <w:t> </w:t>
      </w:r>
      <w:r w:rsidR="003132F8" w:rsidRPr="00A23E1B">
        <w:rPr>
          <w:rFonts w:ascii="David" w:hAnsi="David" w:cs="David"/>
          <w:b/>
          <w:bCs/>
          <w:sz w:val="24"/>
          <w:szCs w:val="24"/>
          <w:rtl/>
        </w:rPr>
        <w:t>קריית בית הכרם בע"מ נ' הוועדה המקומית לתכנון ולבנייה</w:t>
      </w:r>
      <w:r w:rsidR="003132F8" w:rsidRPr="00A23E1B">
        <w:rPr>
          <w:rFonts w:ascii="David" w:hAnsi="David" w:cs="David" w:hint="cs"/>
          <w:b/>
          <w:bCs/>
          <w:sz w:val="24"/>
          <w:szCs w:val="24"/>
          <w:rtl/>
        </w:rPr>
        <w:t xml:space="preserve"> </w:t>
      </w:r>
      <w:r w:rsidR="003132F8">
        <w:rPr>
          <w:rFonts w:ascii="David" w:hAnsi="David" w:cs="David" w:hint="cs"/>
          <w:sz w:val="24"/>
          <w:szCs w:val="24"/>
          <w:rtl/>
        </w:rPr>
        <w:t>(נבו)</w:t>
      </w:r>
      <w:r w:rsidR="003132F8" w:rsidRPr="000958E1" w:rsidDel="003132F8">
        <w:rPr>
          <w:rFonts w:ascii="David" w:hAnsi="David" w:cs="David"/>
          <w:sz w:val="24"/>
          <w:szCs w:val="24"/>
          <w:rtl/>
        </w:rPr>
        <w:t xml:space="preserve"> </w:t>
      </w:r>
      <w:r w:rsidR="005C33F5" w:rsidRPr="000958E1">
        <w:rPr>
          <w:rFonts w:ascii="David" w:hAnsi="David" w:cs="David"/>
          <w:sz w:val="24"/>
          <w:szCs w:val="24"/>
          <w:rtl/>
        </w:rPr>
        <w:t>(דעת הרב)</w:t>
      </w:r>
      <w:r w:rsidR="003132F8">
        <w:rPr>
          <w:rFonts w:ascii="David" w:hAnsi="David" w:cs="David" w:hint="cs"/>
          <w:sz w:val="24"/>
          <w:szCs w:val="24"/>
          <w:rtl/>
        </w:rPr>
        <w:t>:</w:t>
      </w:r>
    </w:p>
    <w:p w14:paraId="12C1C32B" w14:textId="77777777" w:rsidR="003132F8" w:rsidRPr="00E9125A" w:rsidRDefault="00275410" w:rsidP="00E9125A">
      <w:pPr>
        <w:spacing w:line="360" w:lineRule="auto"/>
        <w:ind w:left="611" w:right="851"/>
        <w:rPr>
          <w:rFonts w:ascii="David" w:hAnsi="David" w:cs="David"/>
          <w:b/>
          <w:bCs/>
          <w:sz w:val="24"/>
          <w:szCs w:val="24"/>
          <w:rtl/>
        </w:rPr>
      </w:pPr>
      <w:r w:rsidRPr="00E9125A">
        <w:rPr>
          <w:rFonts w:ascii="David" w:hAnsi="David" w:cs="David"/>
          <w:b/>
          <w:bCs/>
          <w:color w:val="0A0A0A"/>
          <w:sz w:val="24"/>
          <w:szCs w:val="24"/>
          <w:shd w:val="clear" w:color="auto" w:fill="FFFFFF"/>
          <w:rtl/>
        </w:rPr>
        <w:lastRenderedPageBreak/>
        <w:t>"</w:t>
      </w:r>
      <w:r w:rsidR="005C33F5" w:rsidRPr="00E9125A">
        <w:rPr>
          <w:rFonts w:ascii="David" w:hAnsi="David" w:cs="David"/>
          <w:b/>
          <w:bCs/>
          <w:color w:val="000000"/>
          <w:sz w:val="24"/>
          <w:szCs w:val="24"/>
          <w:rtl/>
        </w:rPr>
        <w:t>כפי שביקשתי להראות, קיימים הסדרים ברורים בחוק לגבי תשלום פיצויים והיטל השבחה, כשהנורמה השלטת והמכתיבה היא הנורמה של חובת תשלום במקרה של התעשרות כתוצאה מתכנית</w:t>
      </w:r>
      <w:r w:rsidR="005C33F5" w:rsidRPr="00E9125A">
        <w:rPr>
          <w:rFonts w:ascii="David" w:hAnsi="David" w:cs="David"/>
          <w:b/>
          <w:bCs/>
          <w:color w:val="000000"/>
          <w:sz w:val="24"/>
          <w:szCs w:val="24"/>
        </w:rPr>
        <w:t>.</w:t>
      </w:r>
      <w:r w:rsidRPr="00E9125A">
        <w:rPr>
          <w:rFonts w:ascii="David" w:hAnsi="David" w:cs="David"/>
          <w:b/>
          <w:bCs/>
          <w:color w:val="0A0A0A"/>
          <w:sz w:val="24"/>
          <w:szCs w:val="24"/>
          <w:shd w:val="clear" w:color="auto" w:fill="FFFFFF"/>
          <w:rtl/>
        </w:rPr>
        <w:t xml:space="preserve"> </w:t>
      </w:r>
    </w:p>
    <w:p w14:paraId="2E68F953" w14:textId="77777777" w:rsidR="000F76E5" w:rsidRPr="00E9125A" w:rsidRDefault="000F76E5" w:rsidP="00E9125A">
      <w:pPr>
        <w:pStyle w:val="a9"/>
        <w:numPr>
          <w:ilvl w:val="0"/>
          <w:numId w:val="1"/>
        </w:numPr>
        <w:ind w:left="44" w:hanging="425"/>
        <w:rPr>
          <w:rFonts w:ascii="David" w:hAnsi="David" w:cs="David"/>
          <w:sz w:val="24"/>
          <w:szCs w:val="24"/>
          <w:rtl/>
        </w:rPr>
      </w:pPr>
      <w:r w:rsidRPr="00E9125A">
        <w:rPr>
          <w:rFonts w:ascii="David" w:hAnsi="David" w:cs="David" w:hint="eastAsia"/>
          <w:sz w:val="24"/>
          <w:szCs w:val="24"/>
          <w:rtl/>
        </w:rPr>
        <w:t>בעניין</w:t>
      </w:r>
      <w:r w:rsidRPr="00E9125A">
        <w:rPr>
          <w:rFonts w:ascii="David" w:hAnsi="David" w:cs="David"/>
          <w:sz w:val="24"/>
          <w:szCs w:val="24"/>
          <w:rtl/>
        </w:rPr>
        <w:t xml:space="preserve"> </w:t>
      </w:r>
      <w:r w:rsidR="000A0F1B">
        <w:rPr>
          <w:rFonts w:ascii="David" w:hAnsi="David" w:cs="David" w:hint="cs"/>
          <w:sz w:val="24"/>
          <w:szCs w:val="24"/>
          <w:rtl/>
        </w:rPr>
        <w:t>ע"א</w:t>
      </w:r>
      <w:r w:rsidR="002C28EF" w:rsidRPr="002C28EF">
        <w:rPr>
          <w:rFonts w:ascii="David" w:hAnsi="David" w:cs="David"/>
          <w:sz w:val="24"/>
          <w:szCs w:val="24"/>
          <w:rtl/>
        </w:rPr>
        <w:t xml:space="preserve"> 4487/01</w:t>
      </w:r>
      <w:r w:rsidR="002C28EF" w:rsidRPr="002C28EF">
        <w:rPr>
          <w:rFonts w:ascii="David" w:hAnsi="David" w:cs="David"/>
          <w:b/>
          <w:bCs/>
          <w:sz w:val="24"/>
          <w:szCs w:val="24"/>
          <w:rtl/>
        </w:rPr>
        <w:t> </w:t>
      </w:r>
      <w:proofErr w:type="spellStart"/>
      <w:r w:rsidR="002C28EF" w:rsidRPr="002C28EF">
        <w:rPr>
          <w:rFonts w:ascii="David" w:hAnsi="David" w:cs="David"/>
          <w:b/>
          <w:bCs/>
          <w:sz w:val="24"/>
          <w:szCs w:val="24"/>
          <w:rtl/>
        </w:rPr>
        <w:t>הו"מ</w:t>
      </w:r>
      <w:proofErr w:type="spellEnd"/>
      <w:r w:rsidR="002C28EF" w:rsidRPr="002C28EF">
        <w:rPr>
          <w:rFonts w:ascii="David" w:hAnsi="David" w:cs="David"/>
          <w:b/>
          <w:bCs/>
          <w:sz w:val="24"/>
          <w:szCs w:val="24"/>
          <w:rtl/>
        </w:rPr>
        <w:t xml:space="preserve"> לתו"ב רחובות נ' </w:t>
      </w:r>
      <w:proofErr w:type="spellStart"/>
      <w:r w:rsidR="002C28EF" w:rsidRPr="002C28EF">
        <w:rPr>
          <w:rFonts w:ascii="David" w:hAnsi="David" w:cs="David"/>
          <w:b/>
          <w:bCs/>
          <w:sz w:val="24"/>
          <w:szCs w:val="24"/>
          <w:rtl/>
        </w:rPr>
        <w:t>לוסטרניק</w:t>
      </w:r>
      <w:proofErr w:type="spellEnd"/>
      <w:r w:rsidR="002C28EF">
        <w:rPr>
          <w:rFonts w:ascii="David" w:hAnsi="David" w:cs="David" w:hint="cs"/>
          <w:b/>
          <w:bCs/>
          <w:sz w:val="24"/>
          <w:szCs w:val="24"/>
          <w:rtl/>
        </w:rPr>
        <w:t xml:space="preserve"> </w:t>
      </w:r>
      <w:r w:rsidR="002C28EF" w:rsidRPr="002C28EF">
        <w:rPr>
          <w:rFonts w:ascii="David" w:hAnsi="David" w:cs="David" w:hint="cs"/>
          <w:sz w:val="24"/>
          <w:szCs w:val="24"/>
          <w:rtl/>
        </w:rPr>
        <w:t xml:space="preserve">(נבו) </w:t>
      </w:r>
      <w:r w:rsidRPr="002C28EF">
        <w:rPr>
          <w:rFonts w:ascii="David" w:hAnsi="David" w:cs="David"/>
          <w:sz w:val="24"/>
          <w:szCs w:val="24"/>
          <w:rtl/>
        </w:rPr>
        <w:t>נקבע</w:t>
      </w:r>
      <w:r w:rsidRPr="00E9125A">
        <w:rPr>
          <w:rFonts w:ascii="David" w:hAnsi="David" w:cs="David"/>
          <w:sz w:val="24"/>
          <w:szCs w:val="24"/>
          <w:rtl/>
        </w:rPr>
        <w:t>:</w:t>
      </w:r>
    </w:p>
    <w:p w14:paraId="0C31C18B" w14:textId="77777777" w:rsidR="000F76E5" w:rsidRPr="00E9125A" w:rsidRDefault="000A0F1B" w:rsidP="00E9125A">
      <w:pPr>
        <w:spacing w:line="360" w:lineRule="auto"/>
        <w:ind w:left="611" w:right="851"/>
        <w:jc w:val="both"/>
        <w:rPr>
          <w:rFonts w:ascii="David" w:hAnsi="David" w:cs="David"/>
          <w:b/>
          <w:bCs/>
          <w:color w:val="000000"/>
          <w:sz w:val="24"/>
          <w:szCs w:val="24"/>
          <w:rtl/>
        </w:rPr>
      </w:pPr>
      <w:r w:rsidRPr="000A0F1B">
        <w:rPr>
          <w:rFonts w:ascii="David" w:hAnsi="David" w:cs="David"/>
          <w:b/>
          <w:bCs/>
          <w:color w:val="000000"/>
          <w:sz w:val="24"/>
          <w:szCs w:val="24"/>
        </w:rPr>
        <w:t>"</w:t>
      </w:r>
      <w:r w:rsidR="000F76E5" w:rsidRPr="00B91BD9">
        <w:rPr>
          <w:rFonts w:ascii="David" w:hAnsi="David" w:cs="David"/>
          <w:b/>
          <w:bCs/>
          <w:color w:val="000000"/>
          <w:sz w:val="24"/>
          <w:szCs w:val="24"/>
          <w:rtl/>
        </w:rPr>
        <w:t>יסוד זה של התעשרות עקב פעילות תכנון שלפי </w:t>
      </w:r>
      <w:hyperlink r:id="rId13" w:history="1">
        <w:r w:rsidR="000F76E5" w:rsidRPr="00B91BD9">
          <w:rPr>
            <w:rFonts w:ascii="David" w:hAnsi="David" w:cs="David"/>
            <w:b/>
            <w:bCs/>
            <w:color w:val="000000"/>
            <w:sz w:val="24"/>
            <w:szCs w:val="24"/>
            <w:rtl/>
          </w:rPr>
          <w:t>חוק התכנון והבניה</w:t>
        </w:r>
      </w:hyperlink>
      <w:r w:rsidR="000F76E5" w:rsidRPr="00B91BD9">
        <w:rPr>
          <w:rFonts w:ascii="David" w:hAnsi="David" w:cs="David"/>
          <w:b/>
          <w:bCs/>
          <w:color w:val="000000"/>
          <w:sz w:val="24"/>
          <w:szCs w:val="24"/>
        </w:rPr>
        <w:t> </w:t>
      </w:r>
      <w:r w:rsidR="000F76E5" w:rsidRPr="00B91BD9">
        <w:rPr>
          <w:rFonts w:ascii="David" w:hAnsi="David" w:cs="David"/>
          <w:b/>
          <w:bCs/>
          <w:color w:val="000000"/>
          <w:sz w:val="24"/>
          <w:szCs w:val="24"/>
          <w:rtl/>
        </w:rPr>
        <w:t>הוא בריח</w:t>
      </w:r>
      <w:r w:rsidR="000F76E5" w:rsidRPr="00B91BD9">
        <w:rPr>
          <w:rFonts w:ascii="David" w:hAnsi="David" w:cs="David"/>
          <w:b/>
          <w:bCs/>
          <w:color w:val="000000"/>
          <w:sz w:val="24"/>
          <w:szCs w:val="24"/>
        </w:rPr>
        <w:t>-</w:t>
      </w:r>
      <w:r w:rsidR="000F76E5" w:rsidRPr="00B91BD9">
        <w:rPr>
          <w:rFonts w:ascii="David" w:hAnsi="David" w:cs="David"/>
          <w:b/>
          <w:bCs/>
          <w:color w:val="000000"/>
          <w:sz w:val="24"/>
          <w:szCs w:val="24"/>
          <w:rtl/>
        </w:rPr>
        <w:t>התיכון בהיטל השבחה – בקומפלקס הכולל ובכל אחד ואחד ממרכיביו, זעיר ככל שיהא. ההתעשרות היא המרכיב הדומיננטי בכל אירוע של היטל השבחה, ובאין התעשרות לא יקום ולא יהא היטל השבחה. פירוש הדברים הוא שבכל אירוע שבו טוענת הרשות לזכותה להטיל היטל השבחה, שומה עלינו לתור סביבנו היטב</w:t>
      </w:r>
      <w:r w:rsidR="000F76E5" w:rsidRPr="00B91BD9">
        <w:rPr>
          <w:rFonts w:ascii="David" w:hAnsi="David" w:cs="David"/>
          <w:b/>
          <w:bCs/>
          <w:color w:val="000000"/>
          <w:sz w:val="24"/>
          <w:szCs w:val="24"/>
        </w:rPr>
        <w:t>-</w:t>
      </w:r>
      <w:r w:rsidR="000F76E5" w:rsidRPr="00B91BD9">
        <w:rPr>
          <w:rFonts w:ascii="David" w:hAnsi="David" w:cs="David"/>
          <w:b/>
          <w:bCs/>
          <w:color w:val="000000"/>
          <w:sz w:val="24"/>
          <w:szCs w:val="24"/>
          <w:rtl/>
        </w:rPr>
        <w:t>היטב במטרה לגלות אם הייתה התעשרות של בעל קרקע</w:t>
      </w:r>
      <w:r w:rsidR="000F76E5" w:rsidRPr="00B91BD9">
        <w:rPr>
          <w:rFonts w:ascii="David" w:hAnsi="David" w:cs="David"/>
          <w:b/>
          <w:bCs/>
          <w:color w:val="000000"/>
          <w:sz w:val="24"/>
          <w:szCs w:val="24"/>
        </w:rPr>
        <w:t>, </w:t>
      </w:r>
      <w:r w:rsidR="000F76E5" w:rsidRPr="00B91BD9">
        <w:rPr>
          <w:rFonts w:ascii="David" w:hAnsi="David" w:cs="David"/>
          <w:b/>
          <w:bCs/>
          <w:color w:val="000000"/>
          <w:sz w:val="24"/>
          <w:szCs w:val="24"/>
          <w:rtl/>
        </w:rPr>
        <w:t xml:space="preserve">ולא אך התעשרות על דרך הסתם, </w:t>
      </w:r>
      <w:r w:rsidR="000F76E5" w:rsidRPr="004D517F">
        <w:rPr>
          <w:rFonts w:ascii="David" w:hAnsi="David" w:cs="David"/>
          <w:b/>
          <w:bCs/>
          <w:color w:val="000000"/>
          <w:sz w:val="24"/>
          <w:szCs w:val="24"/>
          <w:rtl/>
        </w:rPr>
        <w:t>אלא התעשרות שבאה עקב אחד מאותם אירועי תכנון ש</w:t>
      </w:r>
      <w:hyperlink r:id="rId14" w:history="1">
        <w:r w:rsidR="000F76E5" w:rsidRPr="004D517F">
          <w:rPr>
            <w:rFonts w:ascii="David" w:hAnsi="David" w:cs="David"/>
            <w:b/>
            <w:bCs/>
            <w:color w:val="000000"/>
            <w:sz w:val="24"/>
            <w:szCs w:val="24"/>
            <w:rtl/>
          </w:rPr>
          <w:t>חוק התכנון והבניה</w:t>
        </w:r>
      </w:hyperlink>
      <w:r w:rsidR="000F76E5" w:rsidRPr="004D517F">
        <w:rPr>
          <w:rFonts w:ascii="David" w:hAnsi="David" w:cs="David"/>
          <w:b/>
          <w:bCs/>
          <w:color w:val="000000"/>
          <w:sz w:val="24"/>
          <w:szCs w:val="24"/>
        </w:rPr>
        <w:t> </w:t>
      </w:r>
      <w:r w:rsidR="000F76E5" w:rsidRPr="004D517F">
        <w:rPr>
          <w:rFonts w:ascii="David" w:hAnsi="David" w:cs="David"/>
          <w:b/>
          <w:bCs/>
          <w:color w:val="000000"/>
          <w:sz w:val="24"/>
          <w:szCs w:val="24"/>
          <w:rtl/>
        </w:rPr>
        <w:t>מדבר בהם</w:t>
      </w:r>
      <w:r w:rsidR="003132F8" w:rsidRPr="004D517F">
        <w:rPr>
          <w:rFonts w:ascii="David" w:hAnsi="David" w:cs="David"/>
          <w:b/>
          <w:bCs/>
          <w:color w:val="000000"/>
          <w:sz w:val="24"/>
          <w:szCs w:val="24"/>
          <w:rtl/>
        </w:rPr>
        <w:t xml:space="preserve"> (</w:t>
      </w:r>
      <w:r w:rsidR="000F76E5" w:rsidRPr="004D517F">
        <w:rPr>
          <w:rFonts w:ascii="David" w:hAnsi="David" w:cs="David"/>
          <w:b/>
          <w:bCs/>
          <w:color w:val="000000"/>
          <w:sz w:val="24"/>
          <w:szCs w:val="24"/>
          <w:rtl/>
        </w:rPr>
        <w:t>ההדגשה שלי – א' א' לוי</w:t>
      </w:r>
      <w:r w:rsidR="00077C42" w:rsidRPr="004D517F">
        <w:rPr>
          <w:rFonts w:ascii="David" w:hAnsi="David" w:cs="David" w:hint="cs"/>
          <w:b/>
          <w:bCs/>
          <w:color w:val="000000"/>
          <w:sz w:val="24"/>
          <w:szCs w:val="24"/>
          <w:rtl/>
        </w:rPr>
        <w:t>)</w:t>
      </w:r>
      <w:r w:rsidR="00077C42" w:rsidRPr="004D517F">
        <w:rPr>
          <w:rFonts w:ascii="David" w:hAnsi="David" w:cs="David"/>
          <w:b/>
          <w:bCs/>
          <w:color w:val="000000"/>
          <w:sz w:val="24"/>
          <w:szCs w:val="24"/>
        </w:rPr>
        <w:t xml:space="preserve"> "</w:t>
      </w:r>
      <w:r w:rsidR="003132F8" w:rsidRPr="004D517F">
        <w:rPr>
          <w:rFonts w:ascii="David" w:hAnsi="David" w:cs="David"/>
          <w:b/>
          <w:bCs/>
          <w:color w:val="000000"/>
          <w:sz w:val="24"/>
          <w:szCs w:val="24"/>
        </w:rPr>
        <w:t>.</w:t>
      </w:r>
    </w:p>
    <w:p w14:paraId="6BDAA38C" w14:textId="77777777" w:rsidR="00E80CC8" w:rsidRPr="003132F8" w:rsidRDefault="00E80CC8" w:rsidP="00E9125A">
      <w:pPr>
        <w:pStyle w:val="a9"/>
        <w:numPr>
          <w:ilvl w:val="0"/>
          <w:numId w:val="1"/>
        </w:numPr>
        <w:spacing w:line="360" w:lineRule="auto"/>
        <w:ind w:left="90" w:hanging="425"/>
        <w:contextualSpacing w:val="0"/>
        <w:rPr>
          <w:rFonts w:ascii="David" w:hAnsi="David" w:cs="David"/>
          <w:sz w:val="24"/>
          <w:szCs w:val="24"/>
        </w:rPr>
      </w:pPr>
      <w:r w:rsidRPr="003132F8">
        <w:rPr>
          <w:rFonts w:ascii="David" w:hAnsi="David" w:cs="David" w:hint="eastAsia"/>
          <w:sz w:val="24"/>
          <w:szCs w:val="24"/>
          <w:rtl/>
        </w:rPr>
        <w:t>כך</w:t>
      </w:r>
      <w:r w:rsidRPr="003132F8">
        <w:rPr>
          <w:rFonts w:ascii="David" w:hAnsi="David" w:cs="David"/>
          <w:sz w:val="24"/>
          <w:szCs w:val="24"/>
          <w:rtl/>
        </w:rPr>
        <w:t xml:space="preserve"> </w:t>
      </w:r>
      <w:r w:rsidRPr="003132F8">
        <w:rPr>
          <w:rFonts w:ascii="David" w:hAnsi="David" w:cs="David" w:hint="eastAsia"/>
          <w:sz w:val="24"/>
          <w:szCs w:val="24"/>
          <w:rtl/>
        </w:rPr>
        <w:t>גם</w:t>
      </w:r>
      <w:r w:rsidRPr="003132F8">
        <w:rPr>
          <w:rFonts w:ascii="David" w:hAnsi="David" w:cs="David"/>
          <w:sz w:val="24"/>
          <w:szCs w:val="24"/>
          <w:rtl/>
        </w:rPr>
        <w:t> </w:t>
      </w:r>
      <w:hyperlink r:id="rId15" w:history="1">
        <w:r w:rsidRPr="00E9125A">
          <w:rPr>
            <w:rFonts w:ascii="David" w:hAnsi="David" w:cs="David"/>
            <w:sz w:val="24"/>
            <w:szCs w:val="24"/>
            <w:rtl/>
          </w:rPr>
          <w:t>בר"מ 4367/16</w:t>
        </w:r>
      </w:hyperlink>
      <w:r w:rsidRPr="003132F8">
        <w:rPr>
          <w:rFonts w:ascii="David" w:hAnsi="David" w:cs="David"/>
          <w:sz w:val="24"/>
          <w:szCs w:val="24"/>
          <w:rtl/>
        </w:rPr>
        <w:t> </w:t>
      </w:r>
      <w:r w:rsidRPr="00E9125A">
        <w:rPr>
          <w:rFonts w:ascii="David" w:hAnsi="David" w:cs="David"/>
          <w:b/>
          <w:bCs/>
          <w:sz w:val="24"/>
          <w:szCs w:val="24"/>
          <w:rtl/>
        </w:rPr>
        <w:t>אהרון מאיר נ' הוועדה המקומית לתכנון ולבנייה הוד השרון</w:t>
      </w:r>
      <w:r w:rsidRPr="003132F8">
        <w:rPr>
          <w:rFonts w:ascii="David" w:hAnsi="David" w:cs="David"/>
          <w:sz w:val="24"/>
          <w:szCs w:val="24"/>
          <w:rtl/>
        </w:rPr>
        <w:t> </w:t>
      </w:r>
      <w:r w:rsidR="003132F8">
        <w:rPr>
          <w:rFonts w:ascii="David" w:hAnsi="David" w:cs="David" w:hint="cs"/>
          <w:sz w:val="24"/>
          <w:szCs w:val="24"/>
          <w:rtl/>
        </w:rPr>
        <w:t>(נבו):</w:t>
      </w:r>
    </w:p>
    <w:p w14:paraId="3DC11896" w14:textId="77777777" w:rsidR="00E80CC8" w:rsidRPr="00E9125A" w:rsidRDefault="00E80CC8" w:rsidP="00E9125A">
      <w:pPr>
        <w:pStyle w:val="a9"/>
        <w:spacing w:line="360" w:lineRule="auto"/>
        <w:ind w:left="611" w:right="851"/>
        <w:contextualSpacing w:val="0"/>
        <w:rPr>
          <w:rStyle w:val="af6"/>
          <w:rFonts w:ascii="David" w:hAnsi="David" w:cs="David"/>
          <w:i w:val="0"/>
          <w:iCs w:val="0"/>
          <w:sz w:val="24"/>
          <w:szCs w:val="24"/>
          <w:rtl/>
        </w:rPr>
      </w:pPr>
      <w:r w:rsidRPr="00E9125A">
        <w:rPr>
          <w:rStyle w:val="af6"/>
          <w:rFonts w:ascii="David" w:hAnsi="David" w:cs="David"/>
          <w:i w:val="0"/>
          <w:iCs w:val="0"/>
          <w:sz w:val="24"/>
          <w:szCs w:val="24"/>
          <w:rtl/>
        </w:rPr>
        <w:t>"נוכח התכלית האמורה, מאליו נובע כי באין התעשרות אין היטל;</w:t>
      </w:r>
      <w:r w:rsidR="003132F8">
        <w:rPr>
          <w:rStyle w:val="af6"/>
          <w:rFonts w:ascii="David" w:hAnsi="David" w:cs="David" w:hint="cs"/>
          <w:i w:val="0"/>
          <w:iCs w:val="0"/>
          <w:sz w:val="24"/>
          <w:szCs w:val="24"/>
          <w:rtl/>
        </w:rPr>
        <w:t>"</w:t>
      </w:r>
    </w:p>
    <w:p w14:paraId="33D90D88" w14:textId="65C268F5" w:rsidR="000F76E5" w:rsidRPr="000958E1" w:rsidRDefault="000F76E5" w:rsidP="00E9125A">
      <w:pPr>
        <w:pStyle w:val="a9"/>
        <w:numPr>
          <w:ilvl w:val="0"/>
          <w:numId w:val="1"/>
        </w:numPr>
        <w:spacing w:line="360" w:lineRule="auto"/>
        <w:ind w:left="90" w:hanging="425"/>
        <w:contextualSpacing w:val="0"/>
        <w:jc w:val="both"/>
        <w:rPr>
          <w:rFonts w:ascii="David" w:hAnsi="David" w:cs="David"/>
          <w:sz w:val="24"/>
          <w:szCs w:val="24"/>
          <w:rtl/>
        </w:rPr>
      </w:pPr>
      <w:r w:rsidRPr="000958E1">
        <w:rPr>
          <w:rFonts w:ascii="David" w:hAnsi="David" w:cs="David" w:hint="eastAsia"/>
          <w:sz w:val="24"/>
          <w:szCs w:val="24"/>
          <w:rtl/>
        </w:rPr>
        <w:t>ועל</w:t>
      </w:r>
      <w:r w:rsidRPr="000958E1">
        <w:rPr>
          <w:rFonts w:ascii="David" w:hAnsi="David" w:cs="David"/>
          <w:sz w:val="24"/>
          <w:szCs w:val="24"/>
          <w:rtl/>
        </w:rPr>
        <w:t xml:space="preserve"> כן ברור כי היטל ההשבחה מושתת ומבוסס על ההתעשרות של היזם</w:t>
      </w:r>
      <w:r w:rsidR="00350144">
        <w:rPr>
          <w:rFonts w:ascii="David" w:hAnsi="David" w:cs="David" w:hint="cs"/>
          <w:sz w:val="24"/>
          <w:szCs w:val="24"/>
          <w:rtl/>
        </w:rPr>
        <w:t xml:space="preserve"> במועד הקובע</w:t>
      </w:r>
      <w:r w:rsidR="003132F8">
        <w:rPr>
          <w:rFonts w:ascii="David" w:hAnsi="David" w:cs="David" w:hint="cs"/>
          <w:sz w:val="24"/>
          <w:szCs w:val="24"/>
          <w:rtl/>
        </w:rPr>
        <w:t>.</w:t>
      </w:r>
      <w:r w:rsidRPr="000958E1">
        <w:rPr>
          <w:rFonts w:ascii="David" w:hAnsi="David" w:cs="David"/>
          <w:sz w:val="24"/>
          <w:szCs w:val="24"/>
          <w:rtl/>
        </w:rPr>
        <w:t xml:space="preserve"> בלא התעשרות – אין </w:t>
      </w:r>
      <w:r w:rsidR="00FF5EC5" w:rsidRPr="000958E1">
        <w:rPr>
          <w:rFonts w:ascii="David" w:hAnsi="David" w:cs="David" w:hint="eastAsia"/>
          <w:sz w:val="24"/>
          <w:szCs w:val="24"/>
          <w:rtl/>
        </w:rPr>
        <w:t>היטל</w:t>
      </w:r>
      <w:r w:rsidRPr="000958E1">
        <w:rPr>
          <w:rFonts w:ascii="David" w:hAnsi="David" w:cs="David"/>
          <w:sz w:val="24"/>
          <w:szCs w:val="24"/>
          <w:rtl/>
        </w:rPr>
        <w:t>.</w:t>
      </w:r>
    </w:p>
    <w:p w14:paraId="28E8E87C" w14:textId="77C90244" w:rsidR="00E80CC8" w:rsidRDefault="00E80CC8" w:rsidP="00E9125A">
      <w:pPr>
        <w:pStyle w:val="a9"/>
        <w:numPr>
          <w:ilvl w:val="0"/>
          <w:numId w:val="1"/>
        </w:numPr>
        <w:spacing w:line="360" w:lineRule="auto"/>
        <w:ind w:left="90" w:hanging="425"/>
        <w:contextualSpacing w:val="0"/>
        <w:jc w:val="both"/>
        <w:rPr>
          <w:rFonts w:ascii="David" w:hAnsi="David" w:cs="David"/>
          <w:sz w:val="24"/>
          <w:szCs w:val="24"/>
        </w:rPr>
      </w:pPr>
      <w:r w:rsidRPr="000958E1">
        <w:rPr>
          <w:rFonts w:ascii="David" w:hAnsi="David" w:cs="David" w:hint="eastAsia"/>
          <w:sz w:val="24"/>
          <w:szCs w:val="24"/>
          <w:rtl/>
        </w:rPr>
        <w:t>בנסיבות</w:t>
      </w:r>
      <w:r w:rsidRPr="000958E1">
        <w:rPr>
          <w:rFonts w:ascii="David" w:hAnsi="David" w:cs="David"/>
          <w:sz w:val="24"/>
          <w:szCs w:val="24"/>
          <w:rtl/>
        </w:rPr>
        <w:t xml:space="preserve"> אלו ברור </w:t>
      </w:r>
      <w:r w:rsidR="00E6645C" w:rsidRPr="000958E1">
        <w:rPr>
          <w:rFonts w:ascii="David" w:hAnsi="David" w:cs="David" w:hint="eastAsia"/>
          <w:sz w:val="24"/>
          <w:szCs w:val="24"/>
          <w:rtl/>
        </w:rPr>
        <w:t>גם</w:t>
      </w:r>
      <w:r w:rsidR="00E6645C" w:rsidRPr="000958E1">
        <w:rPr>
          <w:rFonts w:ascii="David" w:hAnsi="David" w:cs="David"/>
          <w:sz w:val="24"/>
          <w:szCs w:val="24"/>
          <w:rtl/>
        </w:rPr>
        <w:t xml:space="preserve"> </w:t>
      </w:r>
      <w:r w:rsidRPr="000958E1">
        <w:rPr>
          <w:rFonts w:ascii="David" w:hAnsi="David" w:cs="David" w:hint="eastAsia"/>
          <w:sz w:val="24"/>
          <w:szCs w:val="24"/>
          <w:rtl/>
        </w:rPr>
        <w:t>כי</w:t>
      </w:r>
      <w:r w:rsidRPr="000958E1">
        <w:rPr>
          <w:rFonts w:ascii="David" w:hAnsi="David" w:cs="David"/>
          <w:sz w:val="24"/>
          <w:szCs w:val="24"/>
          <w:rtl/>
        </w:rPr>
        <w:t xml:space="preserve"> ככל </w:t>
      </w:r>
      <w:r w:rsidR="00E6645C" w:rsidRPr="000958E1">
        <w:rPr>
          <w:rFonts w:ascii="David" w:hAnsi="David" w:cs="David" w:hint="eastAsia"/>
          <w:sz w:val="24"/>
          <w:szCs w:val="24"/>
          <w:rtl/>
        </w:rPr>
        <w:t>ו</w:t>
      </w:r>
      <w:r w:rsidR="00D82CD8">
        <w:rPr>
          <w:rFonts w:ascii="David" w:hAnsi="David" w:cs="David" w:hint="cs"/>
          <w:sz w:val="24"/>
          <w:szCs w:val="24"/>
          <w:rtl/>
        </w:rPr>
        <w:t>ת</w:t>
      </w:r>
      <w:r w:rsidR="00E6645C" w:rsidRPr="000958E1">
        <w:rPr>
          <w:rFonts w:ascii="David" w:hAnsi="David" w:cs="David" w:hint="eastAsia"/>
          <w:sz w:val="24"/>
          <w:szCs w:val="24"/>
          <w:rtl/>
        </w:rPr>
        <w:t>תקבל</w:t>
      </w:r>
      <w:r w:rsidR="00E6645C" w:rsidRPr="000958E1">
        <w:rPr>
          <w:rFonts w:ascii="David" w:hAnsi="David" w:cs="David"/>
          <w:sz w:val="24"/>
          <w:szCs w:val="24"/>
          <w:rtl/>
        </w:rPr>
        <w:t xml:space="preserve"> </w:t>
      </w:r>
      <w:r w:rsidR="008D04C4">
        <w:rPr>
          <w:rFonts w:ascii="David" w:hAnsi="David" w:cs="David" w:hint="cs"/>
          <w:sz w:val="24"/>
          <w:szCs w:val="24"/>
          <w:rtl/>
        </w:rPr>
        <w:t xml:space="preserve">ההערכה המבוססת על התנהלות השוק והוועדה המקומית לפיה </w:t>
      </w:r>
      <w:r w:rsidR="00E6645C" w:rsidRPr="000958E1">
        <w:rPr>
          <w:rFonts w:ascii="David" w:hAnsi="David" w:cs="David" w:hint="eastAsia"/>
          <w:sz w:val="24"/>
          <w:szCs w:val="24"/>
          <w:rtl/>
        </w:rPr>
        <w:t>במסגרת</w:t>
      </w:r>
      <w:r w:rsidR="00E6645C" w:rsidRPr="000958E1">
        <w:rPr>
          <w:rFonts w:ascii="David" w:hAnsi="David" w:cs="David"/>
          <w:sz w:val="24"/>
          <w:szCs w:val="24"/>
          <w:rtl/>
        </w:rPr>
        <w:t xml:space="preserve"> </w:t>
      </w:r>
      <w:r w:rsidR="00E6645C" w:rsidRPr="000958E1">
        <w:rPr>
          <w:rFonts w:ascii="David" w:hAnsi="David" w:cs="David" w:hint="eastAsia"/>
          <w:sz w:val="24"/>
          <w:szCs w:val="24"/>
          <w:rtl/>
        </w:rPr>
        <w:t>ההסכמים</w:t>
      </w:r>
      <w:r w:rsidRPr="000958E1">
        <w:rPr>
          <w:rFonts w:ascii="David" w:hAnsi="David" w:cs="David"/>
          <w:sz w:val="24"/>
          <w:szCs w:val="24"/>
          <w:rtl/>
        </w:rPr>
        <w:t xml:space="preserve"> בהם </w:t>
      </w:r>
      <w:r w:rsidRPr="000958E1">
        <w:rPr>
          <w:rFonts w:ascii="David" w:hAnsi="David" w:cs="David" w:hint="eastAsia"/>
          <w:sz w:val="24"/>
          <w:szCs w:val="24"/>
          <w:rtl/>
        </w:rPr>
        <w:t>נקבע</w:t>
      </w:r>
      <w:r w:rsidRPr="000958E1">
        <w:rPr>
          <w:rFonts w:ascii="David" w:hAnsi="David" w:cs="David"/>
          <w:sz w:val="24"/>
          <w:szCs w:val="24"/>
          <w:rtl/>
        </w:rPr>
        <w:t xml:space="preserve"> אופן ביצוע המטלה הציבורית </w:t>
      </w:r>
      <w:r w:rsidR="008D04C4">
        <w:rPr>
          <w:rFonts w:ascii="David" w:hAnsi="David" w:cs="David" w:hint="cs"/>
          <w:sz w:val="24"/>
          <w:szCs w:val="24"/>
          <w:rtl/>
        </w:rPr>
        <w:t>נכלל</w:t>
      </w:r>
      <w:r w:rsidRPr="000958E1">
        <w:rPr>
          <w:rFonts w:ascii="David" w:hAnsi="David" w:cs="David"/>
          <w:sz w:val="24"/>
          <w:szCs w:val="24"/>
          <w:rtl/>
        </w:rPr>
        <w:t xml:space="preserve"> </w:t>
      </w:r>
      <w:r w:rsidR="008D04C4">
        <w:rPr>
          <w:rFonts w:ascii="David" w:hAnsi="David" w:cs="David" w:hint="cs"/>
          <w:sz w:val="24"/>
          <w:szCs w:val="24"/>
          <w:rtl/>
        </w:rPr>
        <w:t>תנאי</w:t>
      </w:r>
      <w:r w:rsidRPr="000958E1">
        <w:rPr>
          <w:rFonts w:ascii="David" w:hAnsi="David" w:cs="David"/>
          <w:sz w:val="24"/>
          <w:szCs w:val="24"/>
          <w:rtl/>
        </w:rPr>
        <w:t xml:space="preserve"> לביצוע</w:t>
      </w:r>
      <w:r w:rsidR="00E6645C" w:rsidRPr="000958E1">
        <w:rPr>
          <w:rFonts w:ascii="David" w:hAnsi="David" w:cs="David"/>
          <w:sz w:val="24"/>
          <w:szCs w:val="24"/>
          <w:rtl/>
        </w:rPr>
        <w:t xml:space="preserve"> המטלה</w:t>
      </w:r>
      <w:r w:rsidRPr="000958E1">
        <w:rPr>
          <w:rFonts w:ascii="David" w:hAnsi="David" w:cs="David"/>
          <w:sz w:val="24"/>
          <w:szCs w:val="24"/>
          <w:rtl/>
        </w:rPr>
        <w:t xml:space="preserve"> על דרך "רמת גמר", הרי שמההשבחה</w:t>
      </w:r>
      <w:r w:rsidR="002769C7">
        <w:rPr>
          <w:rFonts w:ascii="David" w:hAnsi="David" w:cs="David" w:hint="cs"/>
          <w:sz w:val="24"/>
          <w:szCs w:val="24"/>
          <w:rtl/>
        </w:rPr>
        <w:t xml:space="preserve"> וההתעשרות</w:t>
      </w:r>
      <w:r w:rsidRPr="000958E1">
        <w:rPr>
          <w:rFonts w:ascii="David" w:hAnsi="David" w:cs="David"/>
          <w:sz w:val="24"/>
          <w:szCs w:val="24"/>
          <w:rtl/>
        </w:rPr>
        <w:t xml:space="preserve"> אות</w:t>
      </w:r>
      <w:r w:rsidR="002769C7">
        <w:rPr>
          <w:rFonts w:ascii="David" w:hAnsi="David" w:cs="David" w:hint="cs"/>
          <w:sz w:val="24"/>
          <w:szCs w:val="24"/>
          <w:rtl/>
        </w:rPr>
        <w:t>ה</w:t>
      </w:r>
      <w:r w:rsidRPr="000958E1">
        <w:rPr>
          <w:rFonts w:ascii="David" w:hAnsi="David" w:cs="David"/>
          <w:sz w:val="24"/>
          <w:szCs w:val="24"/>
          <w:rtl/>
        </w:rPr>
        <w:t xml:space="preserve"> משיא היזם, יש להפחית את ההוצאה </w:t>
      </w:r>
      <w:r w:rsidR="002769C7">
        <w:rPr>
          <w:rFonts w:ascii="David" w:hAnsi="David" w:cs="David" w:hint="cs"/>
          <w:sz w:val="24"/>
          <w:szCs w:val="24"/>
          <w:rtl/>
        </w:rPr>
        <w:t>בדמות</w:t>
      </w:r>
      <w:r w:rsidR="00D82CD8">
        <w:rPr>
          <w:rFonts w:ascii="David" w:hAnsi="David" w:cs="David" w:hint="cs"/>
          <w:sz w:val="24"/>
          <w:szCs w:val="24"/>
          <w:rtl/>
        </w:rPr>
        <w:t xml:space="preserve"> עלות המטלה הציבורית בביצוע ברמת גמר</w:t>
      </w:r>
      <w:r w:rsidR="00C50975">
        <w:rPr>
          <w:rFonts w:ascii="David" w:hAnsi="David" w:cs="David" w:hint="cs"/>
          <w:sz w:val="24"/>
          <w:szCs w:val="24"/>
          <w:rtl/>
        </w:rPr>
        <w:t xml:space="preserve">, </w:t>
      </w:r>
      <w:r w:rsidR="007B3411">
        <w:rPr>
          <w:rFonts w:ascii="David" w:hAnsi="David" w:cs="David" w:hint="cs"/>
          <w:sz w:val="24"/>
          <w:szCs w:val="24"/>
          <w:rtl/>
        </w:rPr>
        <w:t>ו</w:t>
      </w:r>
      <w:r w:rsidR="00C50975">
        <w:rPr>
          <w:rFonts w:ascii="David" w:hAnsi="David" w:cs="David" w:hint="cs"/>
          <w:sz w:val="24"/>
          <w:szCs w:val="24"/>
          <w:rtl/>
        </w:rPr>
        <w:t xml:space="preserve">באופן </w:t>
      </w:r>
      <w:r w:rsidR="00C26789">
        <w:rPr>
          <w:rFonts w:ascii="David" w:hAnsi="David" w:cs="David" w:hint="cs"/>
          <w:sz w:val="24"/>
          <w:szCs w:val="24"/>
          <w:rtl/>
        </w:rPr>
        <w:t>ה</w:t>
      </w:r>
      <w:r w:rsidR="00C50975">
        <w:rPr>
          <w:rFonts w:ascii="David" w:hAnsi="David" w:cs="David" w:hint="cs"/>
          <w:sz w:val="24"/>
          <w:szCs w:val="24"/>
          <w:rtl/>
        </w:rPr>
        <w:t>מקובל</w:t>
      </w:r>
      <w:r w:rsidR="00943F54">
        <w:rPr>
          <w:rFonts w:ascii="David" w:hAnsi="David" w:cs="David" w:hint="cs"/>
          <w:sz w:val="24"/>
          <w:szCs w:val="24"/>
          <w:rtl/>
        </w:rPr>
        <w:t xml:space="preserve"> </w:t>
      </w:r>
      <w:r w:rsidR="00C50975">
        <w:rPr>
          <w:rFonts w:ascii="David" w:hAnsi="David" w:cs="David" w:hint="cs"/>
          <w:sz w:val="24"/>
          <w:szCs w:val="24"/>
          <w:rtl/>
        </w:rPr>
        <w:t>במועד הקובע</w:t>
      </w:r>
      <w:r w:rsidRPr="000958E1">
        <w:rPr>
          <w:rFonts w:ascii="David" w:hAnsi="David" w:cs="David"/>
          <w:sz w:val="24"/>
          <w:szCs w:val="24"/>
          <w:rtl/>
        </w:rPr>
        <w:t>.</w:t>
      </w:r>
    </w:p>
    <w:p w14:paraId="0A2B9ADE" w14:textId="77777777" w:rsidR="00936CE9" w:rsidRDefault="008D04C4">
      <w:pPr>
        <w:pStyle w:val="a9"/>
        <w:numPr>
          <w:ilvl w:val="0"/>
          <w:numId w:val="1"/>
        </w:numPr>
        <w:spacing w:line="360" w:lineRule="auto"/>
        <w:ind w:left="90" w:hanging="425"/>
        <w:contextualSpacing w:val="0"/>
        <w:jc w:val="both"/>
        <w:rPr>
          <w:rFonts w:ascii="David" w:hAnsi="David" w:cs="David"/>
          <w:sz w:val="24"/>
          <w:szCs w:val="24"/>
        </w:rPr>
      </w:pPr>
      <w:r w:rsidRPr="003132F8">
        <w:rPr>
          <w:rFonts w:ascii="David" w:hAnsi="David" w:cs="David" w:hint="eastAsia"/>
          <w:sz w:val="24"/>
          <w:szCs w:val="24"/>
          <w:rtl/>
        </w:rPr>
        <w:t>דברים</w:t>
      </w:r>
      <w:r w:rsidRPr="003132F8">
        <w:rPr>
          <w:rFonts w:ascii="David" w:hAnsi="David" w:cs="David"/>
          <w:sz w:val="24"/>
          <w:szCs w:val="24"/>
          <w:rtl/>
        </w:rPr>
        <w:t xml:space="preserve"> אלו עולים בקנה אחד עם קביעת ועדת הערר בעניין </w:t>
      </w:r>
      <w:proofErr w:type="spellStart"/>
      <w:r w:rsidRPr="003132F8">
        <w:rPr>
          <w:rFonts w:ascii="David" w:hAnsi="David" w:cs="David" w:hint="eastAsia"/>
          <w:sz w:val="24"/>
          <w:szCs w:val="24"/>
          <w:rtl/>
        </w:rPr>
        <w:t>מ</w:t>
      </w:r>
      <w:r w:rsidRPr="003132F8">
        <w:rPr>
          <w:rFonts w:ascii="David" w:hAnsi="David" w:cs="David"/>
          <w:sz w:val="24"/>
          <w:szCs w:val="24"/>
          <w:rtl/>
        </w:rPr>
        <w:t>.</w:t>
      </w:r>
      <w:r w:rsidR="00784425">
        <w:rPr>
          <w:rFonts w:ascii="David" w:hAnsi="David" w:cs="David" w:hint="cs"/>
          <w:sz w:val="24"/>
          <w:szCs w:val="24"/>
          <w:rtl/>
        </w:rPr>
        <w:t>ה.א.</w:t>
      </w:r>
      <w:r w:rsidRPr="003132F8">
        <w:rPr>
          <w:rFonts w:ascii="David" w:hAnsi="David" w:cs="David"/>
          <w:sz w:val="24"/>
          <w:szCs w:val="24"/>
          <w:rtl/>
        </w:rPr>
        <w:t>ר</w:t>
      </w:r>
      <w:proofErr w:type="spellEnd"/>
      <w:r w:rsidRPr="003132F8">
        <w:rPr>
          <w:rFonts w:ascii="David" w:hAnsi="David" w:cs="David"/>
          <w:sz w:val="24"/>
          <w:szCs w:val="24"/>
          <w:rtl/>
        </w:rPr>
        <w:t>: "</w:t>
      </w:r>
      <w:r w:rsidRPr="00E9125A">
        <w:rPr>
          <w:rFonts w:ascii="David" w:hAnsi="David" w:cs="David"/>
          <w:b/>
          <w:bCs/>
          <w:sz w:val="24"/>
          <w:szCs w:val="24"/>
          <w:rtl/>
        </w:rPr>
        <w:t xml:space="preserve">שיעור המטלות הציבוריות נקבע </w:t>
      </w:r>
      <w:r w:rsidRPr="00E9125A">
        <w:rPr>
          <w:rFonts w:ascii="David" w:hAnsi="David" w:cs="David"/>
          <w:b/>
          <w:bCs/>
          <w:sz w:val="24"/>
          <w:szCs w:val="24"/>
          <w:u w:val="single"/>
          <w:rtl/>
        </w:rPr>
        <w:t>לפי השיעור שהיה צופה קונה סביר במועד הקובע שיהיה עליו להוציא לביצוע מטלות אלו,</w:t>
      </w:r>
      <w:r w:rsidRPr="00E9125A">
        <w:rPr>
          <w:rFonts w:ascii="David" w:hAnsi="David" w:cs="David"/>
          <w:b/>
          <w:bCs/>
          <w:sz w:val="24"/>
          <w:szCs w:val="24"/>
          <w:rtl/>
        </w:rPr>
        <w:t xml:space="preserve"> ושיעור זה יש להפחית משווי המקרקעין במצב החדש</w:t>
      </w:r>
      <w:r w:rsidRPr="00E9125A">
        <w:rPr>
          <w:rFonts w:ascii="David" w:hAnsi="David" w:cs="David"/>
          <w:sz w:val="24"/>
          <w:szCs w:val="24"/>
          <w:rtl/>
        </w:rPr>
        <w:t>".</w:t>
      </w:r>
      <w:r w:rsidR="00BA0EDC" w:rsidRPr="003132F8">
        <w:rPr>
          <w:rFonts w:ascii="David" w:hAnsi="David" w:cs="David"/>
          <w:sz w:val="24"/>
          <w:szCs w:val="24"/>
          <w:rtl/>
        </w:rPr>
        <w:t xml:space="preserve"> </w:t>
      </w:r>
    </w:p>
    <w:p w14:paraId="45E0E481" w14:textId="77777777" w:rsidR="008D04C4" w:rsidRPr="00380A10" w:rsidRDefault="00BA0EDC" w:rsidP="00E9125A">
      <w:pPr>
        <w:pStyle w:val="a9"/>
        <w:numPr>
          <w:ilvl w:val="0"/>
          <w:numId w:val="1"/>
        </w:numPr>
        <w:spacing w:line="360" w:lineRule="auto"/>
        <w:ind w:left="90" w:hanging="425"/>
        <w:contextualSpacing w:val="0"/>
        <w:jc w:val="both"/>
        <w:rPr>
          <w:rFonts w:ascii="David" w:hAnsi="David" w:cs="David"/>
          <w:sz w:val="24"/>
          <w:szCs w:val="24"/>
          <w:rtl/>
        </w:rPr>
      </w:pPr>
      <w:r w:rsidRPr="003132F8">
        <w:rPr>
          <w:rFonts w:ascii="David" w:hAnsi="David" w:cs="David"/>
          <w:sz w:val="24"/>
          <w:szCs w:val="24"/>
          <w:rtl/>
        </w:rPr>
        <w:t xml:space="preserve">הווי </w:t>
      </w:r>
      <w:r w:rsidRPr="00380A10">
        <w:rPr>
          <w:rFonts w:ascii="David" w:hAnsi="David" w:cs="David"/>
          <w:sz w:val="24"/>
          <w:szCs w:val="24"/>
          <w:rtl/>
        </w:rPr>
        <w:t xml:space="preserve">אומר, </w:t>
      </w:r>
      <w:r w:rsidRPr="00380A10">
        <w:rPr>
          <w:rFonts w:ascii="David" w:hAnsi="David" w:cs="David"/>
          <w:sz w:val="24"/>
          <w:szCs w:val="24"/>
          <w:u w:val="single"/>
          <w:rtl/>
        </w:rPr>
        <w:t>לא ניתן לקבוע כנקודת מוצא כי העלות שיש לקזז היא "רמת גמר" או "רמת מעטפת", אלא במסגרת המלאכה השמאית על השמאי המכריע לקבוע את ההפחתה הנדרשת בהתאם להתנהלות הוועדה המקומית במקרים דומים</w:t>
      </w:r>
      <w:r w:rsidR="00913F53" w:rsidRPr="00380A10">
        <w:rPr>
          <w:rFonts w:ascii="David" w:hAnsi="David" w:cs="David" w:hint="cs"/>
          <w:sz w:val="24"/>
          <w:szCs w:val="24"/>
          <w:u w:val="single"/>
          <w:rtl/>
        </w:rPr>
        <w:t xml:space="preserve"> ודרישותיה החוזיות</w:t>
      </w:r>
      <w:r w:rsidRPr="00380A10">
        <w:rPr>
          <w:rFonts w:ascii="David" w:hAnsi="David" w:cs="David"/>
          <w:sz w:val="24"/>
          <w:szCs w:val="24"/>
          <w:u w:val="single"/>
          <w:rtl/>
        </w:rPr>
        <w:t xml:space="preserve"> במועד הקובע.</w:t>
      </w:r>
    </w:p>
    <w:p w14:paraId="5FAB08FF" w14:textId="08367628" w:rsidR="00DD309D" w:rsidRPr="00380A10" w:rsidRDefault="00DD309D" w:rsidP="00DD309D">
      <w:pPr>
        <w:pStyle w:val="a9"/>
        <w:numPr>
          <w:ilvl w:val="0"/>
          <w:numId w:val="1"/>
        </w:numPr>
        <w:spacing w:line="360" w:lineRule="auto"/>
        <w:ind w:left="44" w:hanging="425"/>
        <w:contextualSpacing w:val="0"/>
        <w:jc w:val="both"/>
        <w:rPr>
          <w:rFonts w:ascii="David" w:hAnsi="David" w:cs="David"/>
          <w:sz w:val="24"/>
          <w:szCs w:val="24"/>
          <w:rtl/>
        </w:rPr>
      </w:pPr>
      <w:r w:rsidRPr="00380A10">
        <w:rPr>
          <w:rFonts w:ascii="David" w:hAnsi="David" w:cs="David"/>
          <w:sz w:val="24"/>
          <w:szCs w:val="24"/>
          <w:rtl/>
        </w:rPr>
        <w:t>לפיכך</w:t>
      </w:r>
      <w:r w:rsidR="00DF13DD" w:rsidRPr="00380A10">
        <w:rPr>
          <w:rFonts w:ascii="David" w:hAnsi="David" w:cs="David" w:hint="cs"/>
          <w:sz w:val="24"/>
          <w:szCs w:val="24"/>
          <w:rtl/>
        </w:rPr>
        <w:t>,</w:t>
      </w:r>
      <w:r w:rsidRPr="00380A10">
        <w:rPr>
          <w:rFonts w:ascii="David" w:hAnsi="David" w:cs="David"/>
          <w:sz w:val="24"/>
          <w:szCs w:val="24"/>
          <w:rtl/>
        </w:rPr>
        <w:t xml:space="preserve"> מצאנו לציין את התנהלותה </w:t>
      </w:r>
      <w:r w:rsidR="00DF13DD" w:rsidRPr="00380A10">
        <w:rPr>
          <w:rFonts w:ascii="David" w:hAnsi="David" w:cs="David" w:hint="cs"/>
          <w:sz w:val="24"/>
          <w:szCs w:val="24"/>
          <w:rtl/>
        </w:rPr>
        <w:t>הראויה</w:t>
      </w:r>
      <w:r w:rsidRPr="00380A10">
        <w:rPr>
          <w:rFonts w:ascii="David" w:hAnsi="David" w:cs="David"/>
          <w:sz w:val="24"/>
          <w:szCs w:val="24"/>
          <w:rtl/>
        </w:rPr>
        <w:t xml:space="preserve"> של הוועדה המקומית בהקשר זה, שעה </w:t>
      </w:r>
      <w:r w:rsidR="00DF13DD" w:rsidRPr="00380A10">
        <w:rPr>
          <w:rFonts w:ascii="David" w:hAnsi="David" w:cs="David" w:hint="cs"/>
          <w:sz w:val="24"/>
          <w:szCs w:val="24"/>
          <w:rtl/>
        </w:rPr>
        <w:t xml:space="preserve">שאמות המידה שנקטה בהן מבוססות על הגינות, וזאת נוכח </w:t>
      </w:r>
      <w:r w:rsidRPr="00380A10">
        <w:rPr>
          <w:rFonts w:ascii="David" w:hAnsi="David" w:cs="David"/>
          <w:sz w:val="24"/>
          <w:szCs w:val="24"/>
          <w:rtl/>
        </w:rPr>
        <w:t>הס</w:t>
      </w:r>
      <w:r w:rsidR="00DF13DD" w:rsidRPr="00380A10">
        <w:rPr>
          <w:rFonts w:ascii="David" w:hAnsi="David" w:cs="David" w:hint="cs"/>
          <w:sz w:val="24"/>
          <w:szCs w:val="24"/>
          <w:rtl/>
        </w:rPr>
        <w:t>כמתה,</w:t>
      </w:r>
      <w:r w:rsidRPr="00380A10">
        <w:rPr>
          <w:rFonts w:ascii="David" w:hAnsi="David" w:cs="David"/>
          <w:sz w:val="24"/>
          <w:szCs w:val="24"/>
          <w:rtl/>
        </w:rPr>
        <w:t xml:space="preserve"> כי הקיזוז ייעשה לפי רמת גמר</w:t>
      </w:r>
      <w:r w:rsidR="000E4FB5" w:rsidRPr="00380A10">
        <w:rPr>
          <w:rFonts w:ascii="David" w:hAnsi="David" w:cs="David" w:hint="cs"/>
          <w:sz w:val="24"/>
          <w:szCs w:val="24"/>
          <w:rtl/>
        </w:rPr>
        <w:t xml:space="preserve"> מלאה</w:t>
      </w:r>
      <w:r w:rsidR="00D91561" w:rsidRPr="00380A10">
        <w:rPr>
          <w:rFonts w:ascii="David" w:hAnsi="David" w:cs="David" w:hint="cs"/>
          <w:sz w:val="24"/>
          <w:szCs w:val="24"/>
          <w:rtl/>
        </w:rPr>
        <w:t>, וכפי שנשקף בעיני "קונה סביר" במועד הקובע</w:t>
      </w:r>
      <w:r w:rsidR="00DF13DD" w:rsidRPr="00380A10">
        <w:rPr>
          <w:rFonts w:ascii="David" w:hAnsi="David" w:cs="David" w:hint="cs"/>
          <w:sz w:val="24"/>
          <w:szCs w:val="24"/>
          <w:rtl/>
        </w:rPr>
        <w:t>. כך</w:t>
      </w:r>
      <w:r w:rsidR="00500E30" w:rsidRPr="00380A10">
        <w:rPr>
          <w:rFonts w:ascii="David" w:hAnsi="David" w:cs="David" w:hint="cs"/>
          <w:sz w:val="24"/>
          <w:szCs w:val="24"/>
          <w:rtl/>
        </w:rPr>
        <w:t xml:space="preserve">, </w:t>
      </w:r>
      <w:r w:rsidR="00DF13DD" w:rsidRPr="00380A10">
        <w:rPr>
          <w:rFonts w:ascii="David" w:hAnsi="David" w:cs="David" w:hint="cs"/>
          <w:sz w:val="24"/>
          <w:szCs w:val="24"/>
          <w:rtl/>
        </w:rPr>
        <w:t>דרישתה</w:t>
      </w:r>
      <w:r w:rsidRPr="00380A10">
        <w:rPr>
          <w:rFonts w:ascii="David" w:hAnsi="David" w:cs="David"/>
          <w:sz w:val="24"/>
          <w:szCs w:val="24"/>
          <w:rtl/>
        </w:rPr>
        <w:t xml:space="preserve"> </w:t>
      </w:r>
      <w:r w:rsidR="00DF13DD" w:rsidRPr="00380A10">
        <w:rPr>
          <w:rFonts w:ascii="David" w:hAnsi="David" w:cs="David" w:hint="cs"/>
          <w:sz w:val="24"/>
          <w:szCs w:val="24"/>
          <w:rtl/>
        </w:rPr>
        <w:t>מ</w:t>
      </w:r>
      <w:r w:rsidRPr="00380A10">
        <w:rPr>
          <w:rFonts w:ascii="David" w:hAnsi="David" w:cs="David"/>
          <w:sz w:val="24"/>
          <w:szCs w:val="24"/>
          <w:rtl/>
        </w:rPr>
        <w:t>היזם לקבל את המקרקעין במסגרת ההסכמים שנכרתו עמו לצורך ביצוע המטלה הציבורית</w:t>
      </w:r>
      <w:r w:rsidR="00DF13DD" w:rsidRPr="00380A10">
        <w:rPr>
          <w:rFonts w:ascii="David" w:hAnsi="David" w:cs="David" w:hint="cs"/>
          <w:sz w:val="24"/>
          <w:szCs w:val="24"/>
          <w:rtl/>
        </w:rPr>
        <w:t xml:space="preserve"> ברמת גמר מלאה באה לידי ביטוי בחישוב היטל ההשבחה</w:t>
      </w:r>
      <w:r w:rsidRPr="00380A10">
        <w:rPr>
          <w:rFonts w:ascii="David" w:hAnsi="David" w:cs="David"/>
          <w:sz w:val="24"/>
          <w:szCs w:val="24"/>
          <w:rtl/>
        </w:rPr>
        <w:t xml:space="preserve">. ברי כי דרך חישוב זו מביאה לכך שגביית היטל ההשבחה תשקף באופן מהימן את ההתעשרות </w:t>
      </w:r>
      <w:r w:rsidR="001F2179" w:rsidRPr="00380A10">
        <w:rPr>
          <w:rFonts w:ascii="David" w:hAnsi="David" w:cs="David" w:hint="cs"/>
          <w:sz w:val="24"/>
          <w:szCs w:val="24"/>
          <w:rtl/>
        </w:rPr>
        <w:t>במועד הקובע</w:t>
      </w:r>
      <w:r w:rsidRPr="00380A10">
        <w:rPr>
          <w:rFonts w:ascii="David" w:hAnsi="David" w:cs="David"/>
          <w:sz w:val="24"/>
          <w:szCs w:val="24"/>
          <w:rtl/>
        </w:rPr>
        <w:t>, ותוביל לחישוב מס אמת.</w:t>
      </w:r>
    </w:p>
    <w:p w14:paraId="63F23387" w14:textId="77777777" w:rsidR="003135D3" w:rsidRPr="00380A10" w:rsidRDefault="00DD309D" w:rsidP="00DD309D">
      <w:pPr>
        <w:pStyle w:val="a9"/>
        <w:numPr>
          <w:ilvl w:val="0"/>
          <w:numId w:val="1"/>
        </w:numPr>
        <w:spacing w:line="360" w:lineRule="auto"/>
        <w:ind w:left="44" w:hanging="425"/>
        <w:contextualSpacing w:val="0"/>
        <w:jc w:val="both"/>
        <w:rPr>
          <w:rFonts w:ascii="David" w:hAnsi="David" w:cs="David"/>
          <w:sz w:val="24"/>
          <w:szCs w:val="24"/>
        </w:rPr>
      </w:pPr>
      <w:r w:rsidRPr="00380A10">
        <w:rPr>
          <w:rFonts w:ascii="David" w:hAnsi="David" w:cs="David"/>
          <w:sz w:val="24"/>
          <w:szCs w:val="24"/>
          <w:rtl/>
        </w:rPr>
        <w:t>נציין כי בתוך עמנו אנו יושבים, והוועדה המקומית תל-אביב</w:t>
      </w:r>
      <w:r w:rsidR="00356F05" w:rsidRPr="00380A10">
        <w:rPr>
          <w:rFonts w:ascii="David" w:hAnsi="David" w:cs="David" w:hint="cs"/>
          <w:sz w:val="24"/>
          <w:szCs w:val="24"/>
          <w:rtl/>
        </w:rPr>
        <w:t xml:space="preserve"> - </w:t>
      </w:r>
      <w:r w:rsidRPr="00380A10">
        <w:rPr>
          <w:rFonts w:ascii="David" w:hAnsi="David" w:cs="David"/>
          <w:sz w:val="24"/>
          <w:szCs w:val="24"/>
          <w:rtl/>
        </w:rPr>
        <w:t>יפו אינה הוועדה המקומית היחידה שענייניה נדונים בפנינו. לא אחת אנו נתקלים בטענות</w:t>
      </w:r>
      <w:r w:rsidR="001D188E" w:rsidRPr="00380A10">
        <w:rPr>
          <w:rFonts w:ascii="David" w:hAnsi="David" w:cs="David" w:hint="cs"/>
          <w:sz w:val="24"/>
          <w:szCs w:val="24"/>
          <w:rtl/>
        </w:rPr>
        <w:t>יהן של ועדות מקומיות,</w:t>
      </w:r>
      <w:r w:rsidRPr="00380A10">
        <w:rPr>
          <w:rFonts w:ascii="David" w:hAnsi="David" w:cs="David"/>
          <w:sz w:val="24"/>
          <w:szCs w:val="24"/>
          <w:rtl/>
        </w:rPr>
        <w:t xml:space="preserve"> שלפיהן אין מקום להפחית מן ההשבחה את עלות המטלה הציבורית ברמת גמר</w:t>
      </w:r>
      <w:r w:rsidR="000E4FB5" w:rsidRPr="00380A10">
        <w:rPr>
          <w:rFonts w:ascii="David" w:hAnsi="David" w:cs="David" w:hint="cs"/>
          <w:sz w:val="24"/>
          <w:szCs w:val="24"/>
          <w:rtl/>
        </w:rPr>
        <w:t xml:space="preserve"> מלאה</w:t>
      </w:r>
      <w:r w:rsidRPr="00380A10">
        <w:rPr>
          <w:rFonts w:ascii="David" w:hAnsi="David" w:cs="David"/>
          <w:sz w:val="24"/>
          <w:szCs w:val="24"/>
          <w:rtl/>
        </w:rPr>
        <w:t>, אלא אך ברמת מעטפת בלבד</w:t>
      </w:r>
      <w:r w:rsidR="00B31BD2" w:rsidRPr="00380A10">
        <w:rPr>
          <w:rFonts w:ascii="David" w:hAnsi="David" w:cs="David" w:hint="cs"/>
          <w:sz w:val="24"/>
          <w:szCs w:val="24"/>
          <w:rtl/>
        </w:rPr>
        <w:t>.</w:t>
      </w:r>
      <w:r w:rsidRPr="00380A10">
        <w:rPr>
          <w:rFonts w:ascii="David" w:hAnsi="David" w:cs="David"/>
          <w:sz w:val="24"/>
          <w:szCs w:val="24"/>
          <w:rtl/>
        </w:rPr>
        <w:t xml:space="preserve"> </w:t>
      </w:r>
    </w:p>
    <w:p w14:paraId="3F84FA33" w14:textId="16126B80" w:rsidR="00DD309D" w:rsidRPr="00380A10" w:rsidRDefault="00DD309D" w:rsidP="00DD309D">
      <w:pPr>
        <w:pStyle w:val="a9"/>
        <w:numPr>
          <w:ilvl w:val="0"/>
          <w:numId w:val="1"/>
        </w:numPr>
        <w:spacing w:line="360" w:lineRule="auto"/>
        <w:ind w:left="44" w:hanging="425"/>
        <w:contextualSpacing w:val="0"/>
        <w:jc w:val="both"/>
        <w:rPr>
          <w:rFonts w:ascii="David" w:hAnsi="David" w:cs="David"/>
          <w:sz w:val="24"/>
          <w:szCs w:val="24"/>
          <w:rtl/>
        </w:rPr>
      </w:pPr>
      <w:r w:rsidRPr="00380A10">
        <w:rPr>
          <w:rFonts w:ascii="David" w:hAnsi="David" w:cs="David"/>
          <w:sz w:val="24"/>
          <w:szCs w:val="24"/>
          <w:rtl/>
        </w:rPr>
        <w:lastRenderedPageBreak/>
        <w:t>זאת, חרף העובדה כי ב</w:t>
      </w:r>
      <w:r w:rsidR="00B31BD2" w:rsidRPr="00380A10">
        <w:rPr>
          <w:rFonts w:ascii="David" w:hAnsi="David" w:cs="David" w:hint="cs"/>
          <w:sz w:val="24"/>
          <w:szCs w:val="24"/>
          <w:rtl/>
        </w:rPr>
        <w:t xml:space="preserve">התנהלות </w:t>
      </w:r>
      <w:r w:rsidR="00520FE4" w:rsidRPr="00380A10">
        <w:rPr>
          <w:rFonts w:ascii="David" w:hAnsi="David" w:cs="David" w:hint="cs"/>
          <w:sz w:val="24"/>
          <w:szCs w:val="24"/>
          <w:rtl/>
        </w:rPr>
        <w:t>אותן ועדות מקומיות</w:t>
      </w:r>
      <w:r w:rsidR="00B31BD2" w:rsidRPr="00380A10">
        <w:rPr>
          <w:rFonts w:ascii="David" w:hAnsi="David" w:cs="David" w:hint="cs"/>
          <w:sz w:val="24"/>
          <w:szCs w:val="24"/>
          <w:rtl/>
        </w:rPr>
        <w:t xml:space="preserve"> במסגרת ה</w:t>
      </w:r>
      <w:r w:rsidRPr="00380A10">
        <w:rPr>
          <w:rFonts w:ascii="David" w:hAnsi="David" w:cs="David"/>
          <w:sz w:val="24"/>
          <w:szCs w:val="24"/>
          <w:rtl/>
        </w:rPr>
        <w:t xml:space="preserve">הסכמים שבהם נקבעים פרטי המטלה הציבורית </w:t>
      </w:r>
      <w:r w:rsidR="004715EC" w:rsidRPr="00380A10">
        <w:rPr>
          <w:rFonts w:ascii="David" w:hAnsi="David" w:cs="David" w:hint="cs"/>
          <w:sz w:val="24"/>
          <w:szCs w:val="24"/>
          <w:rtl/>
        </w:rPr>
        <w:t xml:space="preserve">- </w:t>
      </w:r>
      <w:r w:rsidRPr="00380A10">
        <w:rPr>
          <w:rFonts w:ascii="David" w:hAnsi="David" w:cs="David"/>
          <w:sz w:val="24"/>
          <w:szCs w:val="24"/>
          <w:rtl/>
        </w:rPr>
        <w:t>מחויב היזם בביצועה ברמת גמר</w:t>
      </w:r>
      <w:r w:rsidR="000E4FB5" w:rsidRPr="00380A10">
        <w:rPr>
          <w:rFonts w:ascii="David" w:hAnsi="David" w:cs="David" w:hint="cs"/>
          <w:sz w:val="24"/>
          <w:szCs w:val="24"/>
          <w:rtl/>
        </w:rPr>
        <w:t xml:space="preserve"> מלאה</w:t>
      </w:r>
      <w:r w:rsidR="00F41E4F" w:rsidRPr="00380A10">
        <w:rPr>
          <w:rFonts w:ascii="David" w:hAnsi="David" w:cs="David" w:hint="cs"/>
          <w:sz w:val="24"/>
          <w:szCs w:val="24"/>
          <w:rtl/>
        </w:rPr>
        <w:t>;</w:t>
      </w:r>
      <w:r w:rsidRPr="00380A10">
        <w:rPr>
          <w:rFonts w:ascii="David" w:hAnsi="David" w:cs="David"/>
          <w:sz w:val="24"/>
          <w:szCs w:val="24"/>
          <w:rtl/>
        </w:rPr>
        <w:t xml:space="preserve"> עובדה ידועה ומפורסמת</w:t>
      </w:r>
      <w:r w:rsidR="00B31BD2" w:rsidRPr="00380A10">
        <w:rPr>
          <w:rFonts w:ascii="David" w:hAnsi="David" w:cs="David" w:hint="cs"/>
          <w:sz w:val="24"/>
          <w:szCs w:val="24"/>
          <w:rtl/>
        </w:rPr>
        <w:t xml:space="preserve"> גם במועד הקובע</w:t>
      </w:r>
      <w:r w:rsidRPr="00380A10">
        <w:rPr>
          <w:rFonts w:ascii="David" w:hAnsi="David" w:cs="David"/>
          <w:sz w:val="24"/>
          <w:szCs w:val="24"/>
          <w:rtl/>
        </w:rPr>
        <w:t>, אשר ודאי יש לה השפעה על התנהלות היזם, על שווי השוק ועל היקף התעשרותו.</w:t>
      </w:r>
    </w:p>
    <w:p w14:paraId="6B7F4F04" w14:textId="057875B4" w:rsidR="00DD309D" w:rsidRPr="00380A10" w:rsidRDefault="00DD309D" w:rsidP="00DD309D">
      <w:pPr>
        <w:pStyle w:val="a9"/>
        <w:numPr>
          <w:ilvl w:val="0"/>
          <w:numId w:val="1"/>
        </w:numPr>
        <w:spacing w:line="360" w:lineRule="auto"/>
        <w:ind w:left="44" w:hanging="425"/>
        <w:contextualSpacing w:val="0"/>
        <w:jc w:val="both"/>
        <w:rPr>
          <w:rFonts w:ascii="David" w:hAnsi="David" w:cs="David"/>
          <w:sz w:val="24"/>
          <w:szCs w:val="24"/>
        </w:rPr>
      </w:pPr>
      <w:r w:rsidRPr="00380A10">
        <w:rPr>
          <w:rFonts w:ascii="David" w:hAnsi="David" w:cs="David"/>
          <w:sz w:val="24"/>
          <w:szCs w:val="24"/>
          <w:rtl/>
        </w:rPr>
        <w:t xml:space="preserve">ראוי כי יתר הרשויות המקומיות, הדורשות מן היזמים דרישה דומה </w:t>
      </w:r>
      <w:r w:rsidR="00402109" w:rsidRPr="00380A10">
        <w:rPr>
          <w:rFonts w:ascii="David" w:hAnsi="David" w:cs="David" w:hint="cs"/>
          <w:sz w:val="24"/>
          <w:szCs w:val="24"/>
          <w:rtl/>
        </w:rPr>
        <w:t>-</w:t>
      </w:r>
      <w:r w:rsidRPr="00380A10">
        <w:rPr>
          <w:rFonts w:ascii="David" w:hAnsi="David" w:cs="David"/>
          <w:sz w:val="24"/>
          <w:szCs w:val="24"/>
          <w:rtl/>
        </w:rPr>
        <w:t xml:space="preserve"> קרי, ביצוע מטלה ציבורית ברמת גמר </w:t>
      </w:r>
      <w:r w:rsidR="000E4FB5" w:rsidRPr="00380A10">
        <w:rPr>
          <w:rFonts w:ascii="David" w:hAnsi="David" w:cs="David" w:hint="cs"/>
          <w:sz w:val="24"/>
          <w:szCs w:val="24"/>
          <w:rtl/>
        </w:rPr>
        <w:t xml:space="preserve">מוגדרת (מעטפת/מלאה או אחרת) </w:t>
      </w:r>
      <w:r w:rsidRPr="00380A10">
        <w:rPr>
          <w:rFonts w:ascii="David" w:hAnsi="David" w:cs="David"/>
          <w:sz w:val="24"/>
          <w:szCs w:val="24"/>
          <w:rtl/>
        </w:rPr>
        <w:t xml:space="preserve">במסגרת הסכמים לביצוע מטלות ציבוריות </w:t>
      </w:r>
      <w:r w:rsidR="00402109" w:rsidRPr="00380A10">
        <w:rPr>
          <w:rFonts w:ascii="David" w:hAnsi="David" w:cs="David" w:hint="cs"/>
          <w:sz w:val="24"/>
          <w:szCs w:val="24"/>
          <w:rtl/>
        </w:rPr>
        <w:t>-</w:t>
      </w:r>
      <w:r w:rsidRPr="00380A10">
        <w:rPr>
          <w:rFonts w:ascii="David" w:hAnsi="David" w:cs="David"/>
          <w:sz w:val="24"/>
          <w:szCs w:val="24"/>
          <w:rtl/>
        </w:rPr>
        <w:t xml:space="preserve"> יאמצו אף הן דרך התנהלות ראויה זו, כפי שהתוותה הוועדה המקומית תל-אביב–יפו בענייננו.</w:t>
      </w:r>
    </w:p>
    <w:p w14:paraId="0E073A27" w14:textId="77777777" w:rsidR="004A522A" w:rsidRPr="00DD309D" w:rsidRDefault="00CC288E" w:rsidP="00DD309D">
      <w:pPr>
        <w:spacing w:line="360" w:lineRule="auto"/>
        <w:ind w:left="-381"/>
        <w:jc w:val="both"/>
        <w:rPr>
          <w:rFonts w:ascii="David" w:hAnsi="David" w:cs="David"/>
          <w:b/>
          <w:bCs/>
          <w:sz w:val="28"/>
          <w:szCs w:val="28"/>
          <w:u w:val="single"/>
          <w:rtl/>
        </w:rPr>
      </w:pPr>
      <w:r w:rsidRPr="00DD309D">
        <w:rPr>
          <w:rFonts w:ascii="David" w:hAnsi="David" w:cs="David" w:hint="eastAsia"/>
          <w:b/>
          <w:bCs/>
          <w:sz w:val="28"/>
          <w:szCs w:val="28"/>
          <w:u w:val="single"/>
          <w:rtl/>
        </w:rPr>
        <w:t>אנו</w:t>
      </w:r>
      <w:r w:rsidRPr="00DD309D">
        <w:rPr>
          <w:rFonts w:ascii="David" w:hAnsi="David" w:cs="David"/>
          <w:b/>
          <w:bCs/>
          <w:sz w:val="28"/>
          <w:szCs w:val="28"/>
          <w:u w:val="single"/>
          <w:rtl/>
        </w:rPr>
        <w:t xml:space="preserve"> </w:t>
      </w:r>
      <w:r w:rsidRPr="00DD309D">
        <w:rPr>
          <w:rFonts w:ascii="David" w:hAnsi="David" w:cs="David" w:hint="eastAsia"/>
          <w:b/>
          <w:bCs/>
          <w:sz w:val="28"/>
          <w:szCs w:val="28"/>
          <w:u w:val="single"/>
          <w:rtl/>
        </w:rPr>
        <w:t>מאמצים</w:t>
      </w:r>
      <w:r w:rsidRPr="00DD309D">
        <w:rPr>
          <w:rFonts w:ascii="David" w:hAnsi="David" w:cs="David"/>
          <w:b/>
          <w:bCs/>
          <w:sz w:val="28"/>
          <w:szCs w:val="28"/>
          <w:u w:val="single"/>
          <w:rtl/>
        </w:rPr>
        <w:t xml:space="preserve"> </w:t>
      </w:r>
      <w:r w:rsidRPr="00DD309D">
        <w:rPr>
          <w:rFonts w:ascii="David" w:hAnsi="David" w:cs="David" w:hint="eastAsia"/>
          <w:b/>
          <w:bCs/>
          <w:sz w:val="28"/>
          <w:szCs w:val="28"/>
          <w:u w:val="single"/>
          <w:rtl/>
        </w:rPr>
        <w:t>גם</w:t>
      </w:r>
      <w:r w:rsidRPr="00DD309D">
        <w:rPr>
          <w:rFonts w:ascii="David" w:hAnsi="David" w:cs="David"/>
          <w:b/>
          <w:bCs/>
          <w:sz w:val="28"/>
          <w:szCs w:val="28"/>
          <w:u w:val="single"/>
          <w:rtl/>
        </w:rPr>
        <w:t xml:space="preserve"> </w:t>
      </w:r>
      <w:r w:rsidRPr="00DD309D">
        <w:rPr>
          <w:rFonts w:ascii="David" w:hAnsi="David" w:cs="David" w:hint="eastAsia"/>
          <w:b/>
          <w:bCs/>
          <w:sz w:val="28"/>
          <w:szCs w:val="28"/>
          <w:u w:val="single"/>
          <w:rtl/>
        </w:rPr>
        <w:t>את</w:t>
      </w:r>
      <w:r w:rsidRPr="00DD309D">
        <w:rPr>
          <w:rFonts w:ascii="David" w:hAnsi="David" w:cs="David"/>
          <w:b/>
          <w:bCs/>
          <w:sz w:val="28"/>
          <w:szCs w:val="28"/>
          <w:u w:val="single"/>
          <w:rtl/>
        </w:rPr>
        <w:t xml:space="preserve"> הסכמת הוועדה המקומית ביחס לקיזוז המע"מ.</w:t>
      </w:r>
      <w:r w:rsidR="004A522A" w:rsidRPr="00DD309D">
        <w:rPr>
          <w:rFonts w:ascii="David" w:hAnsi="David" w:cs="David"/>
          <w:b/>
          <w:bCs/>
          <w:sz w:val="28"/>
          <w:szCs w:val="28"/>
          <w:u w:val="single"/>
          <w:rtl/>
        </w:rPr>
        <w:t xml:space="preserve"> אף זאת עולה בקנה אחד עם בחינת ההתעשרות כמפורט לעיל.</w:t>
      </w:r>
    </w:p>
    <w:p w14:paraId="464E9AA6" w14:textId="77777777" w:rsidR="00275171" w:rsidRPr="00E9125A" w:rsidRDefault="007B457D" w:rsidP="00E9125A">
      <w:pPr>
        <w:pStyle w:val="a9"/>
        <w:numPr>
          <w:ilvl w:val="0"/>
          <w:numId w:val="1"/>
        </w:numPr>
        <w:spacing w:line="360" w:lineRule="auto"/>
        <w:ind w:left="44" w:hanging="425"/>
        <w:contextualSpacing w:val="0"/>
        <w:jc w:val="both"/>
        <w:rPr>
          <w:rFonts w:ascii="David" w:hAnsi="David" w:cs="David"/>
          <w:sz w:val="24"/>
          <w:szCs w:val="24"/>
          <w:rtl/>
        </w:rPr>
      </w:pPr>
      <w:r w:rsidRPr="00E9125A">
        <w:rPr>
          <w:rFonts w:ascii="David" w:hAnsi="David" w:cs="David" w:hint="eastAsia"/>
          <w:sz w:val="24"/>
          <w:szCs w:val="24"/>
          <w:rtl/>
        </w:rPr>
        <w:t>נזכיר</w:t>
      </w:r>
      <w:r w:rsidR="00275171" w:rsidRPr="00E9125A">
        <w:rPr>
          <w:rFonts w:ascii="David" w:hAnsi="David" w:cs="David"/>
          <w:sz w:val="24"/>
          <w:szCs w:val="24"/>
          <w:rtl/>
        </w:rPr>
        <w:t xml:space="preserve"> בהקשר זה את קביעת בית המשפט העליון </w:t>
      </w:r>
      <w:r w:rsidR="00275171" w:rsidRPr="00E9125A">
        <w:rPr>
          <w:rFonts w:ascii="David" w:hAnsi="David" w:cs="David" w:hint="eastAsia"/>
          <w:color w:val="000000"/>
          <w:sz w:val="24"/>
          <w:szCs w:val="24"/>
          <w:rtl/>
        </w:rPr>
        <w:t>ב</w:t>
      </w:r>
      <w:r w:rsidR="00275171" w:rsidRPr="00E9125A">
        <w:rPr>
          <w:rFonts w:ascii="David" w:hAnsi="David" w:cs="David"/>
          <w:color w:val="000000"/>
          <w:sz w:val="24"/>
          <w:szCs w:val="24"/>
          <w:rtl/>
        </w:rPr>
        <w:t>ע"א 1306/99 </w:t>
      </w:r>
      <w:r w:rsidR="00275171" w:rsidRPr="00E9125A">
        <w:rPr>
          <w:rFonts w:ascii="David" w:hAnsi="David" w:cs="David"/>
          <w:b/>
          <w:bCs/>
          <w:color w:val="000000"/>
          <w:sz w:val="24"/>
          <w:szCs w:val="24"/>
          <w:rtl/>
        </w:rPr>
        <w:t>חוף הכרמל 88 בע"מ נ' מנהל מס ערך מוסף חיפה</w:t>
      </w:r>
      <w:r w:rsidR="00275171" w:rsidRPr="00E9125A">
        <w:rPr>
          <w:rFonts w:ascii="David" w:hAnsi="David" w:cs="David"/>
          <w:sz w:val="24"/>
          <w:szCs w:val="24"/>
          <w:rtl/>
        </w:rPr>
        <w:t xml:space="preserve"> (נבו) לפיה עבודות פיתוח אינן פטורות ממע"מ. כך:</w:t>
      </w:r>
    </w:p>
    <w:p w14:paraId="508F99C9" w14:textId="77777777" w:rsidR="00275171" w:rsidRPr="00E9125A" w:rsidRDefault="00275171" w:rsidP="00E9125A">
      <w:pPr>
        <w:spacing w:after="240" w:line="360" w:lineRule="auto"/>
        <w:ind w:left="611" w:right="851"/>
        <w:jc w:val="both"/>
        <w:rPr>
          <w:rStyle w:val="af6"/>
          <w:rFonts w:ascii="David" w:hAnsi="David" w:cs="David"/>
          <w:i w:val="0"/>
          <w:iCs w:val="0"/>
          <w:sz w:val="24"/>
          <w:szCs w:val="24"/>
          <w:rtl/>
        </w:rPr>
      </w:pPr>
      <w:r w:rsidRPr="00E9125A">
        <w:rPr>
          <w:rStyle w:val="af6"/>
          <w:rFonts w:ascii="David" w:hAnsi="David" w:cs="David"/>
          <w:i w:val="0"/>
          <w:iCs w:val="0"/>
          <w:sz w:val="24"/>
          <w:szCs w:val="24"/>
          <w:rtl/>
        </w:rPr>
        <w:t xml:space="preserve">" מן האמור לעיל עולה כי מבחינת מהות </w:t>
      </w:r>
      <w:proofErr w:type="spellStart"/>
      <w:r w:rsidRPr="00E9125A">
        <w:rPr>
          <w:rStyle w:val="af6"/>
          <w:rFonts w:ascii="David" w:hAnsi="David" w:cs="David"/>
          <w:i w:val="0"/>
          <w:iCs w:val="0"/>
          <w:sz w:val="24"/>
          <w:szCs w:val="24"/>
          <w:rtl/>
        </w:rPr>
        <w:t>העיסקה</w:t>
      </w:r>
      <w:proofErr w:type="spellEnd"/>
      <w:r w:rsidRPr="00E9125A">
        <w:rPr>
          <w:rStyle w:val="af6"/>
          <w:rFonts w:ascii="David" w:hAnsi="David" w:cs="David"/>
          <w:i w:val="0"/>
          <w:iCs w:val="0"/>
          <w:sz w:val="24"/>
          <w:szCs w:val="24"/>
          <w:rtl/>
        </w:rPr>
        <w:t xml:space="preserve"> לצורך תשלום מס ערך מוסף אין כל נפקא מנה לכך שהקבלן המעניק לעירייה שירות בדמות ביצוע עבודות הפיתוח, הוא גם בעל זכויות המקרקעין או יזם הפרויקט הנבנה עליהם. "איחוד כובעים" זה אין משמעו כי אין מדובר עוד בשירות הניתן לעירייה, שהוא "עסקה" החייבת במס ערך מוסף. לוּ אמרנו אחרת הייתה נוצרת תוצאה בלתי שוויונית, לאמור מתן פטור ממס </w:t>
      </w:r>
      <w:proofErr w:type="spellStart"/>
      <w:r w:rsidRPr="00E9125A">
        <w:rPr>
          <w:rStyle w:val="af6"/>
          <w:rFonts w:ascii="David" w:hAnsi="David" w:cs="David"/>
          <w:i w:val="0"/>
          <w:iCs w:val="0"/>
          <w:sz w:val="24"/>
          <w:szCs w:val="24"/>
          <w:rtl/>
        </w:rPr>
        <w:t>בעיסקאות</w:t>
      </w:r>
      <w:proofErr w:type="spellEnd"/>
      <w:r w:rsidRPr="00E9125A">
        <w:rPr>
          <w:rStyle w:val="af6"/>
          <w:rFonts w:ascii="David" w:hAnsi="David" w:cs="David"/>
          <w:i w:val="0"/>
          <w:iCs w:val="0"/>
          <w:sz w:val="24"/>
          <w:szCs w:val="24"/>
          <w:rtl/>
        </w:rPr>
        <w:t xml:space="preserve"> בין קבלנים לבין רשויות מקומיות שעניינן ביצוע עבודות פיתוח, אך ורק משום שהקבלן הוא גם בעל זכויות במקרקעין, ובפועל אין מועבר כסף מזומן בין הצדדים, אלא התמורה נעשית בדרך של חליפין ומתבטאת בוויתור של העירייה על תשלומי החובה בגין אותן עבודות פיתוח. לתוצאה בלתי שוויונית זו אין כמובן כל הצדקה."</w:t>
      </w:r>
    </w:p>
    <w:p w14:paraId="300B98CD" w14:textId="5CC62E29" w:rsidR="009C57D3" w:rsidRDefault="009C57D3">
      <w:pPr>
        <w:pStyle w:val="a9"/>
        <w:numPr>
          <w:ilvl w:val="0"/>
          <w:numId w:val="1"/>
        </w:numPr>
        <w:spacing w:line="360" w:lineRule="auto"/>
        <w:ind w:left="90" w:hanging="425"/>
        <w:contextualSpacing w:val="0"/>
        <w:rPr>
          <w:rFonts w:ascii="David" w:hAnsi="David" w:cs="David"/>
          <w:sz w:val="24"/>
          <w:szCs w:val="24"/>
        </w:rPr>
      </w:pPr>
      <w:r>
        <w:rPr>
          <w:rFonts w:ascii="David" w:hAnsi="David" w:cs="David" w:hint="cs"/>
          <w:sz w:val="24"/>
          <w:szCs w:val="24"/>
          <w:rtl/>
        </w:rPr>
        <w:t>נוכח האמור, ברי כי</w:t>
      </w:r>
      <w:r w:rsidR="005069B8">
        <w:rPr>
          <w:rFonts w:ascii="David" w:hAnsi="David" w:cs="David" w:hint="cs"/>
          <w:sz w:val="24"/>
          <w:szCs w:val="24"/>
          <w:rtl/>
        </w:rPr>
        <w:t xml:space="preserve"> ככלל</w:t>
      </w:r>
      <w:r>
        <w:rPr>
          <w:rFonts w:ascii="David" w:hAnsi="David" w:cs="David" w:hint="cs"/>
          <w:sz w:val="24"/>
          <w:szCs w:val="24"/>
          <w:rtl/>
        </w:rPr>
        <w:t xml:space="preserve"> המטלה הציבורית אינה פטורה ממע"מ ועל כן אין כל טעם מדוע לא ינוכה גם הוא מההשבחה הכוללת</w:t>
      </w:r>
      <w:r w:rsidR="00C450EB">
        <w:rPr>
          <w:rFonts w:ascii="David" w:hAnsi="David" w:cs="David" w:hint="cs"/>
          <w:sz w:val="24"/>
          <w:szCs w:val="24"/>
          <w:rtl/>
        </w:rPr>
        <w:t>, אף זאת בהתאם לעקרון ההתעשרות כמפורט לעיל</w:t>
      </w:r>
      <w:r>
        <w:rPr>
          <w:rFonts w:ascii="David" w:hAnsi="David" w:cs="David" w:hint="cs"/>
          <w:sz w:val="24"/>
          <w:szCs w:val="24"/>
          <w:rtl/>
        </w:rPr>
        <w:t>.</w:t>
      </w:r>
    </w:p>
    <w:p w14:paraId="47F1AFB6" w14:textId="3375E757" w:rsidR="00D203C9" w:rsidRPr="00E9125A" w:rsidRDefault="00C34549" w:rsidP="001302AA">
      <w:pPr>
        <w:pStyle w:val="a9"/>
        <w:numPr>
          <w:ilvl w:val="0"/>
          <w:numId w:val="1"/>
        </w:numPr>
        <w:spacing w:line="360" w:lineRule="auto"/>
        <w:ind w:left="44" w:hanging="425"/>
        <w:contextualSpacing w:val="0"/>
        <w:jc w:val="both"/>
        <w:rPr>
          <w:rFonts w:ascii="David" w:hAnsi="David" w:cs="David"/>
          <w:sz w:val="24"/>
          <w:szCs w:val="24"/>
        </w:rPr>
      </w:pPr>
      <w:r>
        <w:rPr>
          <w:rFonts w:ascii="David" w:hAnsi="David" w:cs="David" w:hint="cs"/>
          <w:sz w:val="24"/>
          <w:szCs w:val="24"/>
          <w:rtl/>
        </w:rPr>
        <w:t xml:space="preserve">נציין כי </w:t>
      </w:r>
      <w:r w:rsidR="005B4AE8" w:rsidRPr="000958E1">
        <w:rPr>
          <w:rFonts w:ascii="David" w:hAnsi="David" w:cs="David" w:hint="eastAsia"/>
          <w:sz w:val="24"/>
          <w:szCs w:val="24"/>
          <w:rtl/>
        </w:rPr>
        <w:t>עמדה</w:t>
      </w:r>
      <w:r w:rsidR="005B4AE8" w:rsidRPr="000958E1">
        <w:rPr>
          <w:rFonts w:ascii="David" w:hAnsi="David" w:cs="David"/>
          <w:sz w:val="24"/>
          <w:szCs w:val="24"/>
          <w:rtl/>
        </w:rPr>
        <w:t xml:space="preserve"> </w:t>
      </w:r>
      <w:r w:rsidR="005B4AE8" w:rsidRPr="000958E1">
        <w:rPr>
          <w:rFonts w:ascii="David" w:hAnsi="David" w:cs="David" w:hint="eastAsia"/>
          <w:sz w:val="24"/>
          <w:szCs w:val="24"/>
          <w:rtl/>
        </w:rPr>
        <w:t>זו</w:t>
      </w:r>
      <w:r w:rsidR="005B4AE8" w:rsidRPr="000958E1">
        <w:rPr>
          <w:rFonts w:ascii="David" w:hAnsi="David" w:cs="David"/>
          <w:sz w:val="24"/>
          <w:szCs w:val="24"/>
          <w:rtl/>
        </w:rPr>
        <w:t xml:space="preserve"> </w:t>
      </w:r>
      <w:r w:rsidR="005B4AE8" w:rsidRPr="000958E1">
        <w:rPr>
          <w:rFonts w:ascii="David" w:hAnsi="David" w:cs="David" w:hint="eastAsia"/>
          <w:sz w:val="24"/>
          <w:szCs w:val="24"/>
          <w:rtl/>
        </w:rPr>
        <w:t>אומצה</w:t>
      </w:r>
      <w:r w:rsidR="005B4AE8" w:rsidRPr="000958E1">
        <w:rPr>
          <w:rFonts w:ascii="David" w:hAnsi="David" w:cs="David"/>
          <w:sz w:val="24"/>
          <w:szCs w:val="24"/>
          <w:rtl/>
        </w:rPr>
        <w:t xml:space="preserve"> </w:t>
      </w:r>
      <w:r w:rsidR="005B4AE8" w:rsidRPr="000958E1">
        <w:rPr>
          <w:rFonts w:ascii="David" w:hAnsi="David" w:cs="David" w:hint="eastAsia"/>
          <w:sz w:val="24"/>
          <w:szCs w:val="24"/>
          <w:rtl/>
        </w:rPr>
        <w:t>גם</w:t>
      </w:r>
      <w:r w:rsidR="005B4AE8" w:rsidRPr="000958E1">
        <w:rPr>
          <w:rFonts w:ascii="David" w:hAnsi="David" w:cs="David"/>
          <w:sz w:val="24"/>
          <w:szCs w:val="24"/>
          <w:rtl/>
        </w:rPr>
        <w:t xml:space="preserve"> </w:t>
      </w:r>
      <w:r w:rsidR="005B4AE8" w:rsidRPr="000958E1">
        <w:rPr>
          <w:rFonts w:ascii="David" w:hAnsi="David" w:cs="David" w:hint="eastAsia"/>
          <w:sz w:val="24"/>
          <w:szCs w:val="24"/>
          <w:rtl/>
        </w:rPr>
        <w:t>על</w:t>
      </w:r>
      <w:r w:rsidR="005B4AE8" w:rsidRPr="000958E1">
        <w:rPr>
          <w:rFonts w:ascii="David" w:hAnsi="David" w:cs="David"/>
          <w:sz w:val="24"/>
          <w:szCs w:val="24"/>
          <w:rtl/>
        </w:rPr>
        <w:t xml:space="preserve"> </w:t>
      </w:r>
      <w:r w:rsidR="005B4AE8" w:rsidRPr="000958E1">
        <w:rPr>
          <w:rFonts w:ascii="David" w:hAnsi="David" w:cs="David" w:hint="eastAsia"/>
          <w:sz w:val="24"/>
          <w:szCs w:val="24"/>
          <w:rtl/>
        </w:rPr>
        <w:t>ידי</w:t>
      </w:r>
      <w:r w:rsidR="005B4AE8" w:rsidRPr="000958E1">
        <w:rPr>
          <w:rFonts w:ascii="David" w:hAnsi="David" w:cs="David"/>
          <w:sz w:val="24"/>
          <w:szCs w:val="24"/>
          <w:rtl/>
        </w:rPr>
        <w:t xml:space="preserve"> </w:t>
      </w:r>
      <w:r w:rsidR="005B4AE8" w:rsidRPr="000958E1">
        <w:rPr>
          <w:rFonts w:ascii="David" w:hAnsi="David" w:cs="David" w:hint="eastAsia"/>
          <w:sz w:val="24"/>
          <w:szCs w:val="24"/>
          <w:rtl/>
        </w:rPr>
        <w:t>ועדת</w:t>
      </w:r>
      <w:r w:rsidR="005B4AE8" w:rsidRPr="000958E1">
        <w:rPr>
          <w:rFonts w:ascii="David" w:hAnsi="David" w:cs="David"/>
          <w:sz w:val="24"/>
          <w:szCs w:val="24"/>
          <w:rtl/>
        </w:rPr>
        <w:t xml:space="preserve"> </w:t>
      </w:r>
      <w:r w:rsidR="005B4AE8" w:rsidRPr="000958E1">
        <w:rPr>
          <w:rFonts w:ascii="David" w:hAnsi="David" w:cs="David" w:hint="eastAsia"/>
          <w:sz w:val="24"/>
          <w:szCs w:val="24"/>
          <w:rtl/>
        </w:rPr>
        <w:t>הערר</w:t>
      </w:r>
      <w:r w:rsidR="005B4AE8" w:rsidRPr="000958E1">
        <w:rPr>
          <w:rFonts w:ascii="David" w:hAnsi="David" w:cs="David"/>
          <w:sz w:val="24"/>
          <w:szCs w:val="24"/>
          <w:rtl/>
        </w:rPr>
        <w:t xml:space="preserve"> (הרכב </w:t>
      </w:r>
      <w:r w:rsidR="005B4AE8" w:rsidRPr="000958E1">
        <w:rPr>
          <w:rFonts w:ascii="David" w:hAnsi="David" w:cs="David" w:hint="eastAsia"/>
          <w:sz w:val="24"/>
          <w:szCs w:val="24"/>
          <w:rtl/>
        </w:rPr>
        <w:t>בראשות</w:t>
      </w:r>
      <w:r w:rsidR="005B4AE8" w:rsidRPr="000958E1">
        <w:rPr>
          <w:rFonts w:ascii="David" w:hAnsi="David" w:cs="David"/>
          <w:sz w:val="24"/>
          <w:szCs w:val="24"/>
          <w:rtl/>
        </w:rPr>
        <w:t xml:space="preserve"> </w:t>
      </w:r>
      <w:r w:rsidR="005B4AE8" w:rsidRPr="000958E1">
        <w:rPr>
          <w:rFonts w:ascii="David" w:hAnsi="David" w:cs="David" w:hint="eastAsia"/>
          <w:sz w:val="24"/>
          <w:szCs w:val="24"/>
          <w:rtl/>
        </w:rPr>
        <w:t>כבוד</w:t>
      </w:r>
      <w:r w:rsidR="005B4AE8" w:rsidRPr="000958E1">
        <w:rPr>
          <w:rFonts w:ascii="David" w:hAnsi="David" w:cs="David"/>
          <w:sz w:val="24"/>
          <w:szCs w:val="24"/>
          <w:rtl/>
        </w:rPr>
        <w:t xml:space="preserve"> </w:t>
      </w:r>
      <w:r w:rsidR="005B4AE8" w:rsidRPr="000958E1">
        <w:rPr>
          <w:rFonts w:ascii="David" w:hAnsi="David" w:cs="David" w:hint="eastAsia"/>
          <w:sz w:val="24"/>
          <w:szCs w:val="24"/>
          <w:rtl/>
        </w:rPr>
        <w:t>היו</w:t>
      </w:r>
      <w:r w:rsidR="005B4AE8" w:rsidRPr="000958E1">
        <w:rPr>
          <w:rFonts w:ascii="David" w:hAnsi="David" w:cs="David"/>
          <w:sz w:val="24"/>
          <w:szCs w:val="24"/>
          <w:rtl/>
        </w:rPr>
        <w:t xml:space="preserve">"ר </w:t>
      </w:r>
      <w:r w:rsidR="005B4AE8" w:rsidRPr="000958E1">
        <w:rPr>
          <w:rFonts w:ascii="David" w:hAnsi="David" w:cs="David" w:hint="eastAsia"/>
          <w:sz w:val="24"/>
          <w:szCs w:val="24"/>
          <w:rtl/>
        </w:rPr>
        <w:t>יפעת</w:t>
      </w:r>
      <w:r w:rsidR="005B4AE8" w:rsidRPr="000958E1">
        <w:rPr>
          <w:rFonts w:ascii="David" w:hAnsi="David" w:cs="David"/>
          <w:sz w:val="24"/>
          <w:szCs w:val="24"/>
          <w:rtl/>
        </w:rPr>
        <w:t xml:space="preserve"> </w:t>
      </w:r>
      <w:r w:rsidR="005B4AE8" w:rsidRPr="000958E1">
        <w:rPr>
          <w:rFonts w:ascii="David" w:hAnsi="David" w:cs="David" w:hint="eastAsia"/>
          <w:sz w:val="24"/>
          <w:szCs w:val="24"/>
          <w:rtl/>
        </w:rPr>
        <w:t>בן</w:t>
      </w:r>
      <w:r w:rsidR="005B4AE8" w:rsidRPr="000958E1">
        <w:rPr>
          <w:rFonts w:ascii="David" w:hAnsi="David" w:cs="David"/>
          <w:sz w:val="24"/>
          <w:szCs w:val="24"/>
          <w:rtl/>
        </w:rPr>
        <w:t xml:space="preserve"> </w:t>
      </w:r>
      <w:r w:rsidR="005B4AE8" w:rsidRPr="000958E1">
        <w:rPr>
          <w:rFonts w:ascii="David" w:hAnsi="David" w:cs="David" w:hint="eastAsia"/>
          <w:sz w:val="24"/>
          <w:szCs w:val="24"/>
          <w:rtl/>
        </w:rPr>
        <w:t>אריה</w:t>
      </w:r>
      <w:r w:rsidR="005B4AE8" w:rsidRPr="000958E1">
        <w:rPr>
          <w:rFonts w:ascii="David" w:hAnsi="David" w:cs="David"/>
          <w:sz w:val="24"/>
          <w:szCs w:val="24"/>
          <w:rtl/>
        </w:rPr>
        <w:t xml:space="preserve"> </w:t>
      </w:r>
      <w:r w:rsidR="005B4AE8" w:rsidRPr="000958E1">
        <w:rPr>
          <w:rFonts w:ascii="David" w:hAnsi="David" w:cs="David" w:hint="eastAsia"/>
          <w:sz w:val="24"/>
          <w:szCs w:val="24"/>
          <w:rtl/>
        </w:rPr>
        <w:t>שטיינברג</w:t>
      </w:r>
      <w:r w:rsidR="005B4AE8" w:rsidRPr="000958E1">
        <w:rPr>
          <w:rFonts w:ascii="David" w:hAnsi="David" w:cs="David"/>
          <w:sz w:val="24"/>
          <w:szCs w:val="24"/>
          <w:rtl/>
        </w:rPr>
        <w:t xml:space="preserve">) </w:t>
      </w:r>
      <w:r w:rsidR="005B4AE8" w:rsidRPr="000958E1">
        <w:rPr>
          <w:rFonts w:ascii="David" w:hAnsi="David" w:cs="David" w:hint="eastAsia"/>
          <w:sz w:val="24"/>
          <w:szCs w:val="24"/>
          <w:rtl/>
        </w:rPr>
        <w:t>בערר</w:t>
      </w:r>
      <w:r w:rsidR="00D203C9" w:rsidRPr="000958E1">
        <w:rPr>
          <w:rFonts w:ascii="David" w:hAnsi="David" w:cs="David"/>
          <w:sz w:val="24"/>
          <w:szCs w:val="24"/>
          <w:rtl/>
        </w:rPr>
        <w:t xml:space="preserve"> ערר (ת"א) 86007-02-23‏</w:t>
      </w:r>
      <w:r w:rsidR="00D203C9" w:rsidRPr="000958E1">
        <w:rPr>
          <w:rFonts w:ascii="David" w:hAnsi="David" w:cs="David"/>
          <w:sz w:val="24"/>
          <w:szCs w:val="24"/>
        </w:rPr>
        <w:t> </w:t>
      </w:r>
      <w:r w:rsidR="00D203C9" w:rsidRPr="00E9125A">
        <w:rPr>
          <w:rFonts w:ascii="David" w:hAnsi="David" w:cs="David"/>
          <w:b/>
          <w:bCs/>
          <w:sz w:val="24"/>
          <w:szCs w:val="24"/>
          <w:rtl/>
        </w:rPr>
        <w:t>מעוז דניאל חברה קבלנית לבניה בע"מ נ' הועדה מקומית לתכנון ובניה בת ים</w:t>
      </w:r>
      <w:r w:rsidR="003132F8" w:rsidRPr="00E9125A">
        <w:rPr>
          <w:rFonts w:ascii="David" w:hAnsi="David" w:cs="David"/>
          <w:sz w:val="24"/>
          <w:szCs w:val="24"/>
          <w:rtl/>
        </w:rPr>
        <w:t xml:space="preserve"> (נבו)</w:t>
      </w:r>
      <w:r w:rsidR="00F77A0D">
        <w:rPr>
          <w:rFonts w:ascii="David" w:hAnsi="David" w:cs="David" w:hint="cs"/>
          <w:sz w:val="24"/>
          <w:szCs w:val="24"/>
          <w:rtl/>
        </w:rPr>
        <w:t xml:space="preserve"> (</w:t>
      </w:r>
      <w:r w:rsidR="00F30540">
        <w:rPr>
          <w:rFonts w:ascii="David" w:hAnsi="David" w:cs="David" w:hint="cs"/>
          <w:sz w:val="24"/>
          <w:szCs w:val="24"/>
          <w:rtl/>
        </w:rPr>
        <w:t xml:space="preserve">למיטב ידיעתנו, </w:t>
      </w:r>
      <w:r w:rsidR="00F77A0D">
        <w:rPr>
          <w:rFonts w:ascii="David" w:hAnsi="David" w:cs="David" w:hint="cs"/>
          <w:sz w:val="24"/>
          <w:szCs w:val="24"/>
          <w:rtl/>
        </w:rPr>
        <w:t>ערעור מנהלי תלוי ועומד כנגד החלטה זו)</w:t>
      </w:r>
      <w:r w:rsidR="003132F8" w:rsidRPr="00E9125A">
        <w:rPr>
          <w:rFonts w:ascii="David" w:hAnsi="David" w:cs="David"/>
          <w:sz w:val="24"/>
          <w:szCs w:val="24"/>
          <w:rtl/>
        </w:rPr>
        <w:t>:</w:t>
      </w:r>
    </w:p>
    <w:p w14:paraId="1DEEBEA6" w14:textId="77777777" w:rsidR="006E6F22" w:rsidRPr="00D203C9" w:rsidRDefault="006E6F22" w:rsidP="00E9125A">
      <w:pPr>
        <w:ind w:left="90" w:hanging="425"/>
        <w:rPr>
          <w:rtl/>
        </w:rPr>
      </w:pPr>
    </w:p>
    <w:p w14:paraId="42C3FA8B" w14:textId="77777777" w:rsidR="005B4AE8" w:rsidRPr="00E9125A" w:rsidRDefault="005B4AE8" w:rsidP="00E9125A">
      <w:pPr>
        <w:pStyle w:val="a9"/>
        <w:spacing w:line="360" w:lineRule="auto"/>
        <w:ind w:left="611" w:right="851"/>
        <w:jc w:val="both"/>
        <w:rPr>
          <w:rStyle w:val="af6"/>
          <w:rFonts w:ascii="David" w:hAnsi="David" w:cs="David"/>
          <w:i w:val="0"/>
          <w:iCs w:val="0"/>
          <w:sz w:val="24"/>
          <w:szCs w:val="24"/>
          <w:rtl/>
        </w:rPr>
      </w:pPr>
      <w:r w:rsidRPr="00E9125A">
        <w:rPr>
          <w:rStyle w:val="af6"/>
          <w:rFonts w:ascii="David" w:hAnsi="David" w:cs="David"/>
          <w:i w:val="0"/>
          <w:iCs w:val="0"/>
          <w:sz w:val="24"/>
          <w:szCs w:val="24"/>
          <w:rtl/>
        </w:rPr>
        <w:t>221.כמו כן ולעניין המע"מ עולה, כי השמאית המכריעה כללה בחישוב עלות המטרה הציבורית גם את המע"מ.</w:t>
      </w:r>
    </w:p>
    <w:p w14:paraId="736F8DBF" w14:textId="77777777" w:rsidR="005B4AE8" w:rsidRPr="00E9125A" w:rsidRDefault="005B4AE8" w:rsidP="00E9125A">
      <w:pPr>
        <w:pStyle w:val="a9"/>
        <w:spacing w:line="360" w:lineRule="auto"/>
        <w:ind w:left="611" w:right="851"/>
        <w:jc w:val="both"/>
        <w:rPr>
          <w:rStyle w:val="af6"/>
          <w:rFonts w:ascii="David" w:hAnsi="David" w:cs="David"/>
          <w:i w:val="0"/>
          <w:iCs w:val="0"/>
          <w:sz w:val="24"/>
          <w:szCs w:val="24"/>
          <w:rtl/>
        </w:rPr>
      </w:pPr>
      <w:r w:rsidRPr="00E9125A">
        <w:rPr>
          <w:rStyle w:val="af6"/>
          <w:rFonts w:ascii="David" w:hAnsi="David" w:cs="David"/>
          <w:i w:val="0"/>
          <w:iCs w:val="0"/>
          <w:sz w:val="24"/>
          <w:szCs w:val="24"/>
          <w:rtl/>
        </w:rPr>
        <w:t xml:space="preserve">222.אנו סבורים כי גם בכך לא נפלה כל טעות בשומות המכריעות, נוכח הפסיקה בעניין לפיה מטלות ציבוריות מסוג זה </w:t>
      </w:r>
      <w:proofErr w:type="spellStart"/>
      <w:r w:rsidRPr="00E9125A">
        <w:rPr>
          <w:rStyle w:val="af6"/>
          <w:rFonts w:ascii="David" w:hAnsi="David" w:cs="David"/>
          <w:i w:val="0"/>
          <w:iCs w:val="0"/>
          <w:sz w:val="24"/>
          <w:szCs w:val="24"/>
          <w:rtl/>
        </w:rPr>
        <w:t>מחוייבות</w:t>
      </w:r>
      <w:proofErr w:type="spellEnd"/>
      <w:r w:rsidRPr="00E9125A">
        <w:rPr>
          <w:rStyle w:val="af6"/>
          <w:rFonts w:ascii="David" w:hAnsi="David" w:cs="David"/>
          <w:i w:val="0"/>
          <w:iCs w:val="0"/>
          <w:sz w:val="24"/>
          <w:szCs w:val="24"/>
          <w:rtl/>
        </w:rPr>
        <w:t xml:space="preserve"> במע"מ ומשכך, לטעמנו צדקה השמאית המכריעה עת הביאה אותן בחשבון.</w:t>
      </w:r>
    </w:p>
    <w:p w14:paraId="199DBDC4" w14:textId="77777777" w:rsidR="005B4AE8" w:rsidRPr="00E9125A" w:rsidRDefault="005B4AE8" w:rsidP="00E9125A">
      <w:pPr>
        <w:pStyle w:val="a9"/>
        <w:spacing w:line="360" w:lineRule="auto"/>
        <w:ind w:left="611" w:right="851"/>
        <w:jc w:val="both"/>
        <w:rPr>
          <w:rStyle w:val="af6"/>
          <w:rFonts w:ascii="David" w:hAnsi="David" w:cs="David"/>
          <w:i w:val="0"/>
          <w:iCs w:val="0"/>
          <w:sz w:val="24"/>
          <w:szCs w:val="24"/>
          <w:rtl/>
        </w:rPr>
      </w:pPr>
      <w:r w:rsidRPr="00E9125A">
        <w:rPr>
          <w:rStyle w:val="af6"/>
          <w:rFonts w:ascii="David" w:hAnsi="David" w:cs="David"/>
          <w:i w:val="0"/>
          <w:iCs w:val="0"/>
          <w:sz w:val="24"/>
          <w:szCs w:val="24"/>
          <w:rtl/>
        </w:rPr>
        <w:t>223.כתמיכה לקביעתנו נתכבד להפנות לפסק דינו של בית המשפט המחוזי בתל אביב בעניין </w:t>
      </w:r>
      <w:proofErr w:type="spellStart"/>
      <w:r>
        <w:fldChar w:fldCharType="begin"/>
      </w:r>
      <w:r>
        <w:instrText>HYPERLINK "http://www.nevo.co.il/case/33623077"</w:instrText>
      </w:r>
      <w:r>
        <w:fldChar w:fldCharType="separate"/>
      </w:r>
      <w:r w:rsidRPr="00E9125A">
        <w:rPr>
          <w:rStyle w:val="af6"/>
          <w:rFonts w:ascii="David" w:hAnsi="David" w:cs="David"/>
          <w:i w:val="0"/>
          <w:iCs w:val="0"/>
          <w:sz w:val="24"/>
          <w:szCs w:val="24"/>
          <w:rtl/>
        </w:rPr>
        <w:t>עמ</w:t>
      </w:r>
      <w:proofErr w:type="spellEnd"/>
      <w:r w:rsidRPr="00E9125A">
        <w:rPr>
          <w:rStyle w:val="af6"/>
          <w:rFonts w:ascii="David" w:hAnsi="David" w:cs="David"/>
          <w:i w:val="0"/>
          <w:iCs w:val="0"/>
          <w:sz w:val="24"/>
          <w:szCs w:val="24"/>
          <w:rtl/>
        </w:rPr>
        <w:t xml:space="preserve"> (ת"א) 62970-03-22</w:t>
      </w:r>
      <w:r>
        <w:fldChar w:fldCharType="end"/>
      </w:r>
      <w:r w:rsidRPr="00E9125A">
        <w:rPr>
          <w:rStyle w:val="af6"/>
          <w:rFonts w:ascii="David" w:hAnsi="David" w:cs="David"/>
          <w:i w:val="0"/>
          <w:iCs w:val="0"/>
          <w:sz w:val="24"/>
          <w:szCs w:val="24"/>
          <w:rtl/>
        </w:rPr>
        <w:t xml:space="preserve"> אאורה השקעות בע"מ נ' מנהל מס ערך מוסף תל אביב מרכז (נבו 13.2.2025) מפי כב' השופטת ירדנה סרוסי שם </w:t>
      </w:r>
      <w:r w:rsidRPr="00E9125A">
        <w:rPr>
          <w:rStyle w:val="af6"/>
          <w:rFonts w:ascii="David" w:hAnsi="David" w:cs="David"/>
          <w:i w:val="0"/>
          <w:iCs w:val="0"/>
          <w:sz w:val="24"/>
          <w:szCs w:val="24"/>
          <w:rtl/>
        </w:rPr>
        <w:lastRenderedPageBreak/>
        <w:t>קבע בית המשפט הנכבד כי עבודות שונות שבצעה המערערת עבור העירייה מהוות "עסקה" לפי </w:t>
      </w:r>
      <w:hyperlink r:id="rId16" w:history="1">
        <w:r w:rsidRPr="00E9125A">
          <w:rPr>
            <w:rStyle w:val="af6"/>
            <w:rFonts w:ascii="David" w:hAnsi="David" w:cs="David"/>
            <w:i w:val="0"/>
            <w:iCs w:val="0"/>
            <w:sz w:val="24"/>
            <w:szCs w:val="24"/>
            <w:rtl/>
          </w:rPr>
          <w:t>חוק מס ערך מוסף</w:t>
        </w:r>
      </w:hyperlink>
      <w:r w:rsidRPr="00E9125A">
        <w:rPr>
          <w:rStyle w:val="af6"/>
          <w:rFonts w:ascii="David" w:hAnsi="David" w:cs="David"/>
          <w:i w:val="0"/>
          <w:iCs w:val="0"/>
          <w:sz w:val="24"/>
          <w:szCs w:val="24"/>
          <w:rtl/>
        </w:rPr>
        <w:t> ועל כך חייבות בתשלום מס עסקאות.</w:t>
      </w:r>
    </w:p>
    <w:p w14:paraId="5385D8E6" w14:textId="77777777" w:rsidR="005B4AE8" w:rsidRPr="00E9125A" w:rsidRDefault="005B4AE8" w:rsidP="00E9125A">
      <w:pPr>
        <w:pStyle w:val="a9"/>
        <w:spacing w:line="360" w:lineRule="auto"/>
        <w:ind w:left="611" w:right="851"/>
        <w:jc w:val="both"/>
        <w:rPr>
          <w:rStyle w:val="af6"/>
          <w:rFonts w:ascii="David" w:hAnsi="David" w:cs="David"/>
          <w:i w:val="0"/>
          <w:iCs w:val="0"/>
          <w:sz w:val="24"/>
          <w:szCs w:val="24"/>
          <w:rtl/>
        </w:rPr>
      </w:pPr>
      <w:r w:rsidRPr="00E9125A">
        <w:rPr>
          <w:rStyle w:val="af6"/>
          <w:rFonts w:ascii="David" w:hAnsi="David" w:cs="David"/>
          <w:i w:val="0"/>
          <w:iCs w:val="0"/>
          <w:sz w:val="24"/>
          <w:szCs w:val="24"/>
          <w:rtl/>
        </w:rPr>
        <w:t>224.כן ר' החלטת ביניים ב</w:t>
      </w:r>
      <w:hyperlink r:id="rId17" w:history="1">
        <w:r w:rsidRPr="00E9125A">
          <w:rPr>
            <w:rStyle w:val="af6"/>
            <w:rFonts w:ascii="David" w:hAnsi="David" w:cs="David"/>
            <w:i w:val="0"/>
            <w:iCs w:val="0"/>
            <w:sz w:val="24"/>
            <w:szCs w:val="24"/>
            <w:rtl/>
          </w:rPr>
          <w:t xml:space="preserve">ערר </w:t>
        </w:r>
        <w:proofErr w:type="spellStart"/>
        <w:r w:rsidRPr="00E9125A">
          <w:rPr>
            <w:rStyle w:val="af6"/>
            <w:rFonts w:ascii="David" w:hAnsi="David" w:cs="David"/>
            <w:i w:val="0"/>
            <w:iCs w:val="0"/>
            <w:sz w:val="24"/>
            <w:szCs w:val="24"/>
            <w:rtl/>
          </w:rPr>
          <w:t>בב</w:t>
        </w:r>
        <w:proofErr w:type="spellEnd"/>
        <w:r w:rsidRPr="00E9125A">
          <w:rPr>
            <w:rStyle w:val="af6"/>
            <w:rFonts w:ascii="David" w:hAnsi="David" w:cs="David"/>
            <w:i w:val="0"/>
            <w:iCs w:val="0"/>
            <w:sz w:val="24"/>
            <w:szCs w:val="24"/>
            <w:rtl/>
          </w:rPr>
          <w:t>/85039/0324</w:t>
        </w:r>
      </w:hyperlink>
      <w:r w:rsidRPr="00E9125A">
        <w:rPr>
          <w:rStyle w:val="af6"/>
          <w:rFonts w:ascii="David" w:hAnsi="David" w:cs="David"/>
          <w:i w:val="0"/>
          <w:iCs w:val="0"/>
          <w:sz w:val="24"/>
          <w:szCs w:val="24"/>
          <w:rtl/>
        </w:rPr>
        <w:t xml:space="preserve"> טובה הבר ואח' נ' הועדה המקומית לתכנון ולבניה בני ברק [נבו] (13.3.25) מפי כב' היו"ר רויטל אפלבוים שם נקבע בין היתר על בסיס הפסיקה כי אכן הקמת מבנה ציבור עבור רשות מקומית מהווה עסקה החייבת במע"מ ובנוסף שליזם אין אפשרות קיזוז בגינו </w:t>
      </w:r>
      <w:proofErr w:type="spellStart"/>
      <w:r w:rsidRPr="00E9125A">
        <w:rPr>
          <w:rStyle w:val="af6"/>
          <w:rFonts w:ascii="David" w:hAnsi="David" w:cs="David"/>
          <w:i w:val="0"/>
          <w:iCs w:val="0"/>
          <w:sz w:val="24"/>
          <w:szCs w:val="24"/>
          <w:rtl/>
        </w:rPr>
        <w:t>וכדלקמן</w:t>
      </w:r>
      <w:proofErr w:type="spellEnd"/>
      <w:r w:rsidRPr="00E9125A">
        <w:rPr>
          <w:rStyle w:val="af6"/>
          <w:rFonts w:ascii="David" w:hAnsi="David" w:cs="David"/>
          <w:i w:val="0"/>
          <w:iCs w:val="0"/>
          <w:sz w:val="24"/>
          <w:szCs w:val="24"/>
          <w:rtl/>
        </w:rPr>
        <w:t>:</w:t>
      </w:r>
    </w:p>
    <w:p w14:paraId="50DEE172" w14:textId="77777777" w:rsidR="005B4AE8" w:rsidRPr="00E9125A" w:rsidRDefault="005B4AE8" w:rsidP="00E9125A">
      <w:pPr>
        <w:pStyle w:val="a9"/>
        <w:spacing w:line="360" w:lineRule="auto"/>
        <w:ind w:left="611" w:right="851"/>
        <w:jc w:val="both"/>
        <w:rPr>
          <w:rStyle w:val="af6"/>
          <w:rFonts w:ascii="David" w:hAnsi="David" w:cs="David"/>
          <w:i w:val="0"/>
          <w:iCs w:val="0"/>
          <w:sz w:val="24"/>
          <w:szCs w:val="24"/>
          <w:rtl/>
        </w:rPr>
      </w:pPr>
      <w:r w:rsidRPr="00E9125A">
        <w:rPr>
          <w:rStyle w:val="af6"/>
          <w:rFonts w:ascii="David" w:hAnsi="David" w:cs="David"/>
          <w:i w:val="0"/>
          <w:iCs w:val="0"/>
          <w:sz w:val="24"/>
          <w:szCs w:val="24"/>
          <w:rtl/>
        </w:rPr>
        <w:t>"עלות הקמת שטחי ציבור – נוכח העבודה כי בפסיקה קיימת נקבע כי הקמת מבנה ציבור עבור רשות מקומית מהווה עסקה החייבת מע"מ, אשר ליזם אין אפשרות קיזוז בגינו, אנו סבורים כי עלות הקמת מבנה ציבור בתחשיב ההשבחה צריכה לכלול מע"מ"</w:t>
      </w:r>
    </w:p>
    <w:p w14:paraId="51160514" w14:textId="77777777" w:rsidR="00E9125A" w:rsidRDefault="00E9125A" w:rsidP="00E9125A">
      <w:pPr>
        <w:pStyle w:val="a9"/>
        <w:spacing w:line="360" w:lineRule="auto"/>
        <w:ind w:left="45"/>
        <w:contextualSpacing w:val="0"/>
        <w:jc w:val="both"/>
        <w:rPr>
          <w:rFonts w:ascii="David" w:hAnsi="David" w:cs="David"/>
          <w:sz w:val="24"/>
          <w:szCs w:val="24"/>
        </w:rPr>
      </w:pPr>
    </w:p>
    <w:p w14:paraId="54CDA3A9" w14:textId="019944E0" w:rsidR="008F0EFE" w:rsidRDefault="008F0EFE" w:rsidP="001302AA">
      <w:pPr>
        <w:pStyle w:val="a9"/>
        <w:numPr>
          <w:ilvl w:val="0"/>
          <w:numId w:val="1"/>
        </w:numPr>
        <w:spacing w:line="360" w:lineRule="auto"/>
        <w:ind w:left="44" w:hanging="425"/>
        <w:contextualSpacing w:val="0"/>
        <w:jc w:val="both"/>
        <w:rPr>
          <w:rFonts w:ascii="David" w:hAnsi="David" w:cs="David"/>
          <w:sz w:val="24"/>
          <w:szCs w:val="24"/>
        </w:rPr>
      </w:pPr>
      <w:r>
        <w:rPr>
          <w:rFonts w:ascii="David" w:hAnsi="David" w:cs="David" w:hint="cs"/>
          <w:sz w:val="24"/>
          <w:szCs w:val="24"/>
          <w:rtl/>
        </w:rPr>
        <w:t>על כן טוב עשתה הוועדה המקומית שעה שקיבלה ואימצה אף עקרון חישובי זה התואם את התעשרות היזם בפועל.</w:t>
      </w:r>
    </w:p>
    <w:p w14:paraId="58C99464" w14:textId="77777777" w:rsidR="00A32A7A" w:rsidRDefault="00172546" w:rsidP="00A32A7A">
      <w:pPr>
        <w:pStyle w:val="a9"/>
        <w:numPr>
          <w:ilvl w:val="0"/>
          <w:numId w:val="1"/>
        </w:numPr>
        <w:spacing w:after="0" w:line="360" w:lineRule="auto"/>
        <w:ind w:left="45" w:hanging="425"/>
        <w:contextualSpacing w:val="0"/>
        <w:jc w:val="both"/>
        <w:rPr>
          <w:rFonts w:ascii="David" w:hAnsi="David" w:cs="David"/>
          <w:sz w:val="24"/>
          <w:szCs w:val="24"/>
        </w:rPr>
      </w:pPr>
      <w:r>
        <w:rPr>
          <w:rFonts w:ascii="David" w:hAnsi="David" w:cs="David" w:hint="cs"/>
          <w:sz w:val="24"/>
          <w:szCs w:val="24"/>
          <w:rtl/>
        </w:rPr>
        <w:t>לסיכום עניין</w:t>
      </w:r>
      <w:r w:rsidR="00BB7555">
        <w:rPr>
          <w:rFonts w:ascii="David" w:hAnsi="David" w:cs="David" w:hint="cs"/>
          <w:sz w:val="24"/>
          <w:szCs w:val="24"/>
          <w:rtl/>
        </w:rPr>
        <w:t xml:space="preserve"> זה: מאחר והשמאי המכריע לא קבע שוויים בהתאם לרמת גמר, אנו נדרשים להפנות את ההכרעה בעניין זה אליו בשנית. השמאי המכריע יידרש לסוגיה זו,</w:t>
      </w:r>
      <w:r w:rsidR="009B4E8D">
        <w:rPr>
          <w:rFonts w:ascii="David" w:hAnsi="David" w:cs="David" w:hint="cs"/>
          <w:sz w:val="24"/>
          <w:szCs w:val="24"/>
          <w:rtl/>
        </w:rPr>
        <w:t xml:space="preserve"> ייקבע את עלות "רמת הגמר"</w:t>
      </w:r>
      <w:r w:rsidR="00BB7555">
        <w:rPr>
          <w:rFonts w:ascii="David" w:hAnsi="David" w:cs="David" w:hint="cs"/>
          <w:sz w:val="24"/>
          <w:szCs w:val="24"/>
          <w:rtl/>
        </w:rPr>
        <w:t xml:space="preserve"> ויתקן את השומה </w:t>
      </w:r>
      <w:r w:rsidR="00B20AFE">
        <w:rPr>
          <w:rFonts w:ascii="David" w:hAnsi="David" w:cs="David" w:hint="cs"/>
          <w:sz w:val="24"/>
          <w:szCs w:val="24"/>
          <w:rtl/>
        </w:rPr>
        <w:t>תוך</w:t>
      </w:r>
      <w:r w:rsidR="00BB7555">
        <w:rPr>
          <w:rFonts w:ascii="David" w:hAnsi="David" w:cs="David" w:hint="cs"/>
          <w:sz w:val="24"/>
          <w:szCs w:val="24"/>
          <w:rtl/>
        </w:rPr>
        <w:t xml:space="preserve"> ניכוי עלות ב"רמת גמר מלאה" וניכוי המע"מ.</w:t>
      </w:r>
      <w:r w:rsidR="005676DA">
        <w:rPr>
          <w:rFonts w:ascii="David" w:hAnsi="David" w:cs="David" w:hint="cs"/>
          <w:sz w:val="24"/>
          <w:szCs w:val="24"/>
          <w:rtl/>
        </w:rPr>
        <w:t xml:space="preserve"> </w:t>
      </w:r>
    </w:p>
    <w:p w14:paraId="6FF40044" w14:textId="4038A974" w:rsidR="00172546" w:rsidRDefault="005676DA" w:rsidP="00A32A7A">
      <w:pPr>
        <w:pStyle w:val="a9"/>
        <w:spacing w:line="360" w:lineRule="auto"/>
        <w:ind w:left="44"/>
        <w:contextualSpacing w:val="0"/>
        <w:jc w:val="both"/>
        <w:rPr>
          <w:rFonts w:ascii="David" w:hAnsi="David" w:cs="David"/>
          <w:sz w:val="24"/>
          <w:szCs w:val="24"/>
        </w:rPr>
      </w:pPr>
      <w:r>
        <w:rPr>
          <w:rFonts w:ascii="David" w:hAnsi="David" w:cs="David" w:hint="cs"/>
          <w:sz w:val="24"/>
          <w:szCs w:val="24"/>
          <w:rtl/>
        </w:rPr>
        <w:t>ראה הערה בעניין זה בסיפא ההחלטה.</w:t>
      </w:r>
    </w:p>
    <w:p w14:paraId="2762787A" w14:textId="77777777" w:rsidR="00B1203F" w:rsidRPr="00E9125A" w:rsidRDefault="001A2596" w:rsidP="00E9125A">
      <w:pPr>
        <w:spacing w:line="360" w:lineRule="auto"/>
        <w:ind w:left="90" w:hanging="425"/>
        <w:rPr>
          <w:rFonts w:ascii="David" w:hAnsi="David" w:cs="David"/>
          <w:b/>
          <w:bCs/>
          <w:sz w:val="26"/>
          <w:szCs w:val="26"/>
          <w:u w:val="single"/>
          <w:rtl/>
        </w:rPr>
      </w:pPr>
      <w:r>
        <w:rPr>
          <w:rFonts w:ascii="David" w:hAnsi="David" w:cs="David" w:hint="cs"/>
          <w:b/>
          <w:bCs/>
          <w:sz w:val="26"/>
          <w:szCs w:val="26"/>
          <w:u w:val="single"/>
          <w:rtl/>
        </w:rPr>
        <w:t>הפחתת</w:t>
      </w:r>
      <w:r w:rsidR="00854E1F" w:rsidRPr="00E9125A">
        <w:rPr>
          <w:rFonts w:ascii="David" w:hAnsi="David" w:cs="David"/>
          <w:b/>
          <w:bCs/>
          <w:sz w:val="26"/>
          <w:szCs w:val="26"/>
          <w:u w:val="single"/>
          <w:rtl/>
        </w:rPr>
        <w:t xml:space="preserve"> </w:t>
      </w:r>
      <w:r w:rsidR="00854E1F" w:rsidRPr="00E9125A">
        <w:rPr>
          <w:rFonts w:ascii="David" w:hAnsi="David" w:cs="David" w:hint="eastAsia"/>
          <w:b/>
          <w:bCs/>
          <w:sz w:val="26"/>
          <w:szCs w:val="26"/>
          <w:u w:val="single"/>
          <w:rtl/>
        </w:rPr>
        <w:t>עלות</w:t>
      </w:r>
      <w:r w:rsidR="00854E1F" w:rsidRPr="00E9125A">
        <w:rPr>
          <w:rFonts w:ascii="David" w:hAnsi="David" w:cs="David"/>
          <w:b/>
          <w:bCs/>
          <w:sz w:val="26"/>
          <w:szCs w:val="26"/>
          <w:u w:val="single"/>
          <w:rtl/>
        </w:rPr>
        <w:t xml:space="preserve"> </w:t>
      </w:r>
      <w:r w:rsidR="00854E1F" w:rsidRPr="00E9125A">
        <w:rPr>
          <w:rFonts w:ascii="David" w:hAnsi="David" w:cs="David" w:hint="eastAsia"/>
          <w:b/>
          <w:bCs/>
          <w:sz w:val="26"/>
          <w:szCs w:val="26"/>
          <w:u w:val="single"/>
          <w:rtl/>
        </w:rPr>
        <w:t>המטלה</w:t>
      </w:r>
      <w:r w:rsidR="00854E1F" w:rsidRPr="00E9125A">
        <w:rPr>
          <w:rFonts w:ascii="David" w:hAnsi="David" w:cs="David"/>
          <w:b/>
          <w:bCs/>
          <w:sz w:val="26"/>
          <w:szCs w:val="26"/>
          <w:u w:val="single"/>
          <w:rtl/>
        </w:rPr>
        <w:t xml:space="preserve"> </w:t>
      </w:r>
      <w:r w:rsidR="00854E1F" w:rsidRPr="00E9125A">
        <w:rPr>
          <w:rFonts w:ascii="David" w:hAnsi="David" w:cs="David" w:hint="eastAsia"/>
          <w:b/>
          <w:bCs/>
          <w:sz w:val="26"/>
          <w:szCs w:val="26"/>
          <w:u w:val="single"/>
          <w:rtl/>
        </w:rPr>
        <w:t>הציבורית</w:t>
      </w:r>
      <w:r w:rsidR="00854E1F" w:rsidRPr="00E9125A">
        <w:rPr>
          <w:rFonts w:ascii="David" w:hAnsi="David" w:cs="David"/>
          <w:b/>
          <w:bCs/>
          <w:sz w:val="26"/>
          <w:szCs w:val="26"/>
          <w:u w:val="single"/>
          <w:rtl/>
        </w:rPr>
        <w:t xml:space="preserve"> </w:t>
      </w:r>
      <w:r w:rsidR="00854E1F" w:rsidRPr="00E9125A">
        <w:rPr>
          <w:rFonts w:ascii="David" w:hAnsi="David" w:cs="David" w:hint="eastAsia"/>
          <w:b/>
          <w:bCs/>
          <w:sz w:val="26"/>
          <w:szCs w:val="26"/>
          <w:u w:val="single"/>
          <w:rtl/>
        </w:rPr>
        <w:t>מההשבחה</w:t>
      </w:r>
      <w:r w:rsidR="00346670">
        <w:rPr>
          <w:rFonts w:ascii="David" w:hAnsi="David" w:cs="David" w:hint="cs"/>
          <w:b/>
          <w:bCs/>
          <w:sz w:val="26"/>
          <w:szCs w:val="26"/>
          <w:u w:val="single"/>
          <w:rtl/>
        </w:rPr>
        <w:t xml:space="preserve"> ולא מהיטל ההשבחה</w:t>
      </w:r>
    </w:p>
    <w:p w14:paraId="07B4B4C5" w14:textId="227CE36C" w:rsidR="00775BB0" w:rsidRPr="00775BB0" w:rsidRDefault="00775BB0" w:rsidP="001302AA">
      <w:pPr>
        <w:pStyle w:val="a9"/>
        <w:numPr>
          <w:ilvl w:val="0"/>
          <w:numId w:val="1"/>
        </w:numPr>
        <w:spacing w:line="360" w:lineRule="auto"/>
        <w:ind w:left="44" w:hanging="425"/>
        <w:contextualSpacing w:val="0"/>
        <w:jc w:val="both"/>
        <w:rPr>
          <w:rFonts w:ascii="David" w:hAnsi="David" w:cs="David"/>
          <w:sz w:val="24"/>
          <w:szCs w:val="24"/>
        </w:rPr>
      </w:pPr>
      <w:r>
        <w:rPr>
          <w:rFonts w:ascii="David" w:hAnsi="David" w:cs="David" w:hint="cs"/>
          <w:sz w:val="24"/>
          <w:szCs w:val="24"/>
          <w:rtl/>
        </w:rPr>
        <w:t xml:space="preserve">כאמור, השמאי המכריע קבע בשומתו כי יש להפחית את עלות המטלות הציבוריות מסכום ההשבחה בניגוד לעמדת שמאי </w:t>
      </w:r>
      <w:r w:rsidR="001404B2">
        <w:rPr>
          <w:rFonts w:ascii="David" w:hAnsi="David" w:cs="David" w:hint="cs"/>
          <w:sz w:val="24"/>
          <w:szCs w:val="24"/>
          <w:rtl/>
        </w:rPr>
        <w:t xml:space="preserve">העוררות </w:t>
      </w:r>
      <w:r>
        <w:rPr>
          <w:rFonts w:ascii="David" w:hAnsi="David" w:cs="David" w:hint="cs"/>
          <w:sz w:val="24"/>
          <w:szCs w:val="24"/>
          <w:rtl/>
        </w:rPr>
        <w:t xml:space="preserve">שלשיטתו יש להפחית את עלות המטלות הציבוריות מסכום היטל </w:t>
      </w:r>
      <w:r w:rsidRPr="00775BB0">
        <w:rPr>
          <w:rFonts w:ascii="David" w:hAnsi="David" w:cs="David" w:hint="eastAsia"/>
          <w:sz w:val="24"/>
          <w:szCs w:val="24"/>
          <w:rtl/>
        </w:rPr>
        <w:t>ההשבחה</w:t>
      </w:r>
      <w:r w:rsidRPr="00775BB0">
        <w:rPr>
          <w:rFonts w:ascii="David" w:hAnsi="David" w:cs="David"/>
          <w:sz w:val="24"/>
          <w:szCs w:val="24"/>
          <w:rtl/>
        </w:rPr>
        <w:t xml:space="preserve">. </w:t>
      </w:r>
    </w:p>
    <w:p w14:paraId="3A8791E1" w14:textId="268617CB" w:rsidR="00775BB0" w:rsidRDefault="00775BB0" w:rsidP="001302AA">
      <w:pPr>
        <w:pStyle w:val="a9"/>
        <w:numPr>
          <w:ilvl w:val="0"/>
          <w:numId w:val="1"/>
        </w:numPr>
        <w:spacing w:line="360" w:lineRule="auto"/>
        <w:ind w:left="44" w:hanging="425"/>
        <w:contextualSpacing w:val="0"/>
        <w:jc w:val="both"/>
        <w:rPr>
          <w:rFonts w:ascii="David" w:hAnsi="David" w:cs="David"/>
          <w:sz w:val="24"/>
          <w:szCs w:val="24"/>
        </w:rPr>
      </w:pPr>
      <w:r w:rsidRPr="008D2046">
        <w:rPr>
          <w:rFonts w:ascii="David" w:hAnsi="David" w:cs="David" w:hint="eastAsia"/>
          <w:sz w:val="24"/>
          <w:szCs w:val="24"/>
          <w:rtl/>
        </w:rPr>
        <w:t>טוענות</w:t>
      </w:r>
      <w:r w:rsidRPr="008D2046">
        <w:rPr>
          <w:rFonts w:ascii="David" w:hAnsi="David" w:cs="David"/>
          <w:sz w:val="24"/>
          <w:szCs w:val="24"/>
          <w:rtl/>
        </w:rPr>
        <w:t xml:space="preserve"> </w:t>
      </w:r>
      <w:r w:rsidRPr="008D2046">
        <w:rPr>
          <w:rFonts w:ascii="David" w:hAnsi="David" w:cs="David" w:hint="eastAsia"/>
          <w:sz w:val="24"/>
          <w:szCs w:val="24"/>
          <w:rtl/>
        </w:rPr>
        <w:t>כי</w:t>
      </w:r>
      <w:r w:rsidRPr="008D2046">
        <w:rPr>
          <w:rFonts w:ascii="David" w:hAnsi="David" w:cs="David"/>
          <w:sz w:val="24"/>
          <w:szCs w:val="24"/>
          <w:rtl/>
        </w:rPr>
        <w:t xml:space="preserve"> משמעות </w:t>
      </w:r>
      <w:r w:rsidRPr="008D2046">
        <w:rPr>
          <w:rFonts w:ascii="David" w:hAnsi="David" w:cs="David" w:hint="eastAsia"/>
          <w:sz w:val="24"/>
          <w:szCs w:val="24"/>
          <w:rtl/>
        </w:rPr>
        <w:t>קיזוז</w:t>
      </w:r>
      <w:r w:rsidRPr="008D2046">
        <w:rPr>
          <w:rFonts w:ascii="David" w:hAnsi="David" w:cs="David"/>
          <w:sz w:val="24"/>
          <w:szCs w:val="24"/>
          <w:rtl/>
        </w:rPr>
        <w:t xml:space="preserve"> עלות המטלות הציבוריות מבסיס ההשבחה היא כי העוררות נושאות למעשה במחצית מעלות זו </w:t>
      </w:r>
      <w:r w:rsidRPr="008D2046">
        <w:rPr>
          <w:rFonts w:ascii="David" w:hAnsi="David" w:cs="David" w:hint="eastAsia"/>
          <w:sz w:val="24"/>
          <w:szCs w:val="24"/>
          <w:rtl/>
        </w:rPr>
        <w:t>ולעומת</w:t>
      </w:r>
      <w:r w:rsidRPr="008D2046">
        <w:rPr>
          <w:rFonts w:ascii="David" w:hAnsi="David" w:cs="David"/>
          <w:sz w:val="24"/>
          <w:szCs w:val="24"/>
          <w:rtl/>
        </w:rPr>
        <w:t xml:space="preserve"> </w:t>
      </w:r>
      <w:r w:rsidRPr="008D2046">
        <w:rPr>
          <w:rFonts w:ascii="David" w:hAnsi="David" w:cs="David" w:hint="eastAsia"/>
          <w:sz w:val="24"/>
          <w:szCs w:val="24"/>
          <w:rtl/>
        </w:rPr>
        <w:t>זאת</w:t>
      </w:r>
      <w:r w:rsidRPr="008D2046">
        <w:rPr>
          <w:rFonts w:ascii="David" w:hAnsi="David" w:cs="David"/>
          <w:sz w:val="24"/>
          <w:szCs w:val="24"/>
          <w:rtl/>
        </w:rPr>
        <w:t xml:space="preserve">, </w:t>
      </w:r>
      <w:r w:rsidRPr="008D2046">
        <w:rPr>
          <w:rFonts w:ascii="David" w:hAnsi="David" w:cs="David" w:hint="eastAsia"/>
          <w:sz w:val="24"/>
          <w:szCs w:val="24"/>
          <w:rtl/>
        </w:rPr>
        <w:t>קיזוז</w:t>
      </w:r>
      <w:r w:rsidRPr="008D2046">
        <w:rPr>
          <w:rFonts w:ascii="David" w:hAnsi="David" w:cs="David"/>
          <w:sz w:val="24"/>
          <w:szCs w:val="24"/>
          <w:rtl/>
        </w:rPr>
        <w:t xml:space="preserve"> </w:t>
      </w:r>
      <w:r w:rsidRPr="008D2046">
        <w:rPr>
          <w:rFonts w:ascii="David" w:hAnsi="David" w:cs="David" w:hint="eastAsia"/>
          <w:sz w:val="24"/>
          <w:szCs w:val="24"/>
          <w:rtl/>
        </w:rPr>
        <w:t>העלות</w:t>
      </w:r>
      <w:r w:rsidRPr="008D2046">
        <w:rPr>
          <w:rFonts w:ascii="David" w:hAnsi="David" w:cs="David"/>
          <w:sz w:val="24"/>
          <w:szCs w:val="24"/>
          <w:rtl/>
        </w:rPr>
        <w:t xml:space="preserve"> </w:t>
      </w:r>
      <w:r w:rsidRPr="008D2046">
        <w:rPr>
          <w:rFonts w:ascii="David" w:hAnsi="David" w:cs="David" w:hint="eastAsia"/>
          <w:sz w:val="24"/>
          <w:szCs w:val="24"/>
          <w:rtl/>
        </w:rPr>
        <w:t>מהיטל</w:t>
      </w:r>
      <w:r w:rsidRPr="008D2046">
        <w:rPr>
          <w:rFonts w:ascii="David" w:hAnsi="David" w:cs="David"/>
          <w:sz w:val="24"/>
          <w:szCs w:val="24"/>
          <w:rtl/>
        </w:rPr>
        <w:t xml:space="preserve"> </w:t>
      </w:r>
      <w:r w:rsidRPr="008D2046">
        <w:rPr>
          <w:rFonts w:ascii="David" w:hAnsi="David" w:cs="David" w:hint="eastAsia"/>
          <w:sz w:val="24"/>
          <w:szCs w:val="24"/>
          <w:rtl/>
        </w:rPr>
        <w:t>ההשבחה</w:t>
      </w:r>
      <w:r w:rsidRPr="008D2046">
        <w:rPr>
          <w:rFonts w:ascii="David" w:hAnsi="David" w:cs="David"/>
          <w:sz w:val="24"/>
          <w:szCs w:val="24"/>
          <w:rtl/>
        </w:rPr>
        <w:t xml:space="preserve"> </w:t>
      </w:r>
      <w:r w:rsidRPr="008D2046">
        <w:rPr>
          <w:rFonts w:ascii="David" w:hAnsi="David" w:cs="David" w:hint="eastAsia"/>
          <w:sz w:val="24"/>
          <w:szCs w:val="24"/>
          <w:rtl/>
        </w:rPr>
        <w:t>משמעה</w:t>
      </w:r>
      <w:r w:rsidRPr="008D2046">
        <w:rPr>
          <w:rFonts w:ascii="David" w:hAnsi="David" w:cs="David"/>
          <w:sz w:val="24"/>
          <w:szCs w:val="24"/>
          <w:rtl/>
        </w:rPr>
        <w:t xml:space="preserve"> </w:t>
      </w:r>
      <w:r w:rsidRPr="008D2046">
        <w:rPr>
          <w:rFonts w:ascii="David" w:hAnsi="David" w:cs="David" w:hint="eastAsia"/>
          <w:sz w:val="24"/>
          <w:szCs w:val="24"/>
          <w:rtl/>
        </w:rPr>
        <w:t>כי</w:t>
      </w:r>
      <w:r w:rsidRPr="008D2046">
        <w:rPr>
          <w:rFonts w:ascii="David" w:hAnsi="David" w:cs="David"/>
          <w:sz w:val="24"/>
          <w:szCs w:val="24"/>
          <w:rtl/>
        </w:rPr>
        <w:t xml:space="preserve"> </w:t>
      </w:r>
      <w:r w:rsidRPr="008D2046">
        <w:rPr>
          <w:rFonts w:ascii="David" w:hAnsi="David" w:cs="David" w:hint="eastAsia"/>
          <w:sz w:val="24"/>
          <w:szCs w:val="24"/>
          <w:rtl/>
        </w:rPr>
        <w:t>המשיבה</w:t>
      </w:r>
      <w:r w:rsidRPr="008D2046">
        <w:rPr>
          <w:rFonts w:ascii="David" w:hAnsi="David" w:cs="David"/>
          <w:sz w:val="24"/>
          <w:szCs w:val="24"/>
          <w:rtl/>
        </w:rPr>
        <w:t xml:space="preserve"> </w:t>
      </w:r>
      <w:r w:rsidRPr="008D2046">
        <w:rPr>
          <w:rFonts w:ascii="David" w:hAnsi="David" w:cs="David" w:hint="eastAsia"/>
          <w:sz w:val="24"/>
          <w:szCs w:val="24"/>
          <w:rtl/>
        </w:rPr>
        <w:t>נושאת</w:t>
      </w:r>
      <w:r w:rsidRPr="008D2046">
        <w:rPr>
          <w:rFonts w:ascii="David" w:hAnsi="David" w:cs="David"/>
          <w:sz w:val="24"/>
          <w:szCs w:val="24"/>
          <w:rtl/>
        </w:rPr>
        <w:t xml:space="preserve"> </w:t>
      </w:r>
      <w:r w:rsidRPr="008D2046">
        <w:rPr>
          <w:rFonts w:ascii="David" w:hAnsi="David" w:cs="David" w:hint="eastAsia"/>
          <w:sz w:val="24"/>
          <w:szCs w:val="24"/>
          <w:rtl/>
        </w:rPr>
        <w:t>במלוא</w:t>
      </w:r>
      <w:r w:rsidRPr="008D2046">
        <w:rPr>
          <w:rFonts w:ascii="David" w:hAnsi="David" w:cs="David"/>
          <w:sz w:val="24"/>
          <w:szCs w:val="24"/>
          <w:rtl/>
        </w:rPr>
        <w:t xml:space="preserve"> </w:t>
      </w:r>
      <w:r w:rsidRPr="008D2046">
        <w:rPr>
          <w:rFonts w:ascii="David" w:hAnsi="David" w:cs="David" w:hint="eastAsia"/>
          <w:sz w:val="24"/>
          <w:szCs w:val="24"/>
          <w:rtl/>
        </w:rPr>
        <w:t>עלות</w:t>
      </w:r>
      <w:r w:rsidRPr="008D2046">
        <w:rPr>
          <w:rFonts w:ascii="David" w:hAnsi="David" w:cs="David"/>
          <w:sz w:val="24"/>
          <w:szCs w:val="24"/>
          <w:rtl/>
        </w:rPr>
        <w:t xml:space="preserve"> </w:t>
      </w:r>
      <w:r w:rsidRPr="008D2046">
        <w:rPr>
          <w:rFonts w:ascii="David" w:hAnsi="David" w:cs="David" w:hint="eastAsia"/>
          <w:sz w:val="24"/>
          <w:szCs w:val="24"/>
          <w:rtl/>
        </w:rPr>
        <w:t>ההשבחה</w:t>
      </w:r>
      <w:r w:rsidRPr="008D2046">
        <w:rPr>
          <w:rFonts w:ascii="David" w:hAnsi="David" w:cs="David"/>
          <w:sz w:val="24"/>
          <w:szCs w:val="24"/>
          <w:rtl/>
        </w:rPr>
        <w:t>.</w:t>
      </w:r>
      <w:r w:rsidR="00D45D9A">
        <w:rPr>
          <w:rFonts w:ascii="David" w:hAnsi="David" w:cs="David" w:hint="cs"/>
          <w:sz w:val="24"/>
          <w:szCs w:val="24"/>
          <w:rtl/>
        </w:rPr>
        <w:t xml:space="preserve"> </w:t>
      </w:r>
      <w:r>
        <w:rPr>
          <w:rFonts w:ascii="David" w:hAnsi="David" w:cs="David" w:hint="cs"/>
          <w:sz w:val="24"/>
          <w:szCs w:val="24"/>
          <w:rtl/>
        </w:rPr>
        <w:t>לעמדת העוררות, במידה והמטלות הציבוריות לא היו מוטלות עליהן היתה המשיבה מממנת את ביצוען מתוך כספי היטלי ההשבחה הנגבים על ידה מתוקף תפקידה הציבורי ובהתאם להוראות החוק.</w:t>
      </w:r>
    </w:p>
    <w:p w14:paraId="7DF433EF" w14:textId="77777777" w:rsidR="00775BB0" w:rsidRDefault="00775BB0" w:rsidP="001302AA">
      <w:pPr>
        <w:pStyle w:val="a9"/>
        <w:numPr>
          <w:ilvl w:val="0"/>
          <w:numId w:val="1"/>
        </w:numPr>
        <w:spacing w:line="360" w:lineRule="auto"/>
        <w:ind w:left="44" w:hanging="425"/>
        <w:contextualSpacing w:val="0"/>
        <w:jc w:val="both"/>
        <w:rPr>
          <w:rFonts w:ascii="David" w:hAnsi="David" w:cs="David"/>
          <w:sz w:val="24"/>
          <w:szCs w:val="24"/>
        </w:rPr>
      </w:pPr>
      <w:r>
        <w:rPr>
          <w:rFonts w:ascii="David" w:hAnsi="David" w:cs="David" w:hint="cs"/>
          <w:sz w:val="24"/>
          <w:szCs w:val="24"/>
          <w:rtl/>
        </w:rPr>
        <w:t xml:space="preserve">כן טוענות העוררות כי הקצאת השטחים המבונים </w:t>
      </w:r>
      <w:r w:rsidR="00AB091D">
        <w:rPr>
          <w:rFonts w:ascii="David" w:hAnsi="David" w:cs="David" w:hint="cs"/>
          <w:sz w:val="24"/>
          <w:szCs w:val="24"/>
          <w:rtl/>
        </w:rPr>
        <w:t>למשיבה בדרך של בנייתם ע"י העוררות אינה יכולה להוות צידוק להגדלת היטל ההשבחה שיושת על העוררות בפועל, מעבר ל-50% מההשבחה.</w:t>
      </w:r>
    </w:p>
    <w:p w14:paraId="1C7957CE" w14:textId="77777777" w:rsidR="00775BB0" w:rsidRDefault="00775BB0" w:rsidP="001302AA">
      <w:pPr>
        <w:pStyle w:val="a9"/>
        <w:numPr>
          <w:ilvl w:val="0"/>
          <w:numId w:val="1"/>
        </w:numPr>
        <w:spacing w:line="360" w:lineRule="auto"/>
        <w:ind w:left="44" w:hanging="425"/>
        <w:contextualSpacing w:val="0"/>
        <w:jc w:val="both"/>
        <w:rPr>
          <w:rFonts w:ascii="David" w:hAnsi="David" w:cs="David"/>
          <w:sz w:val="24"/>
          <w:szCs w:val="24"/>
        </w:rPr>
      </w:pPr>
      <w:r>
        <w:rPr>
          <w:rFonts w:ascii="David" w:hAnsi="David" w:cs="David" w:hint="cs"/>
          <w:sz w:val="24"/>
          <w:szCs w:val="24"/>
          <w:rtl/>
        </w:rPr>
        <w:t>משכך, לעמדת העוררות, הפחתת עלות המטלות הציבוריות מסכום ההשבחה מביא לגביית היטל השבחה ביתר ולהתעשרות המשיבה על חשבון העוררות</w:t>
      </w:r>
      <w:r w:rsidR="00AB091D">
        <w:rPr>
          <w:rFonts w:ascii="David" w:hAnsi="David" w:cs="David" w:hint="cs"/>
          <w:sz w:val="24"/>
          <w:szCs w:val="24"/>
          <w:rtl/>
        </w:rPr>
        <w:t xml:space="preserve"> ויש בכך משום עקיפה של הוראות סעיף 13 בתוספת השלישית</w:t>
      </w:r>
      <w:r>
        <w:rPr>
          <w:rFonts w:ascii="David" w:hAnsi="David" w:cs="David" w:hint="cs"/>
          <w:sz w:val="24"/>
          <w:szCs w:val="24"/>
          <w:rtl/>
        </w:rPr>
        <w:t>.</w:t>
      </w:r>
    </w:p>
    <w:p w14:paraId="762A369A" w14:textId="77777777" w:rsidR="00AB091D" w:rsidRPr="008D2046" w:rsidRDefault="002075C2" w:rsidP="001302AA">
      <w:pPr>
        <w:pStyle w:val="a9"/>
        <w:numPr>
          <w:ilvl w:val="0"/>
          <w:numId w:val="1"/>
        </w:numPr>
        <w:spacing w:line="360" w:lineRule="auto"/>
        <w:ind w:left="44" w:hanging="425"/>
        <w:contextualSpacing w:val="0"/>
        <w:jc w:val="both"/>
        <w:rPr>
          <w:rFonts w:ascii="David" w:hAnsi="David" w:cs="David"/>
          <w:sz w:val="24"/>
          <w:szCs w:val="24"/>
        </w:rPr>
      </w:pPr>
      <w:r>
        <w:rPr>
          <w:rFonts w:ascii="David" w:hAnsi="David" w:cs="David" w:hint="cs"/>
          <w:sz w:val="24"/>
          <w:szCs w:val="24"/>
          <w:rtl/>
        </w:rPr>
        <w:t>המשיבה טוענת כי צדק השמאי המכריע עת הפחית את עלויות המטלות הציבוריות משווי מצב חדש ולא מהיטל ההשבחה. המשיבה מפנה ל</w:t>
      </w:r>
      <w:r w:rsidR="00FB0744">
        <w:rPr>
          <w:rFonts w:ascii="David" w:hAnsi="David" w:cs="David" w:hint="cs"/>
          <w:sz w:val="24"/>
          <w:szCs w:val="24"/>
          <w:rtl/>
        </w:rPr>
        <w:t>החלטות ב</w:t>
      </w:r>
      <w:r>
        <w:rPr>
          <w:rFonts w:ascii="David" w:hAnsi="David" w:cs="David" w:hint="cs"/>
          <w:sz w:val="24"/>
          <w:szCs w:val="24"/>
          <w:rtl/>
        </w:rPr>
        <w:t xml:space="preserve">ערר </w:t>
      </w:r>
      <w:proofErr w:type="spellStart"/>
      <w:r>
        <w:rPr>
          <w:rFonts w:ascii="David" w:hAnsi="David" w:cs="David" w:hint="cs"/>
          <w:sz w:val="24"/>
          <w:szCs w:val="24"/>
          <w:rtl/>
        </w:rPr>
        <w:t>מ.ה.א.ר</w:t>
      </w:r>
      <w:proofErr w:type="spellEnd"/>
      <w:r>
        <w:rPr>
          <w:rFonts w:ascii="David" w:hAnsi="David" w:cs="David" w:hint="cs"/>
          <w:sz w:val="24"/>
          <w:szCs w:val="24"/>
          <w:rtl/>
        </w:rPr>
        <w:t xml:space="preserve"> וכן לערר מרכז </w:t>
      </w:r>
      <w:proofErr w:type="spellStart"/>
      <w:r>
        <w:rPr>
          <w:rFonts w:ascii="David" w:hAnsi="David" w:cs="David" w:hint="cs"/>
          <w:sz w:val="24"/>
          <w:szCs w:val="24"/>
          <w:rtl/>
        </w:rPr>
        <w:t>תבורי</w:t>
      </w:r>
      <w:proofErr w:type="spellEnd"/>
      <w:r w:rsidR="00FB0744">
        <w:rPr>
          <w:rFonts w:ascii="David" w:hAnsi="David" w:cs="David" w:hint="cs"/>
          <w:sz w:val="24"/>
          <w:szCs w:val="24"/>
          <w:rtl/>
        </w:rPr>
        <w:t xml:space="preserve"> שלטענתה תומכות בהחלטת השמאי המכריע בענין זה</w:t>
      </w:r>
      <w:r>
        <w:rPr>
          <w:rFonts w:ascii="David" w:hAnsi="David" w:cs="David" w:hint="cs"/>
          <w:sz w:val="24"/>
          <w:szCs w:val="24"/>
          <w:rtl/>
        </w:rPr>
        <w:t>.</w:t>
      </w:r>
    </w:p>
    <w:p w14:paraId="4C7D97B3" w14:textId="77777777" w:rsidR="00A8602B" w:rsidRPr="008D2046" w:rsidRDefault="00A8602B" w:rsidP="008D2046">
      <w:pPr>
        <w:spacing w:line="360" w:lineRule="auto"/>
        <w:ind w:left="90" w:hanging="425"/>
        <w:jc w:val="both"/>
        <w:rPr>
          <w:rFonts w:ascii="David" w:hAnsi="David" w:cs="David"/>
          <w:b/>
          <w:bCs/>
          <w:sz w:val="24"/>
          <w:szCs w:val="24"/>
          <w:u w:val="single"/>
          <w:rtl/>
        </w:rPr>
      </w:pPr>
      <w:r w:rsidRPr="008D2046">
        <w:rPr>
          <w:rFonts w:ascii="David" w:hAnsi="David" w:cs="David" w:hint="eastAsia"/>
          <w:b/>
          <w:bCs/>
          <w:sz w:val="24"/>
          <w:szCs w:val="24"/>
          <w:u w:val="single"/>
          <w:rtl/>
        </w:rPr>
        <w:lastRenderedPageBreak/>
        <w:t>דיון</w:t>
      </w:r>
      <w:r w:rsidRPr="008D2046">
        <w:rPr>
          <w:rFonts w:ascii="David" w:hAnsi="David" w:cs="David"/>
          <w:b/>
          <w:bCs/>
          <w:sz w:val="24"/>
          <w:szCs w:val="24"/>
          <w:u w:val="single"/>
          <w:rtl/>
        </w:rPr>
        <w:t xml:space="preserve"> </w:t>
      </w:r>
      <w:r w:rsidRPr="008D2046">
        <w:rPr>
          <w:rFonts w:ascii="David" w:hAnsi="David" w:cs="David" w:hint="eastAsia"/>
          <w:b/>
          <w:bCs/>
          <w:sz w:val="24"/>
          <w:szCs w:val="24"/>
          <w:u w:val="single"/>
          <w:rtl/>
        </w:rPr>
        <w:t>והכרעה</w:t>
      </w:r>
    </w:p>
    <w:p w14:paraId="09317B48" w14:textId="3F7D2131" w:rsidR="00A8602B" w:rsidRDefault="00A8602B" w:rsidP="001302AA">
      <w:pPr>
        <w:pStyle w:val="a9"/>
        <w:numPr>
          <w:ilvl w:val="0"/>
          <w:numId w:val="1"/>
        </w:numPr>
        <w:spacing w:line="360" w:lineRule="auto"/>
        <w:ind w:left="44" w:hanging="425"/>
        <w:contextualSpacing w:val="0"/>
        <w:jc w:val="both"/>
        <w:rPr>
          <w:rFonts w:ascii="David" w:hAnsi="David" w:cs="David"/>
          <w:b/>
          <w:bCs/>
          <w:sz w:val="24"/>
          <w:szCs w:val="24"/>
          <w:u w:val="single"/>
        </w:rPr>
      </w:pPr>
      <w:r w:rsidRPr="008D2046">
        <w:rPr>
          <w:rFonts w:ascii="David" w:hAnsi="David" w:cs="David" w:hint="eastAsia"/>
          <w:sz w:val="24"/>
          <w:szCs w:val="24"/>
          <w:rtl/>
        </w:rPr>
        <w:t>סוגיה</w:t>
      </w:r>
      <w:r w:rsidRPr="008D2046">
        <w:rPr>
          <w:rFonts w:ascii="David" w:hAnsi="David" w:cs="David"/>
          <w:sz w:val="24"/>
          <w:szCs w:val="24"/>
          <w:rtl/>
        </w:rPr>
        <w:t xml:space="preserve"> </w:t>
      </w:r>
      <w:r w:rsidRPr="008D2046">
        <w:rPr>
          <w:rFonts w:ascii="David" w:hAnsi="David" w:cs="David" w:hint="eastAsia"/>
          <w:sz w:val="24"/>
          <w:szCs w:val="24"/>
          <w:rtl/>
        </w:rPr>
        <w:t>זו</w:t>
      </w:r>
      <w:r w:rsidRPr="008D2046">
        <w:rPr>
          <w:rFonts w:ascii="David" w:hAnsi="David" w:cs="David"/>
          <w:sz w:val="24"/>
          <w:szCs w:val="24"/>
          <w:rtl/>
        </w:rPr>
        <w:t xml:space="preserve"> </w:t>
      </w:r>
      <w:r w:rsidRPr="008D2046">
        <w:rPr>
          <w:rFonts w:ascii="David" w:hAnsi="David" w:cs="David" w:hint="eastAsia"/>
          <w:sz w:val="24"/>
          <w:szCs w:val="24"/>
          <w:rtl/>
        </w:rPr>
        <w:t>כבר</w:t>
      </w:r>
      <w:r w:rsidRPr="008D2046">
        <w:rPr>
          <w:rFonts w:ascii="David" w:hAnsi="David" w:cs="David"/>
          <w:sz w:val="24"/>
          <w:szCs w:val="24"/>
          <w:rtl/>
        </w:rPr>
        <w:t xml:space="preserve"> </w:t>
      </w:r>
      <w:r w:rsidRPr="008D2046">
        <w:rPr>
          <w:rFonts w:ascii="David" w:hAnsi="David" w:cs="David" w:hint="eastAsia"/>
          <w:sz w:val="24"/>
          <w:szCs w:val="24"/>
          <w:rtl/>
        </w:rPr>
        <w:t>הוכרעה</w:t>
      </w:r>
      <w:r w:rsidRPr="008D2046">
        <w:rPr>
          <w:rFonts w:ascii="David" w:hAnsi="David" w:cs="David"/>
          <w:sz w:val="24"/>
          <w:szCs w:val="24"/>
          <w:rtl/>
        </w:rPr>
        <w:t xml:space="preserve"> </w:t>
      </w:r>
      <w:r w:rsidRPr="008D2046">
        <w:rPr>
          <w:rFonts w:ascii="David" w:hAnsi="David" w:cs="David" w:hint="eastAsia"/>
          <w:sz w:val="24"/>
          <w:szCs w:val="24"/>
          <w:rtl/>
        </w:rPr>
        <w:t>על</w:t>
      </w:r>
      <w:r w:rsidRPr="008D2046">
        <w:rPr>
          <w:rFonts w:ascii="David" w:hAnsi="David" w:cs="David"/>
          <w:sz w:val="24"/>
          <w:szCs w:val="24"/>
          <w:rtl/>
        </w:rPr>
        <w:t xml:space="preserve"> </w:t>
      </w:r>
      <w:r w:rsidRPr="008D2046">
        <w:rPr>
          <w:rFonts w:ascii="David" w:hAnsi="David" w:cs="David" w:hint="eastAsia"/>
          <w:sz w:val="24"/>
          <w:szCs w:val="24"/>
          <w:rtl/>
        </w:rPr>
        <w:t>ידינו</w:t>
      </w:r>
      <w:r w:rsidRPr="008D2046">
        <w:rPr>
          <w:rFonts w:ascii="David" w:hAnsi="David" w:cs="David"/>
          <w:sz w:val="24"/>
          <w:szCs w:val="24"/>
          <w:rtl/>
        </w:rPr>
        <w:t xml:space="preserve"> </w:t>
      </w:r>
      <w:r w:rsidRPr="008D2046">
        <w:rPr>
          <w:rFonts w:ascii="David" w:hAnsi="David" w:cs="David" w:hint="eastAsia"/>
          <w:sz w:val="24"/>
          <w:szCs w:val="24"/>
          <w:rtl/>
        </w:rPr>
        <w:t>ב</w:t>
      </w:r>
      <w:r w:rsidRPr="008D2046">
        <w:rPr>
          <w:rFonts w:ascii="David" w:hAnsi="David" w:cs="David"/>
          <w:sz w:val="24"/>
          <w:szCs w:val="24"/>
          <w:rtl/>
        </w:rPr>
        <w:t xml:space="preserve">ערר (ת"א) 8153-08-21‏ ‏ </w:t>
      </w:r>
      <w:r w:rsidRPr="008D2046">
        <w:rPr>
          <w:rFonts w:ascii="David" w:hAnsi="David" w:cs="David"/>
          <w:b/>
          <w:bCs/>
          <w:sz w:val="24"/>
          <w:szCs w:val="24"/>
          <w:rtl/>
        </w:rPr>
        <w:t xml:space="preserve">הוועדה המקומית לתכנון ובניה בת ים נ' פ.פ. אפריקה </w:t>
      </w:r>
      <w:proofErr w:type="spellStart"/>
      <w:r w:rsidRPr="008D2046">
        <w:rPr>
          <w:rFonts w:ascii="David" w:hAnsi="David" w:cs="David"/>
          <w:b/>
          <w:bCs/>
          <w:sz w:val="24"/>
          <w:szCs w:val="24"/>
          <w:rtl/>
        </w:rPr>
        <w:t>אינווסט</w:t>
      </w:r>
      <w:proofErr w:type="spellEnd"/>
      <w:r w:rsidRPr="008D2046">
        <w:rPr>
          <w:rFonts w:ascii="David" w:hAnsi="David" w:cs="David"/>
          <w:b/>
          <w:bCs/>
          <w:sz w:val="24"/>
          <w:szCs w:val="24"/>
          <w:rtl/>
        </w:rPr>
        <w:t xml:space="preserve"> (2010) בע"מ</w:t>
      </w:r>
      <w:r w:rsidR="0012316A" w:rsidRPr="008D2046">
        <w:rPr>
          <w:rFonts w:ascii="David" w:hAnsi="David" w:cs="David"/>
          <w:b/>
          <w:bCs/>
          <w:sz w:val="24"/>
          <w:szCs w:val="24"/>
          <w:rtl/>
        </w:rPr>
        <w:t xml:space="preserve"> </w:t>
      </w:r>
      <w:r w:rsidR="005D5362" w:rsidRPr="008D2046">
        <w:rPr>
          <w:rFonts w:ascii="David" w:hAnsi="David" w:cs="David"/>
          <w:sz w:val="24"/>
          <w:szCs w:val="24"/>
          <w:rtl/>
        </w:rPr>
        <w:t>(נבו)</w:t>
      </w:r>
      <w:r w:rsidR="00BC3B8D">
        <w:rPr>
          <w:rFonts w:ascii="David" w:hAnsi="David" w:cs="David" w:hint="cs"/>
          <w:sz w:val="24"/>
          <w:szCs w:val="24"/>
          <w:rtl/>
        </w:rPr>
        <w:t xml:space="preserve"> (להלן: "</w:t>
      </w:r>
      <w:r w:rsidR="00BC3B8D" w:rsidRPr="00BC3B8D">
        <w:rPr>
          <w:rFonts w:ascii="David" w:hAnsi="David" w:cs="David" w:hint="cs"/>
          <w:b/>
          <w:bCs/>
          <w:sz w:val="24"/>
          <w:szCs w:val="24"/>
          <w:rtl/>
        </w:rPr>
        <w:t>אפריקה</w:t>
      </w:r>
      <w:r w:rsidR="00BC3B8D">
        <w:rPr>
          <w:rFonts w:ascii="David" w:hAnsi="David" w:cs="David" w:hint="cs"/>
          <w:sz w:val="24"/>
          <w:szCs w:val="24"/>
          <w:rtl/>
        </w:rPr>
        <w:t>")</w:t>
      </w:r>
      <w:r w:rsidR="005D5362" w:rsidRPr="008D2046">
        <w:rPr>
          <w:rFonts w:ascii="David" w:hAnsi="David" w:cs="David"/>
          <w:sz w:val="24"/>
          <w:szCs w:val="24"/>
          <w:rtl/>
        </w:rPr>
        <w:t>.</w:t>
      </w:r>
      <w:r w:rsidR="005D5362">
        <w:rPr>
          <w:rFonts w:ascii="David" w:hAnsi="David" w:cs="David" w:hint="cs"/>
          <w:b/>
          <w:bCs/>
          <w:sz w:val="24"/>
          <w:szCs w:val="24"/>
          <w:rtl/>
        </w:rPr>
        <w:t xml:space="preserve"> </w:t>
      </w:r>
      <w:r w:rsidR="0012316A" w:rsidRPr="008D2046">
        <w:rPr>
          <w:rFonts w:ascii="David" w:hAnsi="David" w:cs="David"/>
          <w:b/>
          <w:bCs/>
          <w:sz w:val="24"/>
          <w:szCs w:val="24"/>
          <w:rtl/>
        </w:rPr>
        <w:t>(</w:t>
      </w:r>
      <w:r w:rsidR="0012316A" w:rsidRPr="008D2046">
        <w:rPr>
          <w:rFonts w:ascii="David" w:hAnsi="David" w:cs="David" w:hint="eastAsia"/>
          <w:sz w:val="24"/>
          <w:szCs w:val="24"/>
          <w:rtl/>
        </w:rPr>
        <w:t>ערעור</w:t>
      </w:r>
      <w:r w:rsidR="0012316A" w:rsidRPr="008D2046">
        <w:rPr>
          <w:rFonts w:ascii="David" w:hAnsi="David" w:cs="David"/>
          <w:sz w:val="24"/>
          <w:szCs w:val="24"/>
          <w:rtl/>
        </w:rPr>
        <w:t xml:space="preserve"> כנגד החלטה זו תלוי ועומד </w:t>
      </w:r>
      <w:r w:rsidR="00BC3B8D">
        <w:rPr>
          <w:rFonts w:ascii="David" w:hAnsi="David" w:cs="David" w:hint="cs"/>
          <w:sz w:val="24"/>
          <w:szCs w:val="24"/>
          <w:rtl/>
        </w:rPr>
        <w:t>בפני בית המשפט</w:t>
      </w:r>
      <w:r w:rsidR="0012316A" w:rsidRPr="008D2046">
        <w:rPr>
          <w:rFonts w:ascii="David" w:hAnsi="David" w:cs="David"/>
          <w:sz w:val="24"/>
          <w:szCs w:val="24"/>
          <w:rtl/>
        </w:rPr>
        <w:t xml:space="preserve"> לעניינים מנהליים - </w:t>
      </w:r>
      <w:proofErr w:type="spellStart"/>
      <w:r w:rsidR="00BA3C49" w:rsidRPr="008D2046">
        <w:rPr>
          <w:rFonts w:ascii="David" w:hAnsi="David" w:cs="David"/>
          <w:sz w:val="24"/>
          <w:szCs w:val="24"/>
          <w:shd w:val="clear" w:color="auto" w:fill="FFFFFF"/>
          <w:rtl/>
        </w:rPr>
        <w:t>עמנ</w:t>
      </w:r>
      <w:proofErr w:type="spellEnd"/>
      <w:r w:rsidR="00BA3C49" w:rsidRPr="008D2046">
        <w:rPr>
          <w:rFonts w:ascii="David" w:hAnsi="David" w:cs="David"/>
          <w:sz w:val="24"/>
          <w:szCs w:val="24"/>
          <w:shd w:val="clear" w:color="auto" w:fill="FFFFFF"/>
          <w:rtl/>
        </w:rPr>
        <w:t xml:space="preserve"> (ת"א) 42917-05-25  </w:t>
      </w:r>
      <w:r w:rsidR="00BA3C49" w:rsidRPr="008D2046">
        <w:rPr>
          <w:rFonts w:ascii="David" w:hAnsi="David" w:cs="David"/>
          <w:b/>
          <w:bCs/>
          <w:sz w:val="24"/>
          <w:szCs w:val="24"/>
          <w:shd w:val="clear" w:color="auto" w:fill="FFFFFF"/>
          <w:rtl/>
        </w:rPr>
        <w:t xml:space="preserve">עיריית בת ים נ' פ.פ אפריקה </w:t>
      </w:r>
      <w:proofErr w:type="spellStart"/>
      <w:r w:rsidR="00BA3C49" w:rsidRPr="008D2046">
        <w:rPr>
          <w:rFonts w:ascii="David" w:hAnsi="David" w:cs="David"/>
          <w:b/>
          <w:bCs/>
          <w:sz w:val="24"/>
          <w:szCs w:val="24"/>
          <w:shd w:val="clear" w:color="auto" w:fill="FFFFFF"/>
          <w:rtl/>
        </w:rPr>
        <w:t>אינווסט</w:t>
      </w:r>
      <w:proofErr w:type="spellEnd"/>
      <w:r w:rsidR="00BA3C49" w:rsidRPr="008D2046">
        <w:rPr>
          <w:rFonts w:ascii="David" w:hAnsi="David" w:cs="David"/>
          <w:b/>
          <w:bCs/>
          <w:sz w:val="24"/>
          <w:szCs w:val="24"/>
          <w:shd w:val="clear" w:color="auto" w:fill="FFFFFF"/>
          <w:rtl/>
        </w:rPr>
        <w:t xml:space="preserve"> 2010 בע"מ</w:t>
      </w:r>
      <w:r w:rsidR="00BA3C49" w:rsidRPr="00BC3B8D">
        <w:rPr>
          <w:rFonts w:ascii="David" w:hAnsi="David" w:cs="David"/>
          <w:sz w:val="24"/>
          <w:szCs w:val="24"/>
          <w:shd w:val="clear" w:color="auto" w:fill="FFFFFF"/>
          <w:rtl/>
        </w:rPr>
        <w:t>)</w:t>
      </w:r>
      <w:r w:rsidR="00B15C82" w:rsidRPr="00BC3B8D">
        <w:rPr>
          <w:rFonts w:ascii="David" w:hAnsi="David" w:cs="David" w:hint="cs"/>
          <w:sz w:val="24"/>
          <w:szCs w:val="24"/>
          <w:rtl/>
        </w:rPr>
        <w:t>.</w:t>
      </w:r>
    </w:p>
    <w:p w14:paraId="7573A28B" w14:textId="77777777" w:rsidR="00A8602B" w:rsidRPr="008D2046" w:rsidRDefault="00A8602B" w:rsidP="001302AA">
      <w:pPr>
        <w:pStyle w:val="a9"/>
        <w:numPr>
          <w:ilvl w:val="0"/>
          <w:numId w:val="1"/>
        </w:numPr>
        <w:spacing w:line="360" w:lineRule="auto"/>
        <w:ind w:left="44" w:hanging="425"/>
        <w:contextualSpacing w:val="0"/>
        <w:jc w:val="both"/>
        <w:rPr>
          <w:rFonts w:ascii="David" w:hAnsi="David" w:cs="David"/>
          <w:b/>
          <w:bCs/>
          <w:sz w:val="24"/>
          <w:szCs w:val="24"/>
          <w:u w:val="single"/>
          <w:rtl/>
        </w:rPr>
      </w:pPr>
      <w:r w:rsidRPr="008D2046">
        <w:rPr>
          <w:rFonts w:ascii="David" w:hAnsi="David" w:cs="David" w:hint="eastAsia"/>
          <w:b/>
          <w:bCs/>
          <w:sz w:val="24"/>
          <w:szCs w:val="24"/>
          <w:u w:val="single"/>
          <w:rtl/>
        </w:rPr>
        <w:t>כך</w:t>
      </w:r>
      <w:r w:rsidRPr="008D2046">
        <w:rPr>
          <w:rFonts w:ascii="David" w:hAnsi="David" w:cs="David"/>
          <w:b/>
          <w:bCs/>
          <w:sz w:val="24"/>
          <w:szCs w:val="24"/>
          <w:u w:val="single"/>
          <w:rtl/>
        </w:rPr>
        <w:t xml:space="preserve"> </w:t>
      </w:r>
      <w:r w:rsidRPr="008D2046">
        <w:rPr>
          <w:rFonts w:ascii="David" w:hAnsi="David" w:cs="David" w:hint="eastAsia"/>
          <w:b/>
          <w:bCs/>
          <w:sz w:val="24"/>
          <w:szCs w:val="24"/>
          <w:u w:val="single"/>
          <w:rtl/>
        </w:rPr>
        <w:t>קבענו</w:t>
      </w:r>
      <w:r w:rsidR="00A8665B" w:rsidRPr="008D2046">
        <w:rPr>
          <w:rFonts w:ascii="David" w:hAnsi="David" w:cs="David"/>
          <w:b/>
          <w:bCs/>
          <w:sz w:val="24"/>
          <w:szCs w:val="24"/>
          <w:u w:val="single"/>
          <w:rtl/>
        </w:rPr>
        <w:t xml:space="preserve"> בעניין אפריקה ודברים אלו נכונים גם לענייננו:</w:t>
      </w:r>
    </w:p>
    <w:p w14:paraId="702FB0DE" w14:textId="77777777" w:rsidR="00A8665B" w:rsidRPr="008D2046" w:rsidRDefault="00A8665B" w:rsidP="00420C5B">
      <w:pPr>
        <w:pStyle w:val="a9"/>
        <w:numPr>
          <w:ilvl w:val="0"/>
          <w:numId w:val="10"/>
        </w:numPr>
        <w:spacing w:line="360" w:lineRule="auto"/>
        <w:ind w:left="44" w:right="426" w:firstLine="0"/>
        <w:contextualSpacing w:val="0"/>
        <w:jc w:val="both"/>
        <w:rPr>
          <w:rFonts w:ascii="David" w:hAnsi="David" w:cs="David"/>
          <w:b/>
          <w:bCs/>
          <w:sz w:val="24"/>
          <w:szCs w:val="24"/>
        </w:rPr>
      </w:pPr>
      <w:r w:rsidRPr="008D2046">
        <w:rPr>
          <w:rFonts w:ascii="David" w:hAnsi="David" w:cs="David" w:hint="eastAsia"/>
          <w:b/>
          <w:bCs/>
          <w:sz w:val="24"/>
          <w:szCs w:val="24"/>
          <w:rtl/>
        </w:rPr>
        <w:t>ראשית</w:t>
      </w:r>
      <w:r w:rsidRPr="008D2046">
        <w:rPr>
          <w:rFonts w:ascii="David" w:hAnsi="David" w:cs="David"/>
          <w:b/>
          <w:bCs/>
          <w:sz w:val="24"/>
          <w:szCs w:val="24"/>
          <w:rtl/>
        </w:rPr>
        <w:t xml:space="preserve">, </w:t>
      </w:r>
      <w:r w:rsidRPr="008D2046">
        <w:rPr>
          <w:rFonts w:ascii="David" w:hAnsi="David" w:cs="David" w:hint="eastAsia"/>
          <w:b/>
          <w:bCs/>
          <w:sz w:val="24"/>
          <w:szCs w:val="24"/>
          <w:rtl/>
        </w:rPr>
        <w:t>אנו</w:t>
      </w:r>
      <w:r w:rsidRPr="008D2046">
        <w:rPr>
          <w:rFonts w:ascii="David" w:hAnsi="David" w:cs="David"/>
          <w:b/>
          <w:bCs/>
          <w:sz w:val="24"/>
          <w:szCs w:val="24"/>
          <w:rtl/>
        </w:rPr>
        <w:t xml:space="preserve"> </w:t>
      </w:r>
      <w:r w:rsidRPr="008D2046">
        <w:rPr>
          <w:rFonts w:ascii="David" w:hAnsi="David" w:cs="David" w:hint="eastAsia"/>
          <w:b/>
          <w:bCs/>
          <w:sz w:val="24"/>
          <w:szCs w:val="24"/>
          <w:rtl/>
        </w:rPr>
        <w:t>מפנים</w:t>
      </w:r>
      <w:r w:rsidRPr="008D2046">
        <w:rPr>
          <w:rFonts w:ascii="David" w:hAnsi="David" w:cs="David"/>
          <w:b/>
          <w:bCs/>
          <w:sz w:val="24"/>
          <w:szCs w:val="24"/>
          <w:rtl/>
        </w:rPr>
        <w:t xml:space="preserve"> </w:t>
      </w:r>
      <w:r w:rsidRPr="008D2046">
        <w:rPr>
          <w:rFonts w:ascii="David" w:hAnsi="David" w:cs="David" w:hint="eastAsia"/>
          <w:b/>
          <w:bCs/>
          <w:sz w:val="24"/>
          <w:szCs w:val="24"/>
          <w:rtl/>
        </w:rPr>
        <w:t>בעניין</w:t>
      </w:r>
      <w:r w:rsidRPr="008D2046">
        <w:rPr>
          <w:rFonts w:ascii="David" w:hAnsi="David" w:cs="David"/>
          <w:b/>
          <w:bCs/>
          <w:sz w:val="24"/>
          <w:szCs w:val="24"/>
          <w:rtl/>
        </w:rPr>
        <w:t xml:space="preserve"> </w:t>
      </w:r>
      <w:r w:rsidRPr="008D2046">
        <w:rPr>
          <w:rFonts w:ascii="David" w:hAnsi="David" w:cs="David" w:hint="eastAsia"/>
          <w:b/>
          <w:bCs/>
          <w:sz w:val="24"/>
          <w:szCs w:val="24"/>
          <w:rtl/>
        </w:rPr>
        <w:t>זה</w:t>
      </w:r>
      <w:r w:rsidRPr="008D2046">
        <w:rPr>
          <w:rFonts w:ascii="David" w:hAnsi="David" w:cs="David"/>
          <w:b/>
          <w:bCs/>
          <w:sz w:val="24"/>
          <w:szCs w:val="24"/>
          <w:rtl/>
        </w:rPr>
        <w:t xml:space="preserve"> </w:t>
      </w:r>
      <w:r w:rsidRPr="008D2046">
        <w:rPr>
          <w:rFonts w:ascii="David" w:hAnsi="David" w:cs="David" w:hint="eastAsia"/>
          <w:b/>
          <w:bCs/>
          <w:sz w:val="24"/>
          <w:szCs w:val="24"/>
          <w:rtl/>
        </w:rPr>
        <w:t>להחלטת</w:t>
      </w:r>
      <w:r w:rsidRPr="008D2046">
        <w:rPr>
          <w:rFonts w:ascii="David" w:hAnsi="David" w:cs="David"/>
          <w:b/>
          <w:bCs/>
          <w:sz w:val="24"/>
          <w:szCs w:val="24"/>
          <w:rtl/>
        </w:rPr>
        <w:t xml:space="preserve"> </w:t>
      </w:r>
      <w:r w:rsidRPr="008D2046">
        <w:rPr>
          <w:rFonts w:ascii="David" w:hAnsi="David" w:cs="David" w:hint="eastAsia"/>
          <w:b/>
          <w:bCs/>
          <w:sz w:val="24"/>
          <w:szCs w:val="24"/>
          <w:rtl/>
        </w:rPr>
        <w:t>ועדת</w:t>
      </w:r>
      <w:r w:rsidRPr="008D2046">
        <w:rPr>
          <w:rFonts w:ascii="David" w:hAnsi="David" w:cs="David"/>
          <w:b/>
          <w:bCs/>
          <w:sz w:val="24"/>
          <w:szCs w:val="24"/>
          <w:rtl/>
        </w:rPr>
        <w:t xml:space="preserve"> </w:t>
      </w:r>
      <w:r w:rsidRPr="008D2046">
        <w:rPr>
          <w:rFonts w:ascii="David" w:hAnsi="David" w:cs="David" w:hint="eastAsia"/>
          <w:b/>
          <w:bCs/>
          <w:sz w:val="24"/>
          <w:szCs w:val="24"/>
          <w:rtl/>
        </w:rPr>
        <w:t>הערר</w:t>
      </w:r>
      <w:r w:rsidRPr="008D2046">
        <w:rPr>
          <w:rFonts w:ascii="David" w:hAnsi="David" w:cs="David"/>
          <w:b/>
          <w:bCs/>
          <w:sz w:val="24"/>
          <w:szCs w:val="24"/>
          <w:rtl/>
        </w:rPr>
        <w:t xml:space="preserve"> (בראשות </w:t>
      </w:r>
      <w:r w:rsidRPr="008D2046">
        <w:rPr>
          <w:rFonts w:ascii="David" w:hAnsi="David" w:cs="David" w:hint="eastAsia"/>
          <w:b/>
          <w:bCs/>
          <w:sz w:val="24"/>
          <w:szCs w:val="24"/>
          <w:rtl/>
        </w:rPr>
        <w:t>כבוד</w:t>
      </w:r>
      <w:r w:rsidRPr="008D2046">
        <w:rPr>
          <w:rFonts w:ascii="David" w:hAnsi="David" w:cs="David"/>
          <w:b/>
          <w:bCs/>
          <w:sz w:val="24"/>
          <w:szCs w:val="24"/>
          <w:rtl/>
        </w:rPr>
        <w:t xml:space="preserve"> </w:t>
      </w:r>
      <w:r w:rsidRPr="008D2046">
        <w:rPr>
          <w:rFonts w:ascii="David" w:hAnsi="David" w:cs="David" w:hint="eastAsia"/>
          <w:b/>
          <w:bCs/>
          <w:sz w:val="24"/>
          <w:szCs w:val="24"/>
          <w:rtl/>
        </w:rPr>
        <w:t>היו</w:t>
      </w:r>
      <w:r w:rsidRPr="008D2046">
        <w:rPr>
          <w:rFonts w:ascii="David" w:hAnsi="David" w:cs="David"/>
          <w:b/>
          <w:bCs/>
          <w:sz w:val="24"/>
          <w:szCs w:val="24"/>
          <w:rtl/>
        </w:rPr>
        <w:t xml:space="preserve">"ר </w:t>
      </w:r>
      <w:r w:rsidRPr="008D2046">
        <w:rPr>
          <w:rFonts w:ascii="David" w:hAnsi="David" w:cs="David" w:hint="eastAsia"/>
          <w:b/>
          <w:bCs/>
          <w:sz w:val="24"/>
          <w:szCs w:val="24"/>
          <w:rtl/>
        </w:rPr>
        <w:t>עו</w:t>
      </w:r>
      <w:r w:rsidRPr="008D2046">
        <w:rPr>
          <w:rFonts w:ascii="David" w:hAnsi="David" w:cs="David"/>
          <w:b/>
          <w:bCs/>
          <w:sz w:val="24"/>
          <w:szCs w:val="24"/>
          <w:rtl/>
        </w:rPr>
        <w:t xml:space="preserve">"ד </w:t>
      </w:r>
      <w:r w:rsidRPr="008D2046">
        <w:rPr>
          <w:rFonts w:ascii="David" w:hAnsi="David" w:cs="David" w:hint="eastAsia"/>
          <w:b/>
          <w:bCs/>
          <w:sz w:val="24"/>
          <w:szCs w:val="24"/>
          <w:rtl/>
        </w:rPr>
        <w:t>מאיה</w:t>
      </w:r>
      <w:r w:rsidRPr="008D2046">
        <w:rPr>
          <w:rFonts w:ascii="David" w:hAnsi="David" w:cs="David"/>
          <w:b/>
          <w:bCs/>
          <w:sz w:val="24"/>
          <w:szCs w:val="24"/>
          <w:rtl/>
        </w:rPr>
        <w:t xml:space="preserve"> </w:t>
      </w:r>
      <w:r w:rsidRPr="008D2046">
        <w:rPr>
          <w:rFonts w:ascii="David" w:hAnsi="David" w:cs="David" w:hint="eastAsia"/>
          <w:b/>
          <w:bCs/>
          <w:sz w:val="24"/>
          <w:szCs w:val="24"/>
          <w:rtl/>
        </w:rPr>
        <w:t>אשכנזי</w:t>
      </w:r>
      <w:r w:rsidRPr="008D2046">
        <w:rPr>
          <w:rFonts w:ascii="David" w:hAnsi="David" w:cs="David"/>
          <w:b/>
          <w:bCs/>
          <w:sz w:val="24"/>
          <w:szCs w:val="24"/>
          <w:rtl/>
        </w:rPr>
        <w:t xml:space="preserve">) </w:t>
      </w:r>
      <w:r w:rsidRPr="008D2046">
        <w:rPr>
          <w:rFonts w:ascii="David" w:hAnsi="David" w:cs="David" w:hint="eastAsia"/>
          <w:b/>
          <w:bCs/>
          <w:sz w:val="24"/>
          <w:szCs w:val="24"/>
          <w:rtl/>
        </w:rPr>
        <w:t>ב</w:t>
      </w:r>
      <w:r w:rsidRPr="008D2046">
        <w:rPr>
          <w:rFonts w:ascii="David" w:hAnsi="David" w:cs="David"/>
          <w:b/>
          <w:bCs/>
          <w:sz w:val="24"/>
          <w:szCs w:val="24"/>
          <w:rtl/>
        </w:rPr>
        <w:t xml:space="preserve">ערר </w:t>
      </w:r>
      <w:r w:rsidRPr="008D2046">
        <w:rPr>
          <w:rFonts w:ascii="David" w:hAnsi="David" w:cs="David" w:hint="eastAsia"/>
          <w:b/>
          <w:bCs/>
          <w:sz w:val="24"/>
          <w:szCs w:val="24"/>
          <w:rtl/>
        </w:rPr>
        <w:t>מרכז</w:t>
      </w:r>
      <w:r w:rsidRPr="008D2046">
        <w:rPr>
          <w:rFonts w:ascii="David" w:hAnsi="David" w:cs="David"/>
          <w:b/>
          <w:bCs/>
          <w:sz w:val="24"/>
          <w:szCs w:val="24"/>
          <w:rtl/>
        </w:rPr>
        <w:t xml:space="preserve"> </w:t>
      </w:r>
      <w:proofErr w:type="spellStart"/>
      <w:r w:rsidRPr="008D2046">
        <w:rPr>
          <w:rFonts w:ascii="David" w:hAnsi="David" w:cs="David" w:hint="eastAsia"/>
          <w:b/>
          <w:bCs/>
          <w:sz w:val="24"/>
          <w:szCs w:val="24"/>
          <w:rtl/>
        </w:rPr>
        <w:t>תבורי</w:t>
      </w:r>
      <w:proofErr w:type="spellEnd"/>
      <w:r w:rsidRPr="008D2046">
        <w:rPr>
          <w:rFonts w:ascii="David" w:hAnsi="David" w:cs="David"/>
          <w:b/>
          <w:bCs/>
          <w:sz w:val="24"/>
          <w:szCs w:val="24"/>
          <w:rtl/>
        </w:rPr>
        <w:t xml:space="preserve">. איננו סבורים כי יש בטענות החברה כדי לשנות מהאמור בהחלטה זו ומהקבוע בה. די בהחלטה זו כדי לדחות את טענות החברה. </w:t>
      </w:r>
    </w:p>
    <w:p w14:paraId="07FE649D" w14:textId="2243DA14" w:rsidR="007851EB" w:rsidRDefault="007851EB" w:rsidP="007851EB">
      <w:pPr>
        <w:pStyle w:val="NormalWeb"/>
        <w:bidi/>
        <w:spacing w:before="240" w:beforeAutospacing="0" w:after="240" w:afterAutospacing="0"/>
        <w:ind w:left="44" w:right="426"/>
        <w:jc w:val="both"/>
        <w:rPr>
          <w:rFonts w:ascii="David" w:hAnsi="David" w:cs="David"/>
          <w:b/>
          <w:bCs/>
        </w:rPr>
      </w:pPr>
      <w:r>
        <w:rPr>
          <w:rFonts w:ascii="David" w:hAnsi="David" w:cs="David" w:hint="cs"/>
          <w:b/>
          <w:bCs/>
          <w:rtl/>
        </w:rPr>
        <w:t>......................</w:t>
      </w:r>
    </w:p>
    <w:p w14:paraId="2EF8DDAB" w14:textId="712DE02F" w:rsidR="00A8665B" w:rsidRPr="008D2046" w:rsidRDefault="00A8665B" w:rsidP="007851EB">
      <w:pPr>
        <w:pStyle w:val="NormalWeb"/>
        <w:bidi/>
        <w:spacing w:before="240" w:beforeAutospacing="0" w:after="240" w:afterAutospacing="0"/>
        <w:ind w:left="44" w:right="426"/>
        <w:jc w:val="both"/>
        <w:rPr>
          <w:rFonts w:ascii="David" w:hAnsi="David" w:cs="David"/>
          <w:b/>
          <w:bCs/>
        </w:rPr>
      </w:pPr>
      <w:r w:rsidRPr="008D2046">
        <w:rPr>
          <w:rFonts w:ascii="David" w:hAnsi="David" w:cs="David"/>
          <w:b/>
          <w:bCs/>
          <w:noProof/>
          <w:color w:val="000000"/>
          <w:sz w:val="26"/>
          <w:szCs w:val="26"/>
          <w:bdr w:val="none" w:sz="0" w:space="0" w:color="auto" w:frame="1"/>
        </w:rPr>
        <w:drawing>
          <wp:anchor distT="0" distB="0" distL="114300" distR="114300" simplePos="0" relativeHeight="251663360" behindDoc="0" locked="0" layoutInCell="1" allowOverlap="1" wp14:anchorId="4251EDB1" wp14:editId="4D187BE7">
            <wp:simplePos x="0" y="0"/>
            <wp:positionH relativeFrom="column">
              <wp:posOffset>1002500</wp:posOffset>
            </wp:positionH>
            <wp:positionV relativeFrom="paragraph">
              <wp:posOffset>2750571</wp:posOffset>
            </wp:positionV>
            <wp:extent cx="3552190" cy="1351280"/>
            <wp:effectExtent l="0" t="0" r="0" b="1270"/>
            <wp:wrapTopAndBottom/>
            <wp:docPr id="10" name="תמונה 10" descr="https://lh7-rt.googleusercontent.com/docsz/AD_4nXdx7q0ADtHGsbwEfe49b1HLHUHgE1ZdC975clsTKmxxz7jVKBMs5nByYhEzxUAmGmIJETkmc37b3XCZhI2aNN8JEQUq7fXIabuLW-HEJjjQsKkYpcTOGUnLlOLvL3g_cxRgbG2NHDyMpvc-uDGjQt8?key=RVYFH_o_0zWu2GkvfLrJPr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rt.googleusercontent.com/docsz/AD_4nXdx7q0ADtHGsbwEfe49b1HLHUHgE1ZdC975clsTKmxxz7jVKBMs5nByYhEzxUAmGmIJETkmc37b3XCZhI2aNN8JEQUq7fXIabuLW-HEJjjQsKkYpcTOGUnLlOLvL3g_cxRgbG2NHDyMpvc-uDGjQt8?key=RVYFH_o_0zWu2GkvfLrJPrF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52190" cy="1351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2046">
        <w:rPr>
          <w:rFonts w:ascii="David" w:hAnsi="David" w:cs="David"/>
          <w:b/>
          <w:bCs/>
          <w:rtl/>
        </w:rPr>
        <w:t xml:space="preserve">אנו סבורים כי שוגה </w:t>
      </w:r>
      <w:r w:rsidRPr="008D2046">
        <w:rPr>
          <w:rFonts w:ascii="David" w:hAnsi="David" w:cs="David" w:hint="eastAsia"/>
          <w:b/>
          <w:bCs/>
          <w:rtl/>
        </w:rPr>
        <w:t>החברה</w:t>
      </w:r>
      <w:r w:rsidRPr="008D2046">
        <w:rPr>
          <w:rFonts w:ascii="David" w:hAnsi="David" w:cs="David"/>
          <w:b/>
          <w:bCs/>
          <w:rtl/>
        </w:rPr>
        <w:t xml:space="preserve"> בעמדתה ונסביר.</w:t>
      </w:r>
    </w:p>
    <w:p w14:paraId="1C5CC057" w14:textId="77777777" w:rsidR="00A8665B" w:rsidRPr="008D2046" w:rsidRDefault="00A8665B" w:rsidP="00420C5B">
      <w:pPr>
        <w:pStyle w:val="a9"/>
        <w:numPr>
          <w:ilvl w:val="0"/>
          <w:numId w:val="10"/>
        </w:numPr>
        <w:spacing w:line="360" w:lineRule="auto"/>
        <w:ind w:left="44" w:right="426" w:firstLine="0"/>
        <w:contextualSpacing w:val="0"/>
        <w:jc w:val="both"/>
        <w:rPr>
          <w:rFonts w:ascii="David" w:hAnsi="David" w:cs="David"/>
          <w:b/>
          <w:bCs/>
          <w:sz w:val="24"/>
          <w:szCs w:val="24"/>
          <w:rtl/>
        </w:rPr>
      </w:pPr>
      <w:r w:rsidRPr="008D2046">
        <w:rPr>
          <w:rFonts w:ascii="David" w:hAnsi="David" w:cs="David" w:hint="eastAsia"/>
          <w:b/>
          <w:bCs/>
          <w:sz w:val="24"/>
          <w:szCs w:val="24"/>
          <w:rtl/>
        </w:rPr>
        <w:t>נזכיר</w:t>
      </w:r>
      <w:r w:rsidRPr="008D2046">
        <w:rPr>
          <w:rFonts w:ascii="David" w:hAnsi="David" w:cs="David"/>
          <w:b/>
          <w:bCs/>
          <w:sz w:val="24"/>
          <w:szCs w:val="24"/>
          <w:rtl/>
        </w:rPr>
        <w:t xml:space="preserve"> </w:t>
      </w:r>
      <w:r w:rsidRPr="008D2046">
        <w:rPr>
          <w:rFonts w:ascii="David" w:hAnsi="David" w:cs="David" w:hint="eastAsia"/>
          <w:b/>
          <w:bCs/>
          <w:sz w:val="24"/>
          <w:szCs w:val="24"/>
          <w:rtl/>
        </w:rPr>
        <w:t>מושכלות</w:t>
      </w:r>
      <w:r w:rsidRPr="008D2046">
        <w:rPr>
          <w:rFonts w:ascii="David" w:hAnsi="David" w:cs="David"/>
          <w:b/>
          <w:bCs/>
          <w:sz w:val="24"/>
          <w:szCs w:val="24"/>
          <w:rtl/>
        </w:rPr>
        <w:t xml:space="preserve"> </w:t>
      </w:r>
      <w:r w:rsidRPr="008D2046">
        <w:rPr>
          <w:rFonts w:ascii="David" w:hAnsi="David" w:cs="David" w:hint="eastAsia"/>
          <w:b/>
          <w:bCs/>
          <w:sz w:val="24"/>
          <w:szCs w:val="24"/>
          <w:rtl/>
        </w:rPr>
        <w:t>יסוד</w:t>
      </w:r>
      <w:r w:rsidRPr="008D2046">
        <w:rPr>
          <w:rFonts w:ascii="David" w:hAnsi="David" w:cs="David"/>
          <w:b/>
          <w:bCs/>
          <w:sz w:val="24"/>
          <w:szCs w:val="24"/>
          <w:rtl/>
        </w:rPr>
        <w:t xml:space="preserve"> - היטל ההשבחה נקבע בהתאם לעקרון ההתעשרות של בעל המקרקעין! </w:t>
      </w:r>
    </w:p>
    <w:p w14:paraId="2D4B8D91" w14:textId="77777777" w:rsidR="00A8665B" w:rsidRPr="008D2046" w:rsidRDefault="00A8665B" w:rsidP="00420C5B">
      <w:pPr>
        <w:pStyle w:val="a9"/>
        <w:numPr>
          <w:ilvl w:val="0"/>
          <w:numId w:val="10"/>
        </w:numPr>
        <w:spacing w:line="360" w:lineRule="auto"/>
        <w:ind w:left="44" w:right="426" w:firstLine="0"/>
        <w:contextualSpacing w:val="0"/>
        <w:jc w:val="both"/>
        <w:rPr>
          <w:rFonts w:ascii="David" w:hAnsi="David" w:cs="David"/>
          <w:b/>
          <w:bCs/>
          <w:rtl/>
        </w:rPr>
      </w:pPr>
      <w:r w:rsidRPr="008D2046">
        <w:rPr>
          <w:rFonts w:ascii="David" w:hAnsi="David" w:cs="David"/>
          <w:b/>
          <w:bCs/>
          <w:sz w:val="24"/>
          <w:szCs w:val="24"/>
          <w:rtl/>
        </w:rPr>
        <w:t xml:space="preserve">כך למשל נקבע </w:t>
      </w:r>
      <w:proofErr w:type="spellStart"/>
      <w:r w:rsidRPr="008D2046">
        <w:rPr>
          <w:rFonts w:ascii="David" w:hAnsi="David" w:cs="David"/>
          <w:b/>
          <w:bCs/>
          <w:sz w:val="24"/>
          <w:szCs w:val="24"/>
          <w:rtl/>
        </w:rPr>
        <w:t>עמנ</w:t>
      </w:r>
      <w:proofErr w:type="spellEnd"/>
      <w:r w:rsidRPr="008D2046">
        <w:rPr>
          <w:rFonts w:ascii="David" w:hAnsi="David" w:cs="David"/>
          <w:b/>
          <w:bCs/>
          <w:sz w:val="24"/>
          <w:szCs w:val="24"/>
          <w:rtl/>
        </w:rPr>
        <w:t xml:space="preserve"> (ת"א) 21688-06-24‏ </w:t>
      </w:r>
      <w:r w:rsidRPr="00346670">
        <w:rPr>
          <w:rFonts w:ascii="David" w:hAnsi="David" w:cs="David"/>
          <w:b/>
          <w:bCs/>
          <w:sz w:val="24"/>
          <w:szCs w:val="24"/>
          <w:rtl/>
        </w:rPr>
        <w:t>הוועדה מקומית לתכנון ולבניה תל אביב-יפו נ' אשדר חברה לבניה בע"מ</w:t>
      </w:r>
      <w:r w:rsidRPr="008D2046">
        <w:rPr>
          <w:rFonts w:ascii="David" w:hAnsi="David" w:cs="David"/>
          <w:b/>
          <w:bCs/>
          <w:sz w:val="24"/>
          <w:szCs w:val="24"/>
          <w:rtl/>
        </w:rPr>
        <w:t xml:space="preserve"> (נבו):</w:t>
      </w:r>
    </w:p>
    <w:p w14:paraId="4682C3D9" w14:textId="77777777" w:rsidR="00A8665B" w:rsidRPr="00346670" w:rsidRDefault="00A8665B" w:rsidP="00420C5B">
      <w:pPr>
        <w:spacing w:line="360" w:lineRule="auto"/>
        <w:ind w:left="44" w:right="426"/>
        <w:jc w:val="both"/>
        <w:rPr>
          <w:rFonts w:ascii="David" w:hAnsi="David" w:cs="David"/>
          <w:b/>
          <w:bCs/>
          <w:sz w:val="24"/>
          <w:szCs w:val="24"/>
          <w:rtl/>
        </w:rPr>
      </w:pPr>
      <w:r w:rsidRPr="00346670">
        <w:rPr>
          <w:rFonts w:ascii="David" w:hAnsi="David" w:cs="David"/>
          <w:b/>
          <w:bCs/>
          <w:sz w:val="24"/>
          <w:szCs w:val="24"/>
          <w:rtl/>
        </w:rPr>
        <w:t xml:space="preserve">"הדעה המקובלת בפסיקה הישראלית, וכן בקרב המלומדים, הינה, כי הבסיס הרעיוני לגביית היטל ההשבחה הינו דיני עשיית עושר ולא במשפט, ובפרט העיקרון הבסיסי על פיו, כאשר בעל המקרקעין מתעשר כתוצאה מאקט תכנוני, עליו לחלוק התעשרות זו עם הקהילה. לעניין זה ר' דברי המבוא להצעת החוק (הצעת חוק 1491) במסגרתה, הוספו לספר החוקים </w:t>
      </w:r>
      <w:hyperlink r:id="rId19" w:history="1">
        <w:r w:rsidRPr="00346670">
          <w:rPr>
            <w:rFonts w:ascii="David" w:hAnsi="David" w:cs="David"/>
            <w:b/>
            <w:bCs/>
            <w:sz w:val="24"/>
            <w:szCs w:val="24"/>
            <w:rtl/>
          </w:rPr>
          <w:t>סעיף 196א</w:t>
        </w:r>
      </w:hyperlink>
      <w:r w:rsidRPr="00346670">
        <w:rPr>
          <w:rFonts w:ascii="David" w:hAnsi="David" w:cs="David"/>
          <w:b/>
          <w:bCs/>
          <w:sz w:val="24"/>
          <w:szCs w:val="24"/>
          <w:rtl/>
        </w:rPr>
        <w:t xml:space="preserve"> ל</w:t>
      </w:r>
      <w:hyperlink r:id="rId20" w:history="1">
        <w:r w:rsidRPr="00346670">
          <w:rPr>
            <w:rFonts w:ascii="David" w:hAnsi="David" w:cs="David"/>
            <w:b/>
            <w:bCs/>
            <w:sz w:val="24"/>
            <w:szCs w:val="24"/>
            <w:rtl/>
          </w:rPr>
          <w:t>חוק התכנון והבניה</w:t>
        </w:r>
      </w:hyperlink>
      <w:r w:rsidRPr="00346670">
        <w:rPr>
          <w:rFonts w:ascii="David" w:hAnsi="David" w:cs="David"/>
          <w:b/>
          <w:bCs/>
          <w:sz w:val="24"/>
          <w:szCs w:val="24"/>
          <w:rtl/>
        </w:rPr>
        <w:t xml:space="preserve"> והתוספת השלישית לחוק (תיקון מס' 18 לחוק):</w:t>
      </w:r>
    </w:p>
    <w:p w14:paraId="21A0434F" w14:textId="77777777" w:rsidR="00A8665B" w:rsidRPr="00346670" w:rsidRDefault="00A8665B" w:rsidP="00420C5B">
      <w:pPr>
        <w:spacing w:line="360" w:lineRule="auto"/>
        <w:ind w:left="44" w:right="426"/>
        <w:jc w:val="both"/>
        <w:rPr>
          <w:rFonts w:ascii="David" w:hAnsi="David" w:cs="David"/>
          <w:b/>
          <w:bCs/>
          <w:sz w:val="24"/>
          <w:szCs w:val="24"/>
          <w:rtl/>
        </w:rPr>
      </w:pPr>
      <w:r w:rsidRPr="00346670">
        <w:rPr>
          <w:rFonts w:ascii="David" w:hAnsi="David" w:cs="David"/>
          <w:b/>
          <w:bCs/>
          <w:sz w:val="24"/>
          <w:szCs w:val="24"/>
          <w:rtl/>
        </w:rPr>
        <w:t xml:space="preserve">"היסוד הרעיוני להטלת המס נעוץ בדיני "עשיית עושר ולא במשפט", לאמור: אם הרשות הציבורית משקיעה בתכנון ובפיתוח, וכתוצאה מכך עולים נכסים בערכם, מן הראוי שבעלי הנכסים </w:t>
      </w:r>
      <w:proofErr w:type="spellStart"/>
      <w:r w:rsidRPr="00346670">
        <w:rPr>
          <w:rFonts w:ascii="David" w:hAnsi="David" w:cs="David"/>
          <w:b/>
          <w:bCs/>
          <w:sz w:val="24"/>
          <w:szCs w:val="24"/>
          <w:rtl/>
        </w:rPr>
        <w:t>ישאו</w:t>
      </w:r>
      <w:proofErr w:type="spellEnd"/>
      <w:r w:rsidRPr="00346670">
        <w:rPr>
          <w:rFonts w:ascii="David" w:hAnsi="David" w:cs="David"/>
          <w:b/>
          <w:bCs/>
          <w:sz w:val="24"/>
          <w:szCs w:val="24"/>
          <w:rtl/>
        </w:rPr>
        <w:t xml:space="preserve"> בחלק מהוצאות התכנון והפיתוח."</w:t>
      </w:r>
    </w:p>
    <w:p w14:paraId="1C43019F" w14:textId="77777777" w:rsidR="00A8665B" w:rsidRPr="00346670" w:rsidRDefault="00A8665B" w:rsidP="00420C5B">
      <w:pPr>
        <w:spacing w:line="360" w:lineRule="auto"/>
        <w:ind w:left="44" w:right="426"/>
        <w:jc w:val="both"/>
        <w:rPr>
          <w:rFonts w:ascii="David" w:hAnsi="David" w:cs="David"/>
          <w:b/>
          <w:bCs/>
          <w:sz w:val="24"/>
          <w:szCs w:val="24"/>
          <w:rtl/>
        </w:rPr>
      </w:pPr>
      <w:r w:rsidRPr="00346670">
        <w:rPr>
          <w:rFonts w:ascii="David" w:hAnsi="David" w:cs="David"/>
          <w:b/>
          <w:bCs/>
          <w:sz w:val="24"/>
          <w:szCs w:val="24"/>
          <w:rtl/>
        </w:rPr>
        <w:t>ור' ביטויו של רעיון זה בפסיקה בעניין בית הכרם לעיל:</w:t>
      </w:r>
    </w:p>
    <w:p w14:paraId="51A1F505" w14:textId="77777777" w:rsidR="00A8665B" w:rsidRPr="00346670" w:rsidRDefault="00A8665B" w:rsidP="00420C5B">
      <w:pPr>
        <w:spacing w:line="360" w:lineRule="auto"/>
        <w:ind w:left="44" w:right="426"/>
        <w:jc w:val="both"/>
        <w:rPr>
          <w:rFonts w:ascii="David" w:hAnsi="David" w:cs="David"/>
          <w:b/>
          <w:bCs/>
          <w:rtl/>
        </w:rPr>
      </w:pPr>
      <w:r w:rsidRPr="00346670">
        <w:rPr>
          <w:rFonts w:ascii="David" w:hAnsi="David" w:cs="David"/>
          <w:b/>
          <w:bCs/>
          <w:sz w:val="24"/>
          <w:szCs w:val="24"/>
          <w:rtl/>
        </w:rPr>
        <w:t xml:space="preserve">"פלוני שנתעשר אך בשל שינויי תכנון שנערכו לפי חוקי </w:t>
      </w:r>
      <w:hyperlink r:id="rId21" w:history="1">
        <w:r w:rsidRPr="008D2046">
          <w:rPr>
            <w:b/>
            <w:bCs/>
            <w:sz w:val="24"/>
            <w:szCs w:val="24"/>
            <w:rtl/>
          </w:rPr>
          <w:t>חוק התכנון והבניה</w:t>
        </w:r>
      </w:hyperlink>
      <w:r w:rsidRPr="00346670">
        <w:rPr>
          <w:rFonts w:ascii="David" w:hAnsi="David" w:cs="David"/>
          <w:b/>
          <w:bCs/>
          <w:sz w:val="24"/>
          <w:szCs w:val="24"/>
          <w:rtl/>
        </w:rPr>
        <w:t xml:space="preserve"> – לאמור, נתעשר אך בשל פעילות נורמטיבית של רשויות הציבור – ראוי לו שישתף את הקהילה באותה התעשרות שנתעשר"</w:t>
      </w:r>
    </w:p>
    <w:p w14:paraId="4D41ACDD" w14:textId="77777777" w:rsidR="00A8665B" w:rsidRPr="00346670" w:rsidRDefault="00A8665B" w:rsidP="00420C5B">
      <w:pPr>
        <w:spacing w:line="360" w:lineRule="auto"/>
        <w:ind w:left="44" w:right="426"/>
        <w:jc w:val="both"/>
        <w:rPr>
          <w:rFonts w:ascii="David" w:hAnsi="David" w:cs="David"/>
          <w:b/>
          <w:bCs/>
          <w:rtl/>
        </w:rPr>
      </w:pPr>
      <w:r w:rsidRPr="00346670">
        <w:rPr>
          <w:rFonts w:ascii="David" w:hAnsi="David" w:cs="David"/>
          <w:b/>
          <w:bCs/>
          <w:sz w:val="24"/>
          <w:szCs w:val="24"/>
          <w:rtl/>
        </w:rPr>
        <w:lastRenderedPageBreak/>
        <w:t xml:space="preserve">ור' גם בעניין </w:t>
      </w:r>
      <w:hyperlink r:id="rId22" w:history="1">
        <w:r w:rsidRPr="00346670">
          <w:rPr>
            <w:rFonts w:ascii="David" w:hAnsi="David" w:cs="David"/>
            <w:b/>
            <w:bCs/>
            <w:sz w:val="24"/>
            <w:szCs w:val="24"/>
            <w:rtl/>
          </w:rPr>
          <w:t>בר"מ 168/20</w:t>
        </w:r>
      </w:hyperlink>
      <w:r w:rsidRPr="00346670">
        <w:rPr>
          <w:rFonts w:ascii="David" w:hAnsi="David" w:cs="David"/>
          <w:b/>
          <w:bCs/>
          <w:sz w:val="24"/>
          <w:szCs w:val="24"/>
          <w:rtl/>
        </w:rPr>
        <w:t xml:space="preserve"> אליה </w:t>
      </w:r>
      <w:proofErr w:type="spellStart"/>
      <w:r w:rsidRPr="00346670">
        <w:rPr>
          <w:rFonts w:ascii="David" w:hAnsi="David" w:cs="David"/>
          <w:b/>
          <w:bCs/>
          <w:sz w:val="24"/>
          <w:szCs w:val="24"/>
          <w:rtl/>
        </w:rPr>
        <w:t>ברקול</w:t>
      </w:r>
      <w:proofErr w:type="spellEnd"/>
      <w:r w:rsidRPr="00346670">
        <w:rPr>
          <w:rFonts w:ascii="David" w:hAnsi="David" w:cs="David"/>
          <w:b/>
          <w:bCs/>
          <w:sz w:val="24"/>
          <w:szCs w:val="24"/>
          <w:rtl/>
        </w:rPr>
        <w:t xml:space="preserve"> נ' הוועדה המקומית לתכנון ובניה חולון [פורסם במאגר נבו] (15.02.23):</w:t>
      </w:r>
    </w:p>
    <w:p w14:paraId="6B917146" w14:textId="77777777" w:rsidR="00A8665B" w:rsidRPr="00420C5B" w:rsidRDefault="00A8665B" w:rsidP="00420C5B">
      <w:pPr>
        <w:spacing w:line="360" w:lineRule="auto"/>
        <w:ind w:left="328" w:right="709"/>
        <w:jc w:val="both"/>
        <w:rPr>
          <w:rFonts w:ascii="David" w:hAnsi="David" w:cs="David"/>
          <w:b/>
          <w:bCs/>
          <w:sz w:val="24"/>
          <w:szCs w:val="24"/>
          <w:rtl/>
        </w:rPr>
      </w:pPr>
      <w:r w:rsidRPr="00346670">
        <w:rPr>
          <w:rFonts w:ascii="David" w:hAnsi="David" w:cs="David"/>
          <w:b/>
          <w:bCs/>
          <w:sz w:val="24"/>
          <w:szCs w:val="24"/>
          <w:rtl/>
        </w:rPr>
        <w:t xml:space="preserve">"על האמור יש להוסיף ולהדגיש שיקול מרכזי נוסף החולש אף הוא על המסגרת הנורמטיבית בענייננו ואשר יש בו להשליך על פרשנותן הרצויה של הוראות החוק. כידוע, בית משפט זה הדגיש לא פעם את התכליות שניצבות בבסיסו של היטל ההשבחה, ובהן מניעת עשיית עושר ולא במשפט (ראו: </w:t>
      </w:r>
      <w:proofErr w:type="spellStart"/>
      <w:r w:rsidRPr="00346670">
        <w:rPr>
          <w:rFonts w:ascii="David" w:hAnsi="David" w:cs="David"/>
          <w:b/>
          <w:bCs/>
          <w:sz w:val="24"/>
          <w:szCs w:val="24"/>
          <w:rtl/>
        </w:rPr>
        <w:t>נמדר</w:t>
      </w:r>
      <w:proofErr w:type="spellEnd"/>
      <w:r w:rsidRPr="00346670">
        <w:rPr>
          <w:rFonts w:ascii="David" w:hAnsi="David" w:cs="David"/>
          <w:b/>
          <w:bCs/>
          <w:sz w:val="24"/>
          <w:szCs w:val="24"/>
          <w:rtl/>
        </w:rPr>
        <w:t>, בעמ' 37). על רקע זה, הובהר כי התכלית העיקרית לחיוב בהיטל ההשבחה היא הגשמת עקרון הצדק החלוקתי, במובן זה שמי שפירותיה של פעולת תכנון שביצעה הרשות במימון ציבורי מיטיבים עמו – יחלוק רווחיו עם הקהילה שבה הוא יושב"</w:t>
      </w:r>
    </w:p>
    <w:p w14:paraId="45B38636" w14:textId="77777777" w:rsidR="00A8665B" w:rsidRPr="00420C5B" w:rsidRDefault="00A8665B" w:rsidP="00420C5B">
      <w:pPr>
        <w:spacing w:line="360" w:lineRule="auto"/>
        <w:ind w:left="328" w:right="709"/>
        <w:jc w:val="both"/>
        <w:rPr>
          <w:rFonts w:ascii="David" w:hAnsi="David" w:cs="David"/>
          <w:b/>
          <w:bCs/>
          <w:sz w:val="24"/>
          <w:szCs w:val="24"/>
          <w:rtl/>
        </w:rPr>
      </w:pPr>
      <w:r w:rsidRPr="00346670">
        <w:rPr>
          <w:rFonts w:ascii="David" w:hAnsi="David" w:cs="David"/>
          <w:b/>
          <w:bCs/>
          <w:sz w:val="24"/>
          <w:szCs w:val="24"/>
          <w:rtl/>
        </w:rPr>
        <w:t>מכאן, נדבך מרכזי בהצדקה, או בשלילה, של הטלת היטל השבחה על הנישום, הינו בחינה האם הנישום אכן התעשר מהפעולה התכנונית.</w:t>
      </w:r>
      <w:r w:rsidRPr="00420C5B">
        <w:rPr>
          <w:rFonts w:ascii="David" w:hAnsi="David" w:cs="David"/>
          <w:b/>
          <w:bCs/>
          <w:sz w:val="24"/>
          <w:szCs w:val="24"/>
          <w:rtl/>
        </w:rPr>
        <w:t>"</w:t>
      </w:r>
    </w:p>
    <w:p w14:paraId="1330A228" w14:textId="77777777" w:rsidR="00A8665B" w:rsidRPr="008D2046" w:rsidRDefault="00A8665B" w:rsidP="00420C5B">
      <w:pPr>
        <w:pStyle w:val="a9"/>
        <w:bidi w:val="0"/>
        <w:ind w:left="44" w:right="426"/>
        <w:rPr>
          <w:b/>
          <w:bCs/>
          <w:rtl/>
        </w:rPr>
      </w:pPr>
    </w:p>
    <w:p w14:paraId="4BC99885" w14:textId="7D141885" w:rsidR="00A8665B" w:rsidRPr="008D2046" w:rsidRDefault="00346670" w:rsidP="00420C5B">
      <w:pPr>
        <w:pStyle w:val="a9"/>
        <w:spacing w:line="360" w:lineRule="auto"/>
        <w:ind w:left="44" w:right="426"/>
        <w:contextualSpacing w:val="0"/>
        <w:jc w:val="both"/>
        <w:rPr>
          <w:rFonts w:ascii="David" w:hAnsi="David" w:cs="David"/>
          <w:b/>
          <w:bCs/>
          <w:sz w:val="24"/>
          <w:szCs w:val="24"/>
        </w:rPr>
      </w:pPr>
      <w:r w:rsidRPr="008D2046">
        <w:rPr>
          <w:rFonts w:ascii="David" w:hAnsi="David" w:cs="David"/>
          <w:b/>
          <w:bCs/>
          <w:sz w:val="24"/>
          <w:szCs w:val="24"/>
          <w:rtl/>
        </w:rPr>
        <w:t xml:space="preserve">165. </w:t>
      </w:r>
      <w:r w:rsidR="00A8665B" w:rsidRPr="00CB74D2">
        <w:rPr>
          <w:rFonts w:ascii="David" w:hAnsi="David" w:cs="David"/>
          <w:b/>
          <w:bCs/>
          <w:sz w:val="24"/>
          <w:szCs w:val="24"/>
          <w:u w:val="single"/>
          <w:rtl/>
        </w:rPr>
        <w:t xml:space="preserve">נקודת המוצא בבחינת היטל ההשבחה היא </w:t>
      </w:r>
      <w:r w:rsidR="00A8665B" w:rsidRPr="00CB74D2">
        <w:rPr>
          <w:rFonts w:ascii="David" w:hAnsi="David" w:cs="David" w:hint="eastAsia"/>
          <w:b/>
          <w:bCs/>
          <w:sz w:val="24"/>
          <w:szCs w:val="24"/>
          <w:u w:val="single"/>
          <w:rtl/>
        </w:rPr>
        <w:t>איפוא</w:t>
      </w:r>
      <w:r w:rsidR="00A8665B" w:rsidRPr="00CB74D2">
        <w:rPr>
          <w:rFonts w:ascii="David" w:hAnsi="David" w:cs="David"/>
          <w:b/>
          <w:bCs/>
          <w:sz w:val="24"/>
          <w:szCs w:val="24"/>
          <w:u w:val="single"/>
          <w:rtl/>
        </w:rPr>
        <w:t xml:space="preserve"> - התעשרותו של הנישום! </w:t>
      </w:r>
      <w:r w:rsidR="00A8665B" w:rsidRPr="00CB74D2">
        <w:rPr>
          <w:rFonts w:ascii="David" w:hAnsi="David" w:cs="David" w:hint="eastAsia"/>
          <w:b/>
          <w:bCs/>
          <w:sz w:val="24"/>
          <w:szCs w:val="24"/>
          <w:u w:val="single"/>
          <w:rtl/>
        </w:rPr>
        <w:t>החברה</w:t>
      </w:r>
      <w:r w:rsidR="00A8665B" w:rsidRPr="00CB74D2">
        <w:rPr>
          <w:rFonts w:ascii="David" w:hAnsi="David" w:cs="David"/>
          <w:b/>
          <w:bCs/>
          <w:sz w:val="24"/>
          <w:szCs w:val="24"/>
          <w:u w:val="single"/>
          <w:rtl/>
        </w:rPr>
        <w:t xml:space="preserve"> </w:t>
      </w:r>
      <w:r w:rsidR="00A8665B" w:rsidRPr="00CB74D2">
        <w:rPr>
          <w:rFonts w:ascii="David" w:hAnsi="David" w:cs="David" w:hint="eastAsia"/>
          <w:b/>
          <w:bCs/>
          <w:sz w:val="24"/>
          <w:szCs w:val="24"/>
          <w:u w:val="single"/>
          <w:rtl/>
        </w:rPr>
        <w:t>מבקשת</w:t>
      </w:r>
      <w:r w:rsidR="00A8665B" w:rsidRPr="00CB74D2">
        <w:rPr>
          <w:rFonts w:ascii="David" w:hAnsi="David" w:cs="David"/>
          <w:b/>
          <w:bCs/>
          <w:sz w:val="24"/>
          <w:szCs w:val="24"/>
          <w:u w:val="single"/>
          <w:rtl/>
        </w:rPr>
        <w:t xml:space="preserve"> </w:t>
      </w:r>
      <w:r w:rsidR="00A8665B" w:rsidRPr="00CB74D2">
        <w:rPr>
          <w:rFonts w:ascii="David" w:hAnsi="David" w:cs="David" w:hint="eastAsia"/>
          <w:b/>
          <w:bCs/>
          <w:sz w:val="24"/>
          <w:szCs w:val="24"/>
          <w:u w:val="single"/>
          <w:rtl/>
        </w:rPr>
        <w:t>כי</w:t>
      </w:r>
      <w:r w:rsidR="00A8665B" w:rsidRPr="00CB74D2">
        <w:rPr>
          <w:rFonts w:ascii="David" w:hAnsi="David" w:cs="David"/>
          <w:b/>
          <w:bCs/>
          <w:sz w:val="24"/>
          <w:szCs w:val="24"/>
          <w:u w:val="single"/>
          <w:rtl/>
        </w:rPr>
        <w:t xml:space="preserve"> </w:t>
      </w:r>
      <w:r w:rsidR="00A8665B" w:rsidRPr="00CB74D2">
        <w:rPr>
          <w:rFonts w:ascii="David" w:hAnsi="David" w:cs="David" w:hint="eastAsia"/>
          <w:b/>
          <w:bCs/>
          <w:sz w:val="24"/>
          <w:szCs w:val="24"/>
          <w:u w:val="single"/>
          <w:rtl/>
        </w:rPr>
        <w:t>נמקד</w:t>
      </w:r>
      <w:r w:rsidR="00A8665B" w:rsidRPr="00CB74D2">
        <w:rPr>
          <w:rFonts w:ascii="David" w:hAnsi="David" w:cs="David"/>
          <w:b/>
          <w:bCs/>
          <w:sz w:val="24"/>
          <w:szCs w:val="24"/>
          <w:u w:val="single"/>
          <w:rtl/>
        </w:rPr>
        <w:t xml:space="preserve"> </w:t>
      </w:r>
      <w:r w:rsidR="00A8665B" w:rsidRPr="00CB74D2">
        <w:rPr>
          <w:rFonts w:ascii="David" w:hAnsi="David" w:cs="David" w:hint="eastAsia"/>
          <w:b/>
          <w:bCs/>
          <w:sz w:val="24"/>
          <w:szCs w:val="24"/>
          <w:u w:val="single"/>
          <w:rtl/>
        </w:rPr>
        <w:t>מבטינו</w:t>
      </w:r>
      <w:r w:rsidR="00A8665B" w:rsidRPr="00CB74D2">
        <w:rPr>
          <w:rFonts w:ascii="David" w:hAnsi="David" w:cs="David"/>
          <w:b/>
          <w:bCs/>
          <w:sz w:val="24"/>
          <w:szCs w:val="24"/>
          <w:u w:val="single"/>
          <w:rtl/>
        </w:rPr>
        <w:t xml:space="preserve"> </w:t>
      </w:r>
      <w:r w:rsidR="00A8665B" w:rsidRPr="00CB74D2">
        <w:rPr>
          <w:rFonts w:ascii="David" w:hAnsi="David" w:cs="David" w:hint="eastAsia"/>
          <w:b/>
          <w:bCs/>
          <w:sz w:val="24"/>
          <w:szCs w:val="24"/>
          <w:u w:val="single"/>
          <w:rtl/>
        </w:rPr>
        <w:t>ב</w:t>
      </w:r>
      <w:r w:rsidR="00A8665B" w:rsidRPr="00CB74D2">
        <w:rPr>
          <w:rFonts w:ascii="David" w:hAnsi="David" w:cs="David"/>
          <w:b/>
          <w:bCs/>
          <w:sz w:val="24"/>
          <w:szCs w:val="24"/>
          <w:u w:val="single"/>
          <w:rtl/>
        </w:rPr>
        <w:t xml:space="preserve">"התעשרות" </w:t>
      </w:r>
      <w:r w:rsidR="00A8665B" w:rsidRPr="00CB74D2">
        <w:rPr>
          <w:rFonts w:ascii="David" w:hAnsi="David" w:cs="David" w:hint="eastAsia"/>
          <w:b/>
          <w:bCs/>
          <w:sz w:val="24"/>
          <w:szCs w:val="24"/>
          <w:u w:val="single"/>
          <w:rtl/>
        </w:rPr>
        <w:t>הוועדה</w:t>
      </w:r>
      <w:r w:rsidR="00A8665B" w:rsidRPr="00CB74D2">
        <w:rPr>
          <w:rFonts w:ascii="David" w:hAnsi="David" w:cs="David"/>
          <w:b/>
          <w:bCs/>
          <w:sz w:val="24"/>
          <w:szCs w:val="24"/>
          <w:u w:val="single"/>
          <w:rtl/>
        </w:rPr>
        <w:t xml:space="preserve"> </w:t>
      </w:r>
      <w:r w:rsidR="00A8665B" w:rsidRPr="00CB74D2">
        <w:rPr>
          <w:rFonts w:ascii="David" w:hAnsi="David" w:cs="David" w:hint="eastAsia"/>
          <w:b/>
          <w:bCs/>
          <w:sz w:val="24"/>
          <w:szCs w:val="24"/>
          <w:u w:val="single"/>
          <w:rtl/>
        </w:rPr>
        <w:t>המקומית</w:t>
      </w:r>
      <w:r w:rsidR="00A8665B" w:rsidRPr="00CB74D2">
        <w:rPr>
          <w:rFonts w:ascii="David" w:hAnsi="David" w:cs="David"/>
          <w:b/>
          <w:bCs/>
          <w:sz w:val="24"/>
          <w:szCs w:val="24"/>
          <w:u w:val="single"/>
          <w:rtl/>
        </w:rPr>
        <w:t xml:space="preserve">. </w:t>
      </w:r>
      <w:r w:rsidR="00A8665B" w:rsidRPr="00CB74D2">
        <w:rPr>
          <w:rFonts w:ascii="David" w:hAnsi="David" w:cs="David" w:hint="eastAsia"/>
          <w:b/>
          <w:bCs/>
          <w:sz w:val="24"/>
          <w:szCs w:val="24"/>
          <w:u w:val="single"/>
          <w:rtl/>
        </w:rPr>
        <w:t>אך</w:t>
      </w:r>
      <w:r w:rsidR="00A8665B" w:rsidRPr="00CB74D2">
        <w:rPr>
          <w:rFonts w:ascii="David" w:hAnsi="David" w:cs="David"/>
          <w:b/>
          <w:bCs/>
          <w:sz w:val="24"/>
          <w:szCs w:val="24"/>
          <w:u w:val="single"/>
          <w:rtl/>
        </w:rPr>
        <w:t xml:space="preserve"> </w:t>
      </w:r>
      <w:r w:rsidR="00A8665B" w:rsidRPr="00CB74D2">
        <w:rPr>
          <w:rFonts w:ascii="David" w:hAnsi="David" w:cs="David" w:hint="eastAsia"/>
          <w:b/>
          <w:bCs/>
          <w:sz w:val="24"/>
          <w:szCs w:val="24"/>
          <w:u w:val="single"/>
          <w:rtl/>
        </w:rPr>
        <w:t>לא</w:t>
      </w:r>
      <w:r w:rsidR="00A8665B" w:rsidRPr="00CB74D2">
        <w:rPr>
          <w:rFonts w:ascii="David" w:hAnsi="David" w:cs="David"/>
          <w:b/>
          <w:bCs/>
          <w:sz w:val="24"/>
          <w:szCs w:val="24"/>
          <w:u w:val="single"/>
          <w:rtl/>
        </w:rPr>
        <w:t xml:space="preserve"> </w:t>
      </w:r>
      <w:r w:rsidR="00A8665B" w:rsidRPr="00CB74D2">
        <w:rPr>
          <w:rFonts w:ascii="David" w:hAnsi="David" w:cs="David" w:hint="eastAsia"/>
          <w:b/>
          <w:bCs/>
          <w:sz w:val="24"/>
          <w:szCs w:val="24"/>
          <w:u w:val="single"/>
          <w:rtl/>
        </w:rPr>
        <w:t>כן</w:t>
      </w:r>
      <w:r w:rsidR="00A8665B" w:rsidRPr="00CB74D2">
        <w:rPr>
          <w:rFonts w:ascii="David" w:hAnsi="David" w:cs="David"/>
          <w:b/>
          <w:bCs/>
          <w:sz w:val="24"/>
          <w:szCs w:val="24"/>
          <w:u w:val="single"/>
          <w:rtl/>
        </w:rPr>
        <w:t xml:space="preserve"> </w:t>
      </w:r>
      <w:r w:rsidR="00A8665B" w:rsidRPr="00CB74D2">
        <w:rPr>
          <w:rFonts w:ascii="David" w:hAnsi="David" w:cs="David" w:hint="eastAsia"/>
          <w:b/>
          <w:bCs/>
          <w:sz w:val="24"/>
          <w:szCs w:val="24"/>
          <w:u w:val="single"/>
          <w:rtl/>
        </w:rPr>
        <w:t>הוא</w:t>
      </w:r>
      <w:r w:rsidR="00A8665B" w:rsidRPr="00CB74D2">
        <w:rPr>
          <w:rFonts w:ascii="David" w:hAnsi="David" w:cs="David"/>
          <w:b/>
          <w:bCs/>
          <w:sz w:val="24"/>
          <w:szCs w:val="24"/>
          <w:u w:val="single"/>
          <w:rtl/>
        </w:rPr>
        <w:t xml:space="preserve">. </w:t>
      </w:r>
      <w:r w:rsidR="00A8665B" w:rsidRPr="00CB74D2">
        <w:rPr>
          <w:rFonts w:ascii="David" w:hAnsi="David" w:cs="David" w:hint="eastAsia"/>
          <w:b/>
          <w:bCs/>
          <w:sz w:val="24"/>
          <w:szCs w:val="24"/>
          <w:u w:val="single"/>
          <w:rtl/>
        </w:rPr>
        <w:t>המס</w:t>
      </w:r>
      <w:r w:rsidR="00A8665B" w:rsidRPr="00CB74D2">
        <w:rPr>
          <w:rFonts w:ascii="David" w:hAnsi="David" w:cs="David"/>
          <w:b/>
          <w:bCs/>
          <w:sz w:val="24"/>
          <w:szCs w:val="24"/>
          <w:u w:val="single"/>
          <w:rtl/>
        </w:rPr>
        <w:t xml:space="preserve"> </w:t>
      </w:r>
      <w:r w:rsidR="00A8665B" w:rsidRPr="00CB74D2">
        <w:rPr>
          <w:rFonts w:ascii="David" w:hAnsi="David" w:cs="David" w:hint="eastAsia"/>
          <w:b/>
          <w:bCs/>
          <w:sz w:val="24"/>
          <w:szCs w:val="24"/>
          <w:u w:val="single"/>
          <w:rtl/>
        </w:rPr>
        <w:t>מוטל</w:t>
      </w:r>
      <w:r w:rsidR="00A8665B" w:rsidRPr="00CB74D2">
        <w:rPr>
          <w:rFonts w:ascii="David" w:hAnsi="David" w:cs="David"/>
          <w:b/>
          <w:bCs/>
          <w:sz w:val="24"/>
          <w:szCs w:val="24"/>
          <w:u w:val="single"/>
          <w:rtl/>
        </w:rPr>
        <w:t xml:space="preserve"> </w:t>
      </w:r>
      <w:r w:rsidR="00A8665B" w:rsidRPr="00CB74D2">
        <w:rPr>
          <w:rFonts w:ascii="David" w:hAnsi="David" w:cs="David" w:hint="eastAsia"/>
          <w:b/>
          <w:bCs/>
          <w:sz w:val="24"/>
          <w:szCs w:val="24"/>
          <w:u w:val="single"/>
          <w:rtl/>
        </w:rPr>
        <w:t>על</w:t>
      </w:r>
      <w:r w:rsidR="00A8665B" w:rsidRPr="00CB74D2">
        <w:rPr>
          <w:rFonts w:ascii="David" w:hAnsi="David" w:cs="David"/>
          <w:b/>
          <w:bCs/>
          <w:sz w:val="24"/>
          <w:szCs w:val="24"/>
          <w:u w:val="single"/>
          <w:rtl/>
        </w:rPr>
        <w:t xml:space="preserve"> </w:t>
      </w:r>
      <w:r w:rsidR="00A8665B" w:rsidRPr="00CB74D2">
        <w:rPr>
          <w:rFonts w:ascii="David" w:hAnsi="David" w:cs="David" w:hint="eastAsia"/>
          <w:b/>
          <w:bCs/>
          <w:sz w:val="24"/>
          <w:szCs w:val="24"/>
          <w:u w:val="single"/>
          <w:rtl/>
        </w:rPr>
        <w:t>בעל</w:t>
      </w:r>
      <w:r w:rsidR="00A8665B" w:rsidRPr="00CB74D2">
        <w:rPr>
          <w:rFonts w:ascii="David" w:hAnsi="David" w:cs="David"/>
          <w:b/>
          <w:bCs/>
          <w:sz w:val="24"/>
          <w:szCs w:val="24"/>
          <w:u w:val="single"/>
          <w:rtl/>
        </w:rPr>
        <w:t xml:space="preserve"> </w:t>
      </w:r>
      <w:r w:rsidR="00A8665B" w:rsidRPr="00CB74D2">
        <w:rPr>
          <w:rFonts w:ascii="David" w:hAnsi="David" w:cs="David" w:hint="eastAsia"/>
          <w:b/>
          <w:bCs/>
          <w:sz w:val="24"/>
          <w:szCs w:val="24"/>
          <w:u w:val="single"/>
          <w:rtl/>
        </w:rPr>
        <w:t>הקרקע</w:t>
      </w:r>
      <w:r w:rsidR="00A8665B" w:rsidRPr="00CB74D2">
        <w:rPr>
          <w:rFonts w:ascii="David" w:hAnsi="David" w:cs="David"/>
          <w:b/>
          <w:bCs/>
          <w:sz w:val="24"/>
          <w:szCs w:val="24"/>
          <w:u w:val="single"/>
          <w:rtl/>
        </w:rPr>
        <w:t xml:space="preserve"> </w:t>
      </w:r>
      <w:r w:rsidR="00A8665B" w:rsidRPr="00CB74D2">
        <w:rPr>
          <w:rFonts w:ascii="David" w:hAnsi="David" w:cs="David" w:hint="eastAsia"/>
          <w:b/>
          <w:bCs/>
          <w:sz w:val="24"/>
          <w:szCs w:val="24"/>
          <w:u w:val="single"/>
          <w:rtl/>
        </w:rPr>
        <w:t>ולא</w:t>
      </w:r>
      <w:r w:rsidR="00A8665B" w:rsidRPr="00CB74D2">
        <w:rPr>
          <w:rFonts w:ascii="David" w:hAnsi="David" w:cs="David"/>
          <w:b/>
          <w:bCs/>
          <w:sz w:val="24"/>
          <w:szCs w:val="24"/>
          <w:u w:val="single"/>
          <w:rtl/>
        </w:rPr>
        <w:t xml:space="preserve"> </w:t>
      </w:r>
      <w:r w:rsidR="00A8665B" w:rsidRPr="00CB74D2">
        <w:rPr>
          <w:rFonts w:ascii="David" w:hAnsi="David" w:cs="David" w:hint="eastAsia"/>
          <w:b/>
          <w:bCs/>
          <w:sz w:val="24"/>
          <w:szCs w:val="24"/>
          <w:u w:val="single"/>
          <w:rtl/>
        </w:rPr>
        <w:t>על</w:t>
      </w:r>
      <w:r w:rsidR="00A8665B" w:rsidRPr="00CB74D2">
        <w:rPr>
          <w:rFonts w:ascii="David" w:hAnsi="David" w:cs="David"/>
          <w:b/>
          <w:bCs/>
          <w:sz w:val="24"/>
          <w:szCs w:val="24"/>
          <w:u w:val="single"/>
          <w:rtl/>
        </w:rPr>
        <w:t xml:space="preserve"> </w:t>
      </w:r>
      <w:r w:rsidR="00A8665B" w:rsidRPr="00CB74D2">
        <w:rPr>
          <w:rFonts w:ascii="David" w:hAnsi="David" w:cs="David" w:hint="eastAsia"/>
          <w:b/>
          <w:bCs/>
          <w:sz w:val="24"/>
          <w:szCs w:val="24"/>
          <w:u w:val="single"/>
          <w:rtl/>
        </w:rPr>
        <w:t>הוועדה</w:t>
      </w:r>
      <w:r w:rsidR="00A8665B" w:rsidRPr="00CB74D2">
        <w:rPr>
          <w:rFonts w:ascii="David" w:hAnsi="David" w:cs="David"/>
          <w:b/>
          <w:bCs/>
          <w:sz w:val="24"/>
          <w:szCs w:val="24"/>
          <w:u w:val="single"/>
          <w:rtl/>
        </w:rPr>
        <w:t xml:space="preserve"> </w:t>
      </w:r>
      <w:r w:rsidR="00A8665B" w:rsidRPr="00CB74D2">
        <w:rPr>
          <w:rFonts w:ascii="David" w:hAnsi="David" w:cs="David" w:hint="eastAsia"/>
          <w:b/>
          <w:bCs/>
          <w:sz w:val="24"/>
          <w:szCs w:val="24"/>
          <w:u w:val="single"/>
          <w:rtl/>
        </w:rPr>
        <w:t>המקומית</w:t>
      </w:r>
      <w:r w:rsidR="00A8665B" w:rsidRPr="00CB74D2">
        <w:rPr>
          <w:rFonts w:ascii="David" w:hAnsi="David" w:cs="David"/>
          <w:b/>
          <w:bCs/>
          <w:sz w:val="24"/>
          <w:szCs w:val="24"/>
          <w:u w:val="single"/>
          <w:rtl/>
        </w:rPr>
        <w:t xml:space="preserve">. </w:t>
      </w:r>
      <w:r w:rsidR="00A8665B" w:rsidRPr="00CB74D2">
        <w:rPr>
          <w:rFonts w:ascii="David" w:hAnsi="David" w:cs="David" w:hint="eastAsia"/>
          <w:b/>
          <w:bCs/>
          <w:sz w:val="24"/>
          <w:szCs w:val="24"/>
          <w:u w:val="single"/>
          <w:rtl/>
        </w:rPr>
        <w:t>ועל</w:t>
      </w:r>
      <w:r w:rsidR="00A8665B" w:rsidRPr="00CB74D2">
        <w:rPr>
          <w:rFonts w:ascii="David" w:hAnsi="David" w:cs="David"/>
          <w:b/>
          <w:bCs/>
          <w:sz w:val="24"/>
          <w:szCs w:val="24"/>
          <w:u w:val="single"/>
          <w:rtl/>
        </w:rPr>
        <w:t xml:space="preserve"> </w:t>
      </w:r>
      <w:r w:rsidR="00A8665B" w:rsidRPr="00CB74D2">
        <w:rPr>
          <w:rFonts w:ascii="David" w:hAnsi="David" w:cs="David" w:hint="eastAsia"/>
          <w:b/>
          <w:bCs/>
          <w:sz w:val="24"/>
          <w:szCs w:val="24"/>
          <w:u w:val="single"/>
          <w:rtl/>
        </w:rPr>
        <w:t>המס</w:t>
      </w:r>
      <w:r w:rsidR="00A8665B" w:rsidRPr="00CB74D2">
        <w:rPr>
          <w:rFonts w:ascii="David" w:hAnsi="David" w:cs="David"/>
          <w:b/>
          <w:bCs/>
          <w:sz w:val="24"/>
          <w:szCs w:val="24"/>
          <w:u w:val="single"/>
          <w:rtl/>
        </w:rPr>
        <w:t xml:space="preserve"> </w:t>
      </w:r>
      <w:r w:rsidR="00A8665B" w:rsidRPr="00CB74D2">
        <w:rPr>
          <w:rFonts w:ascii="David" w:hAnsi="David" w:cs="David" w:hint="eastAsia"/>
          <w:b/>
          <w:bCs/>
          <w:sz w:val="24"/>
          <w:szCs w:val="24"/>
          <w:u w:val="single"/>
          <w:rtl/>
        </w:rPr>
        <w:t>להיגזר</w:t>
      </w:r>
      <w:r w:rsidR="00A8665B" w:rsidRPr="00CB74D2">
        <w:rPr>
          <w:rFonts w:ascii="David" w:hAnsi="David" w:cs="David"/>
          <w:b/>
          <w:bCs/>
          <w:sz w:val="24"/>
          <w:szCs w:val="24"/>
          <w:u w:val="single"/>
          <w:rtl/>
        </w:rPr>
        <w:t xml:space="preserve"> </w:t>
      </w:r>
      <w:r w:rsidR="00A8665B" w:rsidRPr="00CB74D2">
        <w:rPr>
          <w:rFonts w:ascii="David" w:hAnsi="David" w:cs="David" w:hint="eastAsia"/>
          <w:b/>
          <w:bCs/>
          <w:sz w:val="24"/>
          <w:szCs w:val="24"/>
          <w:u w:val="single"/>
          <w:rtl/>
        </w:rPr>
        <w:t>מהתעשרות</w:t>
      </w:r>
      <w:r w:rsidR="00A8665B" w:rsidRPr="00CB74D2">
        <w:rPr>
          <w:rFonts w:ascii="David" w:hAnsi="David" w:cs="David"/>
          <w:b/>
          <w:bCs/>
          <w:sz w:val="24"/>
          <w:szCs w:val="24"/>
          <w:u w:val="single"/>
          <w:rtl/>
        </w:rPr>
        <w:t xml:space="preserve"> </w:t>
      </w:r>
      <w:r w:rsidR="00A8665B" w:rsidRPr="00CB74D2">
        <w:rPr>
          <w:rFonts w:ascii="David" w:hAnsi="David" w:cs="David" w:hint="eastAsia"/>
          <w:b/>
          <w:bCs/>
          <w:sz w:val="24"/>
          <w:szCs w:val="24"/>
          <w:u w:val="single"/>
          <w:rtl/>
        </w:rPr>
        <w:t>הנישום</w:t>
      </w:r>
      <w:r w:rsidR="00A8665B" w:rsidRPr="00CB74D2">
        <w:rPr>
          <w:rFonts w:ascii="David" w:hAnsi="David" w:cs="David"/>
          <w:b/>
          <w:bCs/>
          <w:sz w:val="24"/>
          <w:szCs w:val="24"/>
          <w:u w:val="single"/>
          <w:rtl/>
        </w:rPr>
        <w:t xml:space="preserve"> </w:t>
      </w:r>
      <w:r w:rsidR="00A8665B" w:rsidRPr="00CB74D2">
        <w:rPr>
          <w:rFonts w:ascii="David" w:hAnsi="David" w:cs="David" w:hint="eastAsia"/>
          <w:b/>
          <w:bCs/>
          <w:sz w:val="24"/>
          <w:szCs w:val="24"/>
          <w:u w:val="single"/>
          <w:rtl/>
        </w:rPr>
        <w:t>ואינו</w:t>
      </w:r>
      <w:r w:rsidR="00A8665B" w:rsidRPr="00CB74D2">
        <w:rPr>
          <w:rFonts w:ascii="David" w:hAnsi="David" w:cs="David"/>
          <w:b/>
          <w:bCs/>
          <w:sz w:val="24"/>
          <w:szCs w:val="24"/>
          <w:u w:val="single"/>
          <w:rtl/>
        </w:rPr>
        <w:t xml:space="preserve"> </w:t>
      </w:r>
      <w:r w:rsidR="00A8665B" w:rsidRPr="00CB74D2">
        <w:rPr>
          <w:rFonts w:ascii="David" w:hAnsi="David" w:cs="David" w:hint="eastAsia"/>
          <w:b/>
          <w:bCs/>
          <w:sz w:val="24"/>
          <w:szCs w:val="24"/>
          <w:u w:val="single"/>
          <w:rtl/>
        </w:rPr>
        <w:t>מבוסס</w:t>
      </w:r>
      <w:r w:rsidR="00A8665B" w:rsidRPr="00CB74D2">
        <w:rPr>
          <w:rFonts w:ascii="David" w:hAnsi="David" w:cs="David"/>
          <w:b/>
          <w:bCs/>
          <w:sz w:val="24"/>
          <w:szCs w:val="24"/>
          <w:u w:val="single"/>
          <w:rtl/>
        </w:rPr>
        <w:t xml:space="preserve"> </w:t>
      </w:r>
      <w:r w:rsidR="00A8665B" w:rsidRPr="00CB74D2">
        <w:rPr>
          <w:rFonts w:ascii="David" w:hAnsi="David" w:cs="David" w:hint="eastAsia"/>
          <w:b/>
          <w:bCs/>
          <w:sz w:val="24"/>
          <w:szCs w:val="24"/>
          <w:u w:val="single"/>
          <w:rtl/>
        </w:rPr>
        <w:t>על</w:t>
      </w:r>
      <w:r w:rsidR="00A8665B" w:rsidRPr="00CB74D2">
        <w:rPr>
          <w:rFonts w:ascii="David" w:hAnsi="David" w:cs="David"/>
          <w:b/>
          <w:bCs/>
          <w:sz w:val="24"/>
          <w:szCs w:val="24"/>
          <w:u w:val="single"/>
          <w:rtl/>
        </w:rPr>
        <w:t xml:space="preserve"> "החיסכון" של הוועדה המקומית.</w:t>
      </w:r>
      <w:r w:rsidR="00A8665B" w:rsidRPr="008D2046">
        <w:rPr>
          <w:rFonts w:ascii="David" w:hAnsi="David" w:cs="David"/>
          <w:b/>
          <w:bCs/>
          <w:sz w:val="24"/>
          <w:szCs w:val="24"/>
          <w:rtl/>
        </w:rPr>
        <w:t xml:space="preserve"> </w:t>
      </w:r>
    </w:p>
    <w:p w14:paraId="0FED04CE" w14:textId="77777777" w:rsidR="00A8665B" w:rsidRPr="008D2046" w:rsidRDefault="00A8665B" w:rsidP="00420C5B">
      <w:pPr>
        <w:pStyle w:val="a9"/>
        <w:numPr>
          <w:ilvl w:val="0"/>
          <w:numId w:val="10"/>
        </w:numPr>
        <w:spacing w:line="360" w:lineRule="auto"/>
        <w:ind w:left="44" w:right="426" w:firstLine="0"/>
        <w:contextualSpacing w:val="0"/>
        <w:jc w:val="both"/>
        <w:rPr>
          <w:rFonts w:ascii="David" w:hAnsi="David" w:cs="David"/>
          <w:b/>
          <w:bCs/>
          <w:sz w:val="24"/>
          <w:szCs w:val="24"/>
          <w:rtl/>
        </w:rPr>
      </w:pPr>
      <w:r w:rsidRPr="008D2046">
        <w:rPr>
          <w:rFonts w:ascii="David" w:hAnsi="David" w:cs="David"/>
          <w:b/>
          <w:bCs/>
          <w:sz w:val="24"/>
          <w:szCs w:val="24"/>
          <w:rtl/>
        </w:rPr>
        <w:t>בנוסף לאמור, מושכלות יסוד הן כי גובה ההיטל נקבע תוך השוואה בין "מצב קודם" ל"מצב חדש".</w:t>
      </w:r>
    </w:p>
    <w:p w14:paraId="12DE0830" w14:textId="77777777" w:rsidR="00A8665B" w:rsidRPr="008D2046" w:rsidRDefault="00A8665B" w:rsidP="00420C5B">
      <w:pPr>
        <w:pStyle w:val="a9"/>
        <w:numPr>
          <w:ilvl w:val="0"/>
          <w:numId w:val="10"/>
        </w:numPr>
        <w:spacing w:line="360" w:lineRule="auto"/>
        <w:ind w:left="44" w:right="426" w:firstLine="0"/>
        <w:contextualSpacing w:val="0"/>
        <w:jc w:val="both"/>
        <w:rPr>
          <w:rFonts w:ascii="David" w:hAnsi="David" w:cs="David"/>
          <w:b/>
          <w:bCs/>
          <w:rtl/>
        </w:rPr>
      </w:pPr>
      <w:r w:rsidRPr="008D2046">
        <w:rPr>
          <w:rFonts w:ascii="David" w:hAnsi="David" w:cs="David"/>
          <w:b/>
          <w:bCs/>
          <w:sz w:val="24"/>
          <w:szCs w:val="24"/>
          <w:rtl/>
        </w:rPr>
        <w:t>כך בהלכת רע"א 4217-04 </w:t>
      </w:r>
      <w:r w:rsidRPr="00346670">
        <w:rPr>
          <w:rFonts w:ascii="David" w:hAnsi="David" w:cs="David"/>
          <w:b/>
          <w:bCs/>
          <w:sz w:val="24"/>
          <w:szCs w:val="24"/>
          <w:rtl/>
        </w:rPr>
        <w:t>ציון פמיני </w:t>
      </w:r>
      <w:r w:rsidRPr="00346670">
        <w:rPr>
          <w:rFonts w:ascii="David" w:hAnsi="David" w:cs="David" w:hint="eastAsia"/>
          <w:b/>
          <w:bCs/>
          <w:sz w:val="24"/>
          <w:szCs w:val="24"/>
          <w:rtl/>
        </w:rPr>
        <w:t>נ</w:t>
      </w:r>
      <w:r w:rsidRPr="00346670">
        <w:rPr>
          <w:rFonts w:ascii="David" w:hAnsi="David" w:cs="David"/>
          <w:b/>
          <w:bCs/>
          <w:sz w:val="24"/>
          <w:szCs w:val="24"/>
          <w:rtl/>
        </w:rPr>
        <w:t>'</w:t>
      </w:r>
      <w:r w:rsidRPr="00346670">
        <w:rPr>
          <w:rFonts w:ascii="David" w:hAnsi="David" w:cs="David"/>
          <w:b/>
          <w:bCs/>
          <w:sz w:val="24"/>
          <w:szCs w:val="24"/>
        </w:rPr>
        <w:t> </w:t>
      </w:r>
      <w:r w:rsidRPr="00346670">
        <w:rPr>
          <w:rFonts w:ascii="David" w:hAnsi="David" w:cs="David"/>
          <w:b/>
          <w:bCs/>
          <w:sz w:val="24"/>
          <w:szCs w:val="24"/>
          <w:rtl/>
        </w:rPr>
        <w:t>הועדה המקומית לתכנון ובניה ירושלים</w:t>
      </w:r>
      <w:r w:rsidRPr="008D2046">
        <w:rPr>
          <w:rFonts w:ascii="David" w:hAnsi="David" w:cs="David"/>
          <w:b/>
          <w:bCs/>
          <w:sz w:val="24"/>
          <w:szCs w:val="24"/>
          <w:rtl/>
        </w:rPr>
        <w:t xml:space="preserve"> (נבו)</w:t>
      </w:r>
      <w:r w:rsidRPr="008D2046" w:rsidDel="00BF2980">
        <w:rPr>
          <w:rFonts w:ascii="David" w:hAnsi="David" w:cs="David"/>
          <w:b/>
          <w:bCs/>
          <w:sz w:val="24"/>
          <w:szCs w:val="24"/>
          <w:rtl/>
        </w:rPr>
        <w:t xml:space="preserve"> </w:t>
      </w:r>
      <w:r w:rsidRPr="008D2046">
        <w:rPr>
          <w:rFonts w:ascii="David" w:hAnsi="David" w:cs="David"/>
          <w:b/>
          <w:bCs/>
          <w:sz w:val="24"/>
          <w:szCs w:val="24"/>
          <w:rtl/>
        </w:rPr>
        <w:t xml:space="preserve">, ובהלכות נוספות הקובעות כי ההשבחה בוחנת עליית שווי אובייקטיבי בשוק, למועד הקובע של תחילת התכנית (ראו: </w:t>
      </w:r>
      <w:hyperlink r:id="rId23" w:history="1">
        <w:r w:rsidRPr="008D2046">
          <w:rPr>
            <w:rFonts w:ascii="David" w:hAnsi="David" w:cs="David"/>
            <w:b/>
            <w:bCs/>
            <w:rtl/>
          </w:rPr>
          <w:t>רע"א 147/14</w:t>
        </w:r>
      </w:hyperlink>
      <w:r w:rsidRPr="008D2046">
        <w:rPr>
          <w:rFonts w:ascii="David" w:hAnsi="David" w:cs="David"/>
          <w:b/>
          <w:bCs/>
          <w:sz w:val="24"/>
          <w:szCs w:val="24"/>
          <w:rtl/>
        </w:rPr>
        <w:t xml:space="preserve"> </w:t>
      </w:r>
      <w:r w:rsidRPr="00346670">
        <w:rPr>
          <w:rFonts w:ascii="David" w:hAnsi="David" w:cs="David"/>
          <w:b/>
          <w:bCs/>
          <w:sz w:val="24"/>
          <w:szCs w:val="24"/>
          <w:rtl/>
        </w:rPr>
        <w:t>הועדה המקומית לתכנון ובניה תל אביב-יפו נ' סוניה אברמוביץ</w:t>
      </w:r>
      <w:r w:rsidRPr="008D2046">
        <w:rPr>
          <w:rFonts w:ascii="David" w:hAnsi="David" w:cs="David"/>
          <w:b/>
          <w:bCs/>
          <w:sz w:val="24"/>
          <w:szCs w:val="24"/>
          <w:rtl/>
        </w:rPr>
        <w:t xml:space="preserve"> (פורסם בנבו, 31.12.2014)).</w:t>
      </w:r>
    </w:p>
    <w:p w14:paraId="6AECD980" w14:textId="77777777" w:rsidR="00A8665B" w:rsidRPr="008D2046" w:rsidRDefault="00A8665B" w:rsidP="00420C5B">
      <w:pPr>
        <w:pStyle w:val="a9"/>
        <w:numPr>
          <w:ilvl w:val="0"/>
          <w:numId w:val="10"/>
        </w:numPr>
        <w:spacing w:line="360" w:lineRule="auto"/>
        <w:ind w:left="44" w:right="426" w:firstLine="0"/>
        <w:contextualSpacing w:val="0"/>
        <w:jc w:val="both"/>
        <w:rPr>
          <w:rFonts w:ascii="David" w:hAnsi="David" w:cs="David"/>
          <w:b/>
          <w:bCs/>
          <w:rtl/>
        </w:rPr>
      </w:pPr>
      <w:r w:rsidRPr="008D2046">
        <w:rPr>
          <w:rFonts w:ascii="David" w:hAnsi="David" w:cs="David"/>
          <w:b/>
          <w:bCs/>
          <w:sz w:val="24"/>
          <w:szCs w:val="24"/>
          <w:rtl/>
        </w:rPr>
        <w:t>השאלה שעל השמאי לבחון הינה - מהי עליית ערכם של המקרקעין, כאילו נמכרו בשוק החופשי, ליום תחילתה של התכנית נשוא השומה:</w:t>
      </w:r>
    </w:p>
    <w:p w14:paraId="1B60E8F5" w14:textId="77777777" w:rsidR="00A8665B" w:rsidRPr="00420C5B" w:rsidRDefault="00A8665B" w:rsidP="00420C5B">
      <w:pPr>
        <w:spacing w:line="360" w:lineRule="auto"/>
        <w:ind w:left="328" w:right="709"/>
        <w:jc w:val="both"/>
        <w:rPr>
          <w:rFonts w:ascii="David" w:hAnsi="David" w:cs="David"/>
          <w:b/>
          <w:bCs/>
          <w:sz w:val="24"/>
          <w:szCs w:val="24"/>
          <w:rtl/>
        </w:rPr>
      </w:pPr>
      <w:r w:rsidRPr="00346670">
        <w:rPr>
          <w:rFonts w:ascii="David" w:hAnsi="David" w:cs="David"/>
          <w:b/>
          <w:bCs/>
          <w:sz w:val="24"/>
          <w:szCs w:val="24"/>
          <w:rtl/>
        </w:rPr>
        <w:t> "הנה כי כן, לגבי תכנית משביחה יחידה מוערכים המקרקעין למועד הקובע - הוא יום אישור התכנית המשביחה - פעם אחת בהתאם לזכויות שהוענקו בתכנית (מצב חדש) ופעם אחת בהתאם לזכויות שהיו קיימות אלמלא אושרה תכנית זו (מצב קודם). ההפרש בין שני ערכים אלה מהווה את ההשבחה"</w:t>
      </w:r>
    </w:p>
    <w:p w14:paraId="6FD5B061" w14:textId="77777777" w:rsidR="00A8665B" w:rsidRPr="00346670" w:rsidRDefault="00A8665B" w:rsidP="00420C5B">
      <w:pPr>
        <w:spacing w:line="360" w:lineRule="auto"/>
        <w:ind w:left="44" w:right="426"/>
        <w:jc w:val="both"/>
        <w:rPr>
          <w:rFonts w:ascii="David" w:hAnsi="David" w:cs="David"/>
          <w:b/>
          <w:bCs/>
          <w:rtl/>
        </w:rPr>
      </w:pPr>
      <w:r w:rsidRPr="00346670">
        <w:rPr>
          <w:rFonts w:ascii="David" w:hAnsi="David" w:cs="David"/>
          <w:b/>
          <w:bCs/>
          <w:sz w:val="24"/>
          <w:szCs w:val="24"/>
          <w:rtl/>
        </w:rPr>
        <w:t>(עניין פמיני, שם בסעיף 8 לפסק דינה של כב' השופטת (כתוארה אז) חיות).</w:t>
      </w:r>
    </w:p>
    <w:p w14:paraId="73DC6DF9" w14:textId="77777777" w:rsidR="00A8665B" w:rsidRPr="008D2046" w:rsidRDefault="00A8665B" w:rsidP="00420C5B">
      <w:pPr>
        <w:pStyle w:val="NormalWeb"/>
        <w:bidi/>
        <w:spacing w:before="0" w:beforeAutospacing="0" w:after="0" w:afterAutospacing="0"/>
        <w:ind w:left="44" w:right="426"/>
        <w:jc w:val="both"/>
        <w:rPr>
          <w:b/>
          <w:bCs/>
        </w:rPr>
      </w:pPr>
      <w:r w:rsidRPr="008D2046">
        <w:rPr>
          <w:rFonts w:ascii="David" w:hAnsi="David" w:cs="David"/>
          <w:b/>
          <w:bCs/>
          <w:color w:val="000000"/>
          <w:rtl/>
        </w:rPr>
        <w:t> </w:t>
      </w:r>
    </w:p>
    <w:p w14:paraId="6A73E9A8" w14:textId="77777777" w:rsidR="00A8665B" w:rsidRPr="008D2046" w:rsidRDefault="00A8665B" w:rsidP="00420C5B">
      <w:pPr>
        <w:pStyle w:val="a9"/>
        <w:numPr>
          <w:ilvl w:val="0"/>
          <w:numId w:val="10"/>
        </w:numPr>
        <w:spacing w:line="360" w:lineRule="auto"/>
        <w:ind w:left="44" w:right="426" w:firstLine="0"/>
        <w:contextualSpacing w:val="0"/>
        <w:jc w:val="both"/>
        <w:rPr>
          <w:rFonts w:ascii="David" w:hAnsi="David" w:cs="David"/>
          <w:b/>
          <w:bCs/>
          <w:rtl/>
        </w:rPr>
      </w:pPr>
      <w:r w:rsidRPr="008D2046">
        <w:rPr>
          <w:rFonts w:ascii="David" w:hAnsi="David" w:cs="David"/>
          <w:b/>
          <w:bCs/>
          <w:sz w:val="24"/>
          <w:szCs w:val="24"/>
          <w:rtl/>
        </w:rPr>
        <w:t xml:space="preserve">כך נקבע בעניין </w:t>
      </w:r>
      <w:r w:rsidRPr="008D2046">
        <w:rPr>
          <w:rFonts w:ascii="David" w:hAnsi="David" w:cs="David" w:hint="eastAsia"/>
          <w:b/>
          <w:bCs/>
          <w:sz w:val="24"/>
          <w:szCs w:val="24"/>
          <w:rtl/>
        </w:rPr>
        <w:t>אברמוביץ</w:t>
      </w:r>
      <w:r w:rsidRPr="008D2046">
        <w:rPr>
          <w:rFonts w:ascii="David" w:hAnsi="David" w:cs="David"/>
          <w:b/>
          <w:bCs/>
          <w:sz w:val="24"/>
          <w:szCs w:val="24"/>
          <w:rtl/>
        </w:rPr>
        <w:t>':</w:t>
      </w:r>
    </w:p>
    <w:p w14:paraId="7BD7CA23" w14:textId="77777777" w:rsidR="00A8665B" w:rsidRPr="00420C5B" w:rsidRDefault="00A8665B" w:rsidP="00420C5B">
      <w:pPr>
        <w:spacing w:line="360" w:lineRule="auto"/>
        <w:ind w:left="328" w:right="709"/>
        <w:jc w:val="both"/>
        <w:rPr>
          <w:rFonts w:ascii="David" w:hAnsi="David" w:cs="David"/>
          <w:b/>
          <w:bCs/>
          <w:sz w:val="24"/>
          <w:szCs w:val="24"/>
          <w:rtl/>
        </w:rPr>
      </w:pPr>
      <w:r w:rsidRPr="00346670">
        <w:rPr>
          <w:rFonts w:ascii="David" w:hAnsi="David" w:cs="David"/>
          <w:b/>
          <w:bCs/>
          <w:sz w:val="24"/>
          <w:szCs w:val="24"/>
          <w:rtl/>
        </w:rPr>
        <w:t xml:space="preserve">שומת ההשבחה דורשת אם כן לשום את המקרקעין פעמיים: פעם אחת, לפי "המצב החדש", דהיינו לפי מצב הזכויות בהם לאחר הפעולה התכנונית המשביחה; ופעם שנייה, לפי "המצב הקודם", דהיינו לפי מצב הזכויות במקרקעין עובר לפעולה </w:t>
      </w:r>
      <w:r w:rsidRPr="00346670">
        <w:rPr>
          <w:rFonts w:ascii="David" w:hAnsi="David" w:cs="David"/>
          <w:b/>
          <w:bCs/>
          <w:sz w:val="24"/>
          <w:szCs w:val="24"/>
          <w:rtl/>
        </w:rPr>
        <w:lastRenderedPageBreak/>
        <w:t>התכנונית האמורה. ההפרש בין שני ערכים אלה מהווה את ההשבחה שחלה בעקבות הפעולה התכנונית; וסכום היטל ההשבחה יועמד כאמור על מחצית ממנו </w:t>
      </w:r>
    </w:p>
    <w:p w14:paraId="2072A770" w14:textId="77777777" w:rsidR="00A8665B" w:rsidRPr="008D2046" w:rsidRDefault="00A8665B" w:rsidP="00420C5B">
      <w:pPr>
        <w:pStyle w:val="a9"/>
        <w:numPr>
          <w:ilvl w:val="0"/>
          <w:numId w:val="10"/>
        </w:numPr>
        <w:spacing w:line="360" w:lineRule="auto"/>
        <w:ind w:left="44" w:right="426" w:firstLine="0"/>
        <w:contextualSpacing w:val="0"/>
        <w:jc w:val="both"/>
        <w:rPr>
          <w:rFonts w:ascii="David" w:hAnsi="David" w:cs="David"/>
          <w:b/>
          <w:bCs/>
          <w:sz w:val="24"/>
          <w:szCs w:val="24"/>
        </w:rPr>
      </w:pPr>
      <w:r w:rsidRPr="008D2046">
        <w:rPr>
          <w:rFonts w:ascii="David" w:hAnsi="David" w:cs="David"/>
          <w:b/>
          <w:bCs/>
          <w:sz w:val="24"/>
          <w:szCs w:val="24"/>
          <w:rtl/>
        </w:rPr>
        <w:t xml:space="preserve">די באמור כדי לדחות את טענות החברה. </w:t>
      </w:r>
      <w:r w:rsidRPr="008D2046">
        <w:rPr>
          <w:rFonts w:ascii="David" w:hAnsi="David" w:cs="David" w:hint="eastAsia"/>
          <w:b/>
          <w:bCs/>
          <w:sz w:val="24"/>
          <w:szCs w:val="24"/>
          <w:rtl/>
        </w:rPr>
        <w:t>ונסביר</w:t>
      </w:r>
      <w:r w:rsidRPr="008D2046">
        <w:rPr>
          <w:rFonts w:ascii="David" w:hAnsi="David" w:cs="David"/>
          <w:b/>
          <w:bCs/>
          <w:sz w:val="24"/>
          <w:szCs w:val="24"/>
          <w:rtl/>
        </w:rPr>
        <w:t>:</w:t>
      </w:r>
    </w:p>
    <w:p w14:paraId="698E3DF0" w14:textId="77777777" w:rsidR="00A8665B" w:rsidRPr="008D2046" w:rsidRDefault="00A8665B" w:rsidP="00420C5B">
      <w:pPr>
        <w:pStyle w:val="a9"/>
        <w:numPr>
          <w:ilvl w:val="0"/>
          <w:numId w:val="10"/>
        </w:numPr>
        <w:spacing w:line="360" w:lineRule="auto"/>
        <w:ind w:left="44" w:right="426" w:firstLine="0"/>
        <w:contextualSpacing w:val="0"/>
        <w:jc w:val="both"/>
        <w:rPr>
          <w:rFonts w:ascii="David" w:hAnsi="David" w:cs="David"/>
          <w:b/>
          <w:bCs/>
        </w:rPr>
      </w:pPr>
      <w:r w:rsidRPr="008D2046">
        <w:rPr>
          <w:rFonts w:ascii="David" w:hAnsi="David" w:cs="David"/>
          <w:b/>
          <w:bCs/>
          <w:sz w:val="24"/>
          <w:szCs w:val="24"/>
          <w:rtl/>
        </w:rPr>
        <w:t xml:space="preserve">לשיטת החברה </w:t>
      </w:r>
      <w:r w:rsidRPr="008D2046">
        <w:rPr>
          <w:rFonts w:ascii="David" w:hAnsi="David" w:cs="David" w:hint="eastAsia"/>
          <w:b/>
          <w:bCs/>
          <w:sz w:val="24"/>
          <w:szCs w:val="24"/>
          <w:rtl/>
        </w:rPr>
        <w:t>על</w:t>
      </w:r>
      <w:r w:rsidRPr="008D2046">
        <w:rPr>
          <w:rFonts w:ascii="David" w:hAnsi="David" w:cs="David"/>
          <w:b/>
          <w:bCs/>
          <w:sz w:val="24"/>
          <w:szCs w:val="24"/>
          <w:rtl/>
        </w:rPr>
        <w:t xml:space="preserve"> מנת לחשב את ההשבחה יש </w:t>
      </w:r>
      <w:r w:rsidRPr="008D2046">
        <w:rPr>
          <w:rFonts w:ascii="David" w:hAnsi="David" w:cs="David" w:hint="eastAsia"/>
          <w:b/>
          <w:bCs/>
          <w:sz w:val="24"/>
          <w:szCs w:val="24"/>
          <w:rtl/>
        </w:rPr>
        <w:t>לחשב</w:t>
      </w:r>
      <w:r w:rsidRPr="008D2046">
        <w:rPr>
          <w:rFonts w:ascii="David" w:hAnsi="David" w:cs="David"/>
          <w:b/>
          <w:bCs/>
          <w:sz w:val="24"/>
          <w:szCs w:val="24"/>
          <w:rtl/>
        </w:rPr>
        <w:t xml:space="preserve"> את היטל ההשבחה (ההפרש בין מצב קודם לבין מצב חדש) </w:t>
      </w:r>
      <w:r w:rsidRPr="00346670">
        <w:rPr>
          <w:rFonts w:ascii="David" w:hAnsi="David" w:cs="David"/>
          <w:b/>
          <w:bCs/>
          <w:sz w:val="24"/>
          <w:szCs w:val="24"/>
          <w:rtl/>
        </w:rPr>
        <w:t xml:space="preserve">ומהיטל ההשבחה יש </w:t>
      </w:r>
      <w:r w:rsidRPr="00346670">
        <w:rPr>
          <w:rFonts w:ascii="David" w:hAnsi="David" w:cs="David" w:hint="eastAsia"/>
          <w:b/>
          <w:bCs/>
          <w:sz w:val="24"/>
          <w:szCs w:val="24"/>
          <w:rtl/>
        </w:rPr>
        <w:t>לקזז</w:t>
      </w:r>
      <w:r w:rsidRPr="00346670">
        <w:rPr>
          <w:rFonts w:ascii="David" w:hAnsi="David" w:cs="David"/>
          <w:b/>
          <w:bCs/>
          <w:sz w:val="24"/>
          <w:szCs w:val="24"/>
          <w:rtl/>
        </w:rPr>
        <w:t xml:space="preserve"> ולפטור את עלות המטלה.</w:t>
      </w:r>
      <w:r w:rsidRPr="008D2046">
        <w:rPr>
          <w:rFonts w:ascii="David" w:hAnsi="David" w:cs="David"/>
          <w:b/>
          <w:bCs/>
          <w:sz w:val="24"/>
          <w:szCs w:val="24"/>
          <w:rtl/>
        </w:rPr>
        <w:t> </w:t>
      </w:r>
    </w:p>
    <w:p w14:paraId="10EB209E" w14:textId="77777777" w:rsidR="00A8665B" w:rsidRPr="008D2046" w:rsidRDefault="00A8665B" w:rsidP="00420C5B">
      <w:pPr>
        <w:pStyle w:val="a9"/>
        <w:numPr>
          <w:ilvl w:val="0"/>
          <w:numId w:val="10"/>
        </w:numPr>
        <w:spacing w:line="360" w:lineRule="auto"/>
        <w:ind w:left="44" w:right="426" w:firstLine="0"/>
        <w:contextualSpacing w:val="0"/>
        <w:jc w:val="both"/>
        <w:rPr>
          <w:rFonts w:ascii="David" w:hAnsi="David" w:cs="David"/>
          <w:b/>
          <w:bCs/>
          <w:rtl/>
        </w:rPr>
      </w:pPr>
      <w:r w:rsidRPr="008D2046">
        <w:rPr>
          <w:rFonts w:ascii="David" w:hAnsi="David" w:cs="David"/>
          <w:b/>
          <w:bCs/>
          <w:sz w:val="24"/>
          <w:szCs w:val="24"/>
          <w:rtl/>
        </w:rPr>
        <w:t xml:space="preserve">דרך חישוב זו מביאה לביטול </w:t>
      </w:r>
      <w:r w:rsidRPr="008D2046">
        <w:rPr>
          <w:rFonts w:ascii="David" w:hAnsi="David" w:cs="David" w:hint="eastAsia"/>
          <w:b/>
          <w:bCs/>
          <w:sz w:val="24"/>
          <w:szCs w:val="24"/>
          <w:rtl/>
        </w:rPr>
        <w:t>שיטת</w:t>
      </w:r>
      <w:r w:rsidRPr="008D2046">
        <w:rPr>
          <w:rFonts w:ascii="David" w:hAnsi="David" w:cs="David"/>
          <w:b/>
          <w:bCs/>
          <w:sz w:val="24"/>
          <w:szCs w:val="24"/>
          <w:rtl/>
        </w:rPr>
        <w:t xml:space="preserve"> החישוב שנקבעה על ידי בית המשפט העליון, שכן במסגרתה לא מחושבת ההשבחה על בסיס השינוי שחל בין שני מצבי התכנון - המצב התכנוני "הקודם" - טרם אישורה של התכנית המשביחה והמצב התכנוני "החדש" לאחר אישורה של התכנית המשביחה, </w:t>
      </w:r>
      <w:r w:rsidRPr="00346670">
        <w:rPr>
          <w:rFonts w:ascii="David" w:hAnsi="David" w:cs="David"/>
          <w:b/>
          <w:bCs/>
          <w:sz w:val="24"/>
          <w:szCs w:val="24"/>
          <w:rtl/>
        </w:rPr>
        <w:t>אלא על בסיס משתנים שונים שמנוטרלים מהיטל ההשבחה עצמו.</w:t>
      </w:r>
      <w:r w:rsidRPr="008D2046">
        <w:rPr>
          <w:rFonts w:ascii="David" w:hAnsi="David" w:cs="David"/>
          <w:b/>
          <w:bCs/>
          <w:sz w:val="24"/>
          <w:szCs w:val="24"/>
          <w:rtl/>
        </w:rPr>
        <w:t> </w:t>
      </w:r>
    </w:p>
    <w:p w14:paraId="274F0D9D" w14:textId="77777777" w:rsidR="00A8665B" w:rsidRPr="008D2046" w:rsidRDefault="00A8665B" w:rsidP="00420C5B">
      <w:pPr>
        <w:pStyle w:val="a9"/>
        <w:numPr>
          <w:ilvl w:val="0"/>
          <w:numId w:val="10"/>
        </w:numPr>
        <w:spacing w:line="360" w:lineRule="auto"/>
        <w:ind w:left="44" w:right="426" w:firstLine="0"/>
        <w:contextualSpacing w:val="0"/>
        <w:jc w:val="both"/>
        <w:rPr>
          <w:rFonts w:ascii="David" w:hAnsi="David" w:cs="David"/>
          <w:b/>
          <w:bCs/>
          <w:rtl/>
        </w:rPr>
      </w:pPr>
      <w:r w:rsidRPr="008D2046">
        <w:rPr>
          <w:rFonts w:ascii="David" w:hAnsi="David" w:cs="David" w:hint="eastAsia"/>
          <w:b/>
          <w:bCs/>
          <w:sz w:val="24"/>
          <w:szCs w:val="24"/>
          <w:rtl/>
        </w:rPr>
        <w:t>דרך</w:t>
      </w:r>
      <w:r w:rsidRPr="008D2046">
        <w:rPr>
          <w:rFonts w:ascii="David" w:hAnsi="David" w:cs="David"/>
          <w:b/>
          <w:bCs/>
          <w:sz w:val="24"/>
          <w:szCs w:val="24"/>
          <w:rtl/>
        </w:rPr>
        <w:t xml:space="preserve"> החישוב המוצעת על ידי החברה, אינה מבוססת על חישוב ההפרש בין שני מצבי התכנון אלא מבוססת על העובדה כי יש לקזז ולפטור את הנישום משוויה של המטלה הציבורית לחלוטין. טענה זו אינה מעוגנת בחוק או בדין </w:t>
      </w:r>
      <w:r w:rsidRPr="00346670">
        <w:rPr>
          <w:rFonts w:ascii="David" w:hAnsi="David" w:cs="David" w:hint="eastAsia"/>
          <w:b/>
          <w:bCs/>
          <w:sz w:val="24"/>
          <w:szCs w:val="24"/>
          <w:rtl/>
        </w:rPr>
        <w:t>וברי</w:t>
      </w:r>
      <w:r w:rsidRPr="00346670">
        <w:rPr>
          <w:rFonts w:ascii="David" w:hAnsi="David" w:cs="David"/>
          <w:b/>
          <w:bCs/>
          <w:sz w:val="24"/>
          <w:szCs w:val="24"/>
          <w:rtl/>
        </w:rPr>
        <w:t xml:space="preserve"> </w:t>
      </w:r>
      <w:r w:rsidRPr="00346670">
        <w:rPr>
          <w:rFonts w:ascii="David" w:hAnsi="David" w:cs="David" w:hint="eastAsia"/>
          <w:b/>
          <w:bCs/>
          <w:sz w:val="24"/>
          <w:szCs w:val="24"/>
          <w:rtl/>
        </w:rPr>
        <w:t>כי</w:t>
      </w:r>
      <w:r w:rsidRPr="00346670">
        <w:rPr>
          <w:rFonts w:ascii="David" w:hAnsi="David" w:cs="David"/>
          <w:b/>
          <w:bCs/>
          <w:sz w:val="24"/>
          <w:szCs w:val="24"/>
          <w:rtl/>
        </w:rPr>
        <w:t xml:space="preserve"> </w:t>
      </w:r>
      <w:r w:rsidRPr="00346670">
        <w:rPr>
          <w:rFonts w:ascii="David" w:hAnsi="David" w:cs="David" w:hint="eastAsia"/>
          <w:b/>
          <w:bCs/>
          <w:sz w:val="24"/>
          <w:szCs w:val="24"/>
          <w:rtl/>
        </w:rPr>
        <w:t>לא</w:t>
      </w:r>
      <w:r w:rsidRPr="00346670">
        <w:rPr>
          <w:rFonts w:ascii="David" w:hAnsi="David" w:cs="David"/>
          <w:b/>
          <w:bCs/>
          <w:sz w:val="24"/>
          <w:szCs w:val="24"/>
          <w:rtl/>
        </w:rPr>
        <w:t xml:space="preserve"> </w:t>
      </w:r>
      <w:r w:rsidRPr="00346670">
        <w:rPr>
          <w:rFonts w:ascii="David" w:hAnsi="David" w:cs="David" w:hint="eastAsia"/>
          <w:b/>
          <w:bCs/>
          <w:sz w:val="24"/>
          <w:szCs w:val="24"/>
          <w:rtl/>
        </w:rPr>
        <w:t>ניתן</w:t>
      </w:r>
      <w:r w:rsidRPr="00346670">
        <w:rPr>
          <w:rFonts w:ascii="David" w:hAnsi="David" w:cs="David"/>
          <w:b/>
          <w:bCs/>
          <w:sz w:val="24"/>
          <w:szCs w:val="24"/>
          <w:rtl/>
        </w:rPr>
        <w:t xml:space="preserve"> </w:t>
      </w:r>
      <w:r w:rsidRPr="00346670">
        <w:rPr>
          <w:rFonts w:ascii="David" w:hAnsi="David" w:cs="David" w:hint="eastAsia"/>
          <w:b/>
          <w:bCs/>
          <w:sz w:val="24"/>
          <w:szCs w:val="24"/>
          <w:rtl/>
        </w:rPr>
        <w:t>לפטור</w:t>
      </w:r>
      <w:r w:rsidRPr="00346670">
        <w:rPr>
          <w:rFonts w:ascii="David" w:hAnsi="David" w:cs="David"/>
          <w:b/>
          <w:bCs/>
          <w:sz w:val="24"/>
          <w:szCs w:val="24"/>
          <w:rtl/>
        </w:rPr>
        <w:t xml:space="preserve"> </w:t>
      </w:r>
      <w:r w:rsidRPr="00346670">
        <w:rPr>
          <w:rFonts w:ascii="David" w:hAnsi="David" w:cs="David" w:hint="eastAsia"/>
          <w:b/>
          <w:bCs/>
          <w:sz w:val="24"/>
          <w:szCs w:val="24"/>
          <w:rtl/>
        </w:rPr>
        <w:t>מהיטל</w:t>
      </w:r>
      <w:r w:rsidRPr="00346670">
        <w:rPr>
          <w:rFonts w:ascii="David" w:hAnsi="David" w:cs="David"/>
          <w:b/>
          <w:bCs/>
          <w:sz w:val="24"/>
          <w:szCs w:val="24"/>
          <w:rtl/>
        </w:rPr>
        <w:t xml:space="preserve"> </w:t>
      </w:r>
      <w:r w:rsidRPr="00346670">
        <w:rPr>
          <w:rFonts w:ascii="David" w:hAnsi="David" w:cs="David" w:hint="eastAsia"/>
          <w:b/>
          <w:bCs/>
          <w:sz w:val="24"/>
          <w:szCs w:val="24"/>
          <w:rtl/>
        </w:rPr>
        <w:t>השבחה</w:t>
      </w:r>
      <w:r w:rsidRPr="00346670">
        <w:rPr>
          <w:rFonts w:ascii="David" w:hAnsi="David" w:cs="David"/>
          <w:b/>
          <w:bCs/>
          <w:sz w:val="24"/>
          <w:szCs w:val="24"/>
          <w:rtl/>
        </w:rPr>
        <w:t xml:space="preserve"> </w:t>
      </w:r>
      <w:r w:rsidRPr="00346670">
        <w:rPr>
          <w:rFonts w:ascii="David" w:hAnsi="David" w:cs="David" w:hint="eastAsia"/>
          <w:b/>
          <w:bCs/>
          <w:sz w:val="24"/>
          <w:szCs w:val="24"/>
          <w:rtl/>
        </w:rPr>
        <w:t>בלא</w:t>
      </w:r>
      <w:r w:rsidRPr="00346670">
        <w:rPr>
          <w:rFonts w:ascii="David" w:hAnsi="David" w:cs="David"/>
          <w:b/>
          <w:bCs/>
          <w:sz w:val="24"/>
          <w:szCs w:val="24"/>
          <w:rtl/>
        </w:rPr>
        <w:t xml:space="preserve"> </w:t>
      </w:r>
      <w:r w:rsidRPr="00346670">
        <w:rPr>
          <w:rFonts w:ascii="David" w:hAnsi="David" w:cs="David" w:hint="eastAsia"/>
          <w:b/>
          <w:bCs/>
          <w:sz w:val="24"/>
          <w:szCs w:val="24"/>
          <w:rtl/>
        </w:rPr>
        <w:t>הוראת</w:t>
      </w:r>
      <w:r w:rsidRPr="00346670">
        <w:rPr>
          <w:rFonts w:ascii="David" w:hAnsi="David" w:cs="David"/>
          <w:b/>
          <w:bCs/>
          <w:sz w:val="24"/>
          <w:szCs w:val="24"/>
          <w:rtl/>
        </w:rPr>
        <w:t xml:space="preserve"> </w:t>
      </w:r>
      <w:r w:rsidRPr="00346670">
        <w:rPr>
          <w:rFonts w:ascii="David" w:hAnsi="David" w:cs="David" w:hint="eastAsia"/>
          <w:b/>
          <w:bCs/>
          <w:sz w:val="24"/>
          <w:szCs w:val="24"/>
          <w:rtl/>
        </w:rPr>
        <w:t>חוק</w:t>
      </w:r>
      <w:r w:rsidRPr="00346670">
        <w:rPr>
          <w:rFonts w:ascii="David" w:hAnsi="David" w:cs="David"/>
          <w:b/>
          <w:bCs/>
          <w:sz w:val="24"/>
          <w:szCs w:val="24"/>
          <w:rtl/>
        </w:rPr>
        <w:t xml:space="preserve"> </w:t>
      </w:r>
      <w:r w:rsidRPr="00346670">
        <w:rPr>
          <w:rFonts w:ascii="David" w:hAnsi="David" w:cs="David" w:hint="eastAsia"/>
          <w:b/>
          <w:bCs/>
          <w:sz w:val="24"/>
          <w:szCs w:val="24"/>
          <w:rtl/>
        </w:rPr>
        <w:t>מפורשת</w:t>
      </w:r>
      <w:r w:rsidRPr="00346670">
        <w:rPr>
          <w:rFonts w:ascii="David" w:hAnsi="David" w:cs="David"/>
          <w:b/>
          <w:bCs/>
          <w:sz w:val="24"/>
          <w:szCs w:val="24"/>
          <w:rtl/>
        </w:rPr>
        <w:t xml:space="preserve"> </w:t>
      </w:r>
      <w:r w:rsidRPr="00346670">
        <w:rPr>
          <w:rFonts w:ascii="David" w:hAnsi="David" w:cs="David" w:hint="eastAsia"/>
          <w:b/>
          <w:bCs/>
          <w:sz w:val="24"/>
          <w:szCs w:val="24"/>
          <w:rtl/>
        </w:rPr>
        <w:t>המתירה</w:t>
      </w:r>
      <w:r w:rsidRPr="00346670">
        <w:rPr>
          <w:rFonts w:ascii="David" w:hAnsi="David" w:cs="David"/>
          <w:b/>
          <w:bCs/>
          <w:sz w:val="24"/>
          <w:szCs w:val="24"/>
          <w:rtl/>
        </w:rPr>
        <w:t xml:space="preserve"> </w:t>
      </w:r>
      <w:r w:rsidRPr="00346670">
        <w:rPr>
          <w:rFonts w:ascii="David" w:hAnsi="David" w:cs="David" w:hint="eastAsia"/>
          <w:b/>
          <w:bCs/>
          <w:sz w:val="24"/>
          <w:szCs w:val="24"/>
          <w:rtl/>
        </w:rPr>
        <w:t>זאת</w:t>
      </w:r>
      <w:r w:rsidRPr="008D2046">
        <w:rPr>
          <w:rFonts w:ascii="David" w:hAnsi="David" w:cs="David"/>
          <w:b/>
          <w:bCs/>
          <w:sz w:val="24"/>
          <w:szCs w:val="24"/>
          <w:rtl/>
        </w:rPr>
        <w:t>; ולמעשה החברה בטענותיה, עותרת לקבלת קיזוז מהיטל ההשבחה או במילים אחרות – "פטור" שאינו מעוגן בחוק</w:t>
      </w:r>
      <w:r w:rsidRPr="008D2046">
        <w:rPr>
          <w:rStyle w:val="af0"/>
          <w:rFonts w:ascii="David" w:hAnsi="David" w:cs="David"/>
          <w:b/>
          <w:bCs/>
          <w:sz w:val="24"/>
          <w:szCs w:val="24"/>
          <w:rtl/>
        </w:rPr>
        <w:footnoteReference w:id="2"/>
      </w:r>
      <w:r w:rsidRPr="008D2046">
        <w:rPr>
          <w:rFonts w:ascii="David" w:hAnsi="David" w:cs="David"/>
          <w:b/>
          <w:bCs/>
          <w:sz w:val="24"/>
          <w:szCs w:val="24"/>
          <w:rtl/>
        </w:rPr>
        <w:t>.</w:t>
      </w:r>
      <w:r w:rsidRPr="008D2046">
        <w:rPr>
          <w:rFonts w:ascii="David" w:hAnsi="David" w:cs="David"/>
          <w:b/>
          <w:bCs/>
          <w:rtl/>
        </w:rPr>
        <w:t xml:space="preserve"> </w:t>
      </w:r>
      <w:r w:rsidRPr="00D615B2">
        <w:rPr>
          <w:rFonts w:ascii="David" w:hAnsi="David" w:cs="David"/>
          <w:b/>
          <w:bCs/>
          <w:sz w:val="24"/>
          <w:szCs w:val="24"/>
          <w:rtl/>
        </w:rPr>
        <w:t>זאת אין לקבל.</w:t>
      </w:r>
    </w:p>
    <w:p w14:paraId="1ECA0D10" w14:textId="3421C750" w:rsidR="00A8665B" w:rsidRDefault="00346670" w:rsidP="00420C5B">
      <w:pPr>
        <w:pStyle w:val="a9"/>
        <w:numPr>
          <w:ilvl w:val="0"/>
          <w:numId w:val="10"/>
        </w:numPr>
        <w:spacing w:line="360" w:lineRule="auto"/>
        <w:ind w:left="44" w:right="426" w:firstLine="0"/>
        <w:contextualSpacing w:val="0"/>
        <w:jc w:val="both"/>
        <w:rPr>
          <w:rFonts w:ascii="David" w:hAnsi="David" w:cs="David"/>
          <w:b/>
          <w:bCs/>
          <w:sz w:val="24"/>
          <w:szCs w:val="24"/>
        </w:rPr>
      </w:pPr>
      <w:r w:rsidRPr="008D2046">
        <w:rPr>
          <w:rFonts w:ascii="David" w:hAnsi="David" w:cs="David"/>
          <w:b/>
          <w:bCs/>
          <w:noProof/>
          <w:color w:val="000000"/>
          <w:sz w:val="26"/>
          <w:szCs w:val="26"/>
          <w:bdr w:val="none" w:sz="0" w:space="0" w:color="auto" w:frame="1"/>
        </w:rPr>
        <w:drawing>
          <wp:anchor distT="0" distB="0" distL="114300" distR="114300" simplePos="0" relativeHeight="251668480" behindDoc="0" locked="0" layoutInCell="1" allowOverlap="1" wp14:anchorId="3393D1CA" wp14:editId="0159B955">
            <wp:simplePos x="0" y="0"/>
            <wp:positionH relativeFrom="column">
              <wp:posOffset>1227455</wp:posOffset>
            </wp:positionH>
            <wp:positionV relativeFrom="paragraph">
              <wp:posOffset>818410</wp:posOffset>
            </wp:positionV>
            <wp:extent cx="3424543" cy="3090862"/>
            <wp:effectExtent l="0" t="0" r="5080" b="0"/>
            <wp:wrapTopAndBottom/>
            <wp:docPr id="5" name="תמונה 5" descr="https://lh7-rt.googleusercontent.com/docsz/AD_4nXf2sDjJWfoo_y76sbOWqPrmg5yEfrS8TCtOD_tte5X3eNx-_ef0Jlija0vf-Kya9md-1SRwcr-OdbevgIJnO4sFu2pBAblEiqFja_2F8kDuU11GoRZU5NVpQfeMiCxmHmjzsaJ3kLB77rQZ1FemotE?key=RVYFH_o_0zWu2GkvfLrJPr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rt.googleusercontent.com/docsz/AD_4nXf2sDjJWfoo_y76sbOWqPrmg5yEfrS8TCtOD_tte5X3eNx-_ef0Jlija0vf-Kya9md-1SRwcr-OdbevgIJnO4sFu2pBAblEiqFja_2F8kDuU11GoRZU5NVpQfeMiCxmHmjzsaJ3kLB77rQZ1FemotE?key=RVYFH_o_0zWu2GkvfLrJPrFT"/>
                    <pic:cNvPicPr>
                      <a:picLocks noChangeAspect="1" noChangeArrowheads="1"/>
                    </pic:cNvPicPr>
                  </pic:nvPicPr>
                  <pic:blipFill rotWithShape="1">
                    <a:blip r:embed="rId24">
                      <a:extLst>
                        <a:ext uri="{28A0092B-C50C-407E-A947-70E740481C1C}">
                          <a14:useLocalDpi xmlns:a14="http://schemas.microsoft.com/office/drawing/2010/main" val="0"/>
                        </a:ext>
                      </a:extLst>
                    </a:blip>
                    <a:srcRect l="29274" t="31296" r="33836" b="9670"/>
                    <a:stretch/>
                  </pic:blipFill>
                  <pic:spPr bwMode="auto">
                    <a:xfrm>
                      <a:off x="0" y="0"/>
                      <a:ext cx="3424543" cy="30908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665B" w:rsidRPr="008D2046">
        <w:rPr>
          <w:rFonts w:ascii="David" w:hAnsi="David" w:cs="David"/>
          <w:b/>
          <w:bCs/>
          <w:sz w:val="24"/>
          <w:szCs w:val="24"/>
          <w:rtl/>
        </w:rPr>
        <w:t xml:space="preserve">עוד נציין כי סוגיה זו כבר </w:t>
      </w:r>
      <w:r w:rsidR="00A8665B" w:rsidRPr="008D2046">
        <w:rPr>
          <w:rFonts w:ascii="David" w:hAnsi="David" w:cs="David" w:hint="eastAsia"/>
          <w:b/>
          <w:bCs/>
          <w:sz w:val="24"/>
          <w:szCs w:val="24"/>
          <w:rtl/>
        </w:rPr>
        <w:t>הובאה</w:t>
      </w:r>
      <w:r w:rsidR="00A8665B" w:rsidRPr="008D2046">
        <w:rPr>
          <w:rFonts w:ascii="David" w:hAnsi="David" w:cs="David"/>
          <w:b/>
          <w:bCs/>
          <w:sz w:val="24"/>
          <w:szCs w:val="24"/>
          <w:rtl/>
        </w:rPr>
        <w:t xml:space="preserve"> </w:t>
      </w:r>
      <w:r w:rsidR="00A8665B" w:rsidRPr="008D2046">
        <w:rPr>
          <w:rFonts w:ascii="David" w:hAnsi="David" w:cs="David" w:hint="eastAsia"/>
          <w:b/>
          <w:bCs/>
          <w:sz w:val="24"/>
          <w:szCs w:val="24"/>
          <w:rtl/>
        </w:rPr>
        <w:t>בפני</w:t>
      </w:r>
      <w:r w:rsidR="00A8665B" w:rsidRPr="008D2046">
        <w:rPr>
          <w:rFonts w:ascii="David" w:hAnsi="David" w:cs="David"/>
          <w:b/>
          <w:bCs/>
          <w:sz w:val="24"/>
          <w:szCs w:val="24"/>
          <w:rtl/>
        </w:rPr>
        <w:t xml:space="preserve"> </w:t>
      </w:r>
      <w:r w:rsidR="00A8665B" w:rsidRPr="008D2046">
        <w:rPr>
          <w:rFonts w:ascii="David" w:hAnsi="David" w:cs="David" w:hint="eastAsia"/>
          <w:b/>
          <w:bCs/>
          <w:sz w:val="24"/>
          <w:szCs w:val="24"/>
          <w:rtl/>
        </w:rPr>
        <w:t>בית</w:t>
      </w:r>
      <w:r w:rsidR="00A8665B" w:rsidRPr="008D2046">
        <w:rPr>
          <w:rFonts w:ascii="David" w:hAnsi="David" w:cs="David"/>
          <w:b/>
          <w:bCs/>
          <w:sz w:val="24"/>
          <w:szCs w:val="24"/>
          <w:rtl/>
        </w:rPr>
        <w:t xml:space="preserve"> </w:t>
      </w:r>
      <w:r w:rsidR="00A8665B" w:rsidRPr="008D2046">
        <w:rPr>
          <w:rFonts w:ascii="David" w:hAnsi="David" w:cs="David" w:hint="eastAsia"/>
          <w:b/>
          <w:bCs/>
          <w:sz w:val="24"/>
          <w:szCs w:val="24"/>
          <w:rtl/>
        </w:rPr>
        <w:t>המשפט</w:t>
      </w:r>
      <w:r w:rsidR="00A8665B" w:rsidRPr="008D2046">
        <w:rPr>
          <w:rFonts w:ascii="David" w:hAnsi="David" w:cs="David"/>
          <w:b/>
          <w:bCs/>
          <w:sz w:val="24"/>
          <w:szCs w:val="24"/>
          <w:rtl/>
        </w:rPr>
        <w:t xml:space="preserve"> העליון בעניין </w:t>
      </w:r>
      <w:proofErr w:type="spellStart"/>
      <w:r w:rsidR="00A8665B" w:rsidRPr="008D2046">
        <w:rPr>
          <w:rFonts w:ascii="David" w:hAnsi="David" w:cs="David"/>
          <w:b/>
          <w:bCs/>
          <w:sz w:val="24"/>
          <w:szCs w:val="24"/>
          <w:rtl/>
        </w:rPr>
        <w:t>ברמ</w:t>
      </w:r>
      <w:proofErr w:type="spellEnd"/>
      <w:r w:rsidR="00A8665B" w:rsidRPr="008D2046">
        <w:rPr>
          <w:rFonts w:ascii="David" w:hAnsi="David" w:cs="David"/>
          <w:b/>
          <w:bCs/>
          <w:sz w:val="24"/>
          <w:szCs w:val="24"/>
          <w:rtl/>
        </w:rPr>
        <w:t xml:space="preserve"> 7255/17 </w:t>
      </w:r>
      <w:r w:rsidR="00A8665B" w:rsidRPr="00346670">
        <w:rPr>
          <w:rFonts w:ascii="David" w:hAnsi="David" w:cs="David"/>
          <w:b/>
          <w:bCs/>
          <w:sz w:val="24"/>
          <w:szCs w:val="24"/>
          <w:rtl/>
        </w:rPr>
        <w:t>הוועדה המקומית לתכנון ובניה תל אביב נ' אורלי בורשטיין</w:t>
      </w:r>
      <w:r w:rsidR="00A8665B" w:rsidRPr="008D2046">
        <w:rPr>
          <w:rFonts w:ascii="David" w:hAnsi="David" w:cs="David"/>
          <w:b/>
          <w:bCs/>
          <w:sz w:val="24"/>
          <w:szCs w:val="24"/>
          <w:rtl/>
        </w:rPr>
        <w:t xml:space="preserve"> (נבו). </w:t>
      </w:r>
      <w:r w:rsidR="00A8665B" w:rsidRPr="008D2046">
        <w:rPr>
          <w:rFonts w:ascii="David" w:hAnsi="David" w:cs="David" w:hint="eastAsia"/>
          <w:b/>
          <w:bCs/>
          <w:sz w:val="24"/>
          <w:szCs w:val="24"/>
          <w:rtl/>
        </w:rPr>
        <w:t>כך</w:t>
      </w:r>
      <w:r w:rsidR="00A8665B" w:rsidRPr="008D2046">
        <w:rPr>
          <w:rFonts w:ascii="David" w:hAnsi="David" w:cs="David"/>
          <w:b/>
          <w:bCs/>
          <w:sz w:val="24"/>
          <w:szCs w:val="24"/>
          <w:rtl/>
        </w:rPr>
        <w:t xml:space="preserve"> </w:t>
      </w:r>
      <w:r w:rsidR="00A8665B" w:rsidRPr="008D2046">
        <w:rPr>
          <w:rFonts w:ascii="David" w:hAnsi="David" w:cs="David" w:hint="eastAsia"/>
          <w:b/>
          <w:bCs/>
          <w:sz w:val="24"/>
          <w:szCs w:val="24"/>
          <w:rtl/>
        </w:rPr>
        <w:t>הוב</w:t>
      </w:r>
      <w:r w:rsidR="00A8375A">
        <w:rPr>
          <w:rFonts w:ascii="David" w:hAnsi="David" w:cs="David" w:hint="cs"/>
          <w:b/>
          <w:bCs/>
          <w:sz w:val="24"/>
          <w:szCs w:val="24"/>
          <w:rtl/>
        </w:rPr>
        <w:t>עה</w:t>
      </w:r>
      <w:r w:rsidR="00A8665B" w:rsidRPr="008D2046">
        <w:rPr>
          <w:rFonts w:ascii="David" w:hAnsi="David" w:cs="David"/>
          <w:b/>
          <w:bCs/>
          <w:sz w:val="24"/>
          <w:szCs w:val="24"/>
          <w:rtl/>
        </w:rPr>
        <w:t xml:space="preserve"> עמדת היועץ המשפטי לממשלה:</w:t>
      </w:r>
    </w:p>
    <w:p w14:paraId="611CF1E7" w14:textId="72933540" w:rsidR="00CD275C" w:rsidRDefault="00CD275C" w:rsidP="00CD275C">
      <w:pPr>
        <w:spacing w:line="360" w:lineRule="auto"/>
        <w:ind w:right="426"/>
        <w:jc w:val="both"/>
        <w:rPr>
          <w:rFonts w:ascii="David" w:hAnsi="David" w:cs="David"/>
          <w:b/>
          <w:bCs/>
          <w:sz w:val="24"/>
          <w:szCs w:val="24"/>
        </w:rPr>
      </w:pPr>
      <w:r w:rsidRPr="008D2046">
        <w:rPr>
          <w:noProof/>
          <w:bdr w:val="none" w:sz="0" w:space="0" w:color="auto" w:frame="1"/>
        </w:rPr>
        <w:lastRenderedPageBreak/>
        <w:drawing>
          <wp:anchor distT="0" distB="0" distL="114300" distR="114300" simplePos="0" relativeHeight="251670528" behindDoc="0" locked="0" layoutInCell="1" allowOverlap="1" wp14:anchorId="745D0E76" wp14:editId="3A769732">
            <wp:simplePos x="0" y="0"/>
            <wp:positionH relativeFrom="column">
              <wp:posOffset>1294130</wp:posOffset>
            </wp:positionH>
            <wp:positionV relativeFrom="paragraph">
              <wp:posOffset>323850</wp:posOffset>
            </wp:positionV>
            <wp:extent cx="4038600" cy="2399665"/>
            <wp:effectExtent l="0" t="0" r="0" b="635"/>
            <wp:wrapTopAndBottom/>
            <wp:docPr id="7" name="תמונה 7" descr="https://lh7-rt.googleusercontent.com/docsz/AD_4nXcqDtFStG9ec1ah9CkFF5BT__fy2MGwWasevgbjLDTBYgUby8_DQn_8YNepReub_CvSILYf52pGzJ13JgLdmUgZypmf1anJUb4G9OBerfi_jBTZTDS2EW6hZEbGEyrAtnTEpoWIaMDRkvCul_mDce8?key=RVYFH_o_0zWu2GkvfLrJPr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rt.googleusercontent.com/docsz/AD_4nXcqDtFStG9ec1ah9CkFF5BT__fy2MGwWasevgbjLDTBYgUby8_DQn_8YNepReub_CvSILYf52pGzJ13JgLdmUgZypmf1anJUb4G9OBerfi_jBTZTDS2EW6hZEbGEyrAtnTEpoWIaMDRkvCul_mDce8?key=RVYFH_o_0zWu2GkvfLrJPrFT"/>
                    <pic:cNvPicPr>
                      <a:picLocks noChangeAspect="1" noChangeArrowheads="1"/>
                    </pic:cNvPicPr>
                  </pic:nvPicPr>
                  <pic:blipFill rotWithShape="1">
                    <a:blip r:embed="rId25">
                      <a:extLst>
                        <a:ext uri="{28A0092B-C50C-407E-A947-70E740481C1C}">
                          <a14:useLocalDpi xmlns:a14="http://schemas.microsoft.com/office/drawing/2010/main" val="0"/>
                        </a:ext>
                      </a:extLst>
                    </a:blip>
                    <a:srcRect l="25727" t="38154" r="30607" b="15571"/>
                    <a:stretch/>
                  </pic:blipFill>
                  <pic:spPr bwMode="auto">
                    <a:xfrm>
                      <a:off x="0" y="0"/>
                      <a:ext cx="4038600" cy="2399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6EBB29" w14:textId="77777777" w:rsidR="00E9173E" w:rsidRPr="008D2046" w:rsidRDefault="00E9173E" w:rsidP="00CD275C">
      <w:pPr>
        <w:spacing w:line="360" w:lineRule="auto"/>
        <w:ind w:right="426"/>
        <w:jc w:val="both"/>
        <w:rPr>
          <w:rFonts w:ascii="David" w:hAnsi="David" w:cs="David"/>
          <w:b/>
          <w:bCs/>
          <w:sz w:val="24"/>
          <w:szCs w:val="24"/>
        </w:rPr>
      </w:pPr>
    </w:p>
    <w:p w14:paraId="3CB48272" w14:textId="34AF4C50" w:rsidR="00A8665B" w:rsidRPr="008D2046" w:rsidRDefault="00A8665B" w:rsidP="00420C5B">
      <w:pPr>
        <w:pStyle w:val="a9"/>
        <w:numPr>
          <w:ilvl w:val="0"/>
          <w:numId w:val="10"/>
        </w:numPr>
        <w:spacing w:line="360" w:lineRule="auto"/>
        <w:ind w:left="44" w:right="426" w:firstLine="0"/>
        <w:contextualSpacing w:val="0"/>
        <w:jc w:val="both"/>
        <w:rPr>
          <w:rFonts w:ascii="David" w:hAnsi="David" w:cs="David"/>
          <w:b/>
          <w:bCs/>
          <w:sz w:val="24"/>
          <w:szCs w:val="24"/>
          <w:rtl/>
        </w:rPr>
      </w:pPr>
      <w:r w:rsidRPr="008D2046">
        <w:rPr>
          <w:rFonts w:ascii="David" w:hAnsi="David" w:cs="David"/>
          <w:b/>
          <w:bCs/>
          <w:sz w:val="24"/>
          <w:szCs w:val="24"/>
          <w:rtl/>
        </w:rPr>
        <w:t>ראה התייחסות לעניין זה בפסק דינו של בית המשפט העליון - סעיפים 20 - 21 לפסק הדין.</w:t>
      </w:r>
    </w:p>
    <w:p w14:paraId="73FD2A4D" w14:textId="77777777" w:rsidR="00A8665B" w:rsidRPr="008D2046" w:rsidRDefault="00A8665B" w:rsidP="00420C5B">
      <w:pPr>
        <w:pStyle w:val="a9"/>
        <w:numPr>
          <w:ilvl w:val="0"/>
          <w:numId w:val="10"/>
        </w:numPr>
        <w:spacing w:line="360" w:lineRule="auto"/>
        <w:ind w:left="44" w:right="426" w:firstLine="0"/>
        <w:contextualSpacing w:val="0"/>
        <w:jc w:val="both"/>
        <w:rPr>
          <w:rFonts w:ascii="David" w:hAnsi="David" w:cs="David"/>
          <w:b/>
          <w:bCs/>
          <w:sz w:val="24"/>
          <w:szCs w:val="24"/>
        </w:rPr>
      </w:pPr>
      <w:r w:rsidRPr="008D2046">
        <w:rPr>
          <w:rFonts w:ascii="David" w:hAnsi="David" w:cs="David" w:hint="eastAsia"/>
          <w:b/>
          <w:bCs/>
          <w:sz w:val="24"/>
          <w:szCs w:val="24"/>
          <w:rtl/>
        </w:rPr>
        <w:t>נוכח</w:t>
      </w:r>
      <w:r w:rsidRPr="008D2046">
        <w:rPr>
          <w:rFonts w:ascii="David" w:hAnsi="David" w:cs="David"/>
          <w:b/>
          <w:bCs/>
          <w:sz w:val="24"/>
          <w:szCs w:val="24"/>
          <w:rtl/>
        </w:rPr>
        <w:t xml:space="preserve"> </w:t>
      </w:r>
      <w:r w:rsidRPr="008D2046">
        <w:rPr>
          <w:rFonts w:ascii="David" w:hAnsi="David" w:cs="David" w:hint="eastAsia"/>
          <w:b/>
          <w:bCs/>
          <w:sz w:val="24"/>
          <w:szCs w:val="24"/>
          <w:rtl/>
        </w:rPr>
        <w:t>האמור</w:t>
      </w:r>
      <w:r w:rsidRPr="008D2046">
        <w:rPr>
          <w:rFonts w:ascii="David" w:hAnsi="David" w:cs="David"/>
          <w:b/>
          <w:bCs/>
          <w:sz w:val="24"/>
          <w:szCs w:val="24"/>
          <w:rtl/>
        </w:rPr>
        <w:t xml:space="preserve">, אנו סבורים כי יישום ההלכות הקבועות בבית המשפט העליון אינן מאפשרות "קיזוז" מהיטל ההשבחה עצמו, אלא רק את </w:t>
      </w:r>
      <w:r w:rsidRPr="008D2046">
        <w:rPr>
          <w:rFonts w:ascii="David" w:hAnsi="David" w:cs="David" w:hint="eastAsia"/>
          <w:b/>
          <w:bCs/>
          <w:sz w:val="24"/>
          <w:szCs w:val="24"/>
          <w:rtl/>
        </w:rPr>
        <w:t>חישוב</w:t>
      </w:r>
      <w:r w:rsidRPr="008D2046">
        <w:rPr>
          <w:rFonts w:ascii="David" w:hAnsi="David" w:cs="David"/>
          <w:b/>
          <w:bCs/>
          <w:sz w:val="24"/>
          <w:szCs w:val="24"/>
          <w:rtl/>
        </w:rPr>
        <w:t xml:space="preserve"> ההשבחה </w:t>
      </w:r>
      <w:r w:rsidRPr="008D2046">
        <w:rPr>
          <w:rFonts w:ascii="David" w:hAnsi="David" w:cs="David" w:hint="eastAsia"/>
          <w:b/>
          <w:bCs/>
          <w:sz w:val="24"/>
          <w:szCs w:val="24"/>
          <w:rtl/>
        </w:rPr>
        <w:t>המהווה</w:t>
      </w:r>
      <w:r w:rsidRPr="008D2046">
        <w:rPr>
          <w:rFonts w:ascii="David" w:hAnsi="David" w:cs="David"/>
          <w:b/>
          <w:bCs/>
          <w:sz w:val="24"/>
          <w:szCs w:val="24"/>
          <w:rtl/>
        </w:rPr>
        <w:t xml:space="preserve"> </w:t>
      </w:r>
      <w:r w:rsidRPr="008D2046">
        <w:rPr>
          <w:rFonts w:ascii="David" w:hAnsi="David" w:cs="David" w:hint="eastAsia"/>
          <w:b/>
          <w:bCs/>
          <w:sz w:val="24"/>
          <w:szCs w:val="24"/>
          <w:rtl/>
        </w:rPr>
        <w:t>את</w:t>
      </w:r>
      <w:r w:rsidRPr="008D2046">
        <w:rPr>
          <w:rFonts w:ascii="David" w:hAnsi="David" w:cs="David"/>
          <w:b/>
          <w:bCs/>
          <w:sz w:val="24"/>
          <w:szCs w:val="24"/>
          <w:rtl/>
        </w:rPr>
        <w:t xml:space="preserve"> ההפרש בין שני מצבי התכנון.</w:t>
      </w:r>
    </w:p>
    <w:p w14:paraId="524CB279" w14:textId="77777777" w:rsidR="00A8665B" w:rsidRPr="008D2046" w:rsidRDefault="00A8665B" w:rsidP="00420C5B">
      <w:pPr>
        <w:pStyle w:val="a9"/>
        <w:numPr>
          <w:ilvl w:val="0"/>
          <w:numId w:val="10"/>
        </w:numPr>
        <w:spacing w:line="360" w:lineRule="auto"/>
        <w:ind w:left="44" w:right="426" w:firstLine="0"/>
        <w:contextualSpacing w:val="0"/>
        <w:jc w:val="both"/>
        <w:rPr>
          <w:rFonts w:ascii="David" w:hAnsi="David" w:cs="David"/>
          <w:b/>
          <w:bCs/>
          <w:sz w:val="24"/>
          <w:szCs w:val="24"/>
          <w:rtl/>
        </w:rPr>
      </w:pPr>
      <w:r w:rsidRPr="008D2046">
        <w:rPr>
          <w:rFonts w:ascii="David" w:hAnsi="David" w:cs="David"/>
          <w:b/>
          <w:bCs/>
          <w:sz w:val="24"/>
          <w:szCs w:val="24"/>
          <w:rtl/>
        </w:rPr>
        <w:t xml:space="preserve">בהקשר זה נבהיר כי התייחסות החברה באופן שונה למקרה בו המטלה נולדה עם אישור התכנית </w:t>
      </w:r>
      <w:r w:rsidRPr="008D2046">
        <w:rPr>
          <w:rFonts w:ascii="David" w:hAnsi="David" w:cs="David" w:hint="eastAsia"/>
          <w:b/>
          <w:bCs/>
          <w:sz w:val="24"/>
          <w:szCs w:val="24"/>
          <w:rtl/>
        </w:rPr>
        <w:t>למקרה</w:t>
      </w:r>
      <w:r w:rsidRPr="008D2046">
        <w:rPr>
          <w:rFonts w:ascii="David" w:hAnsi="David" w:cs="David"/>
          <w:b/>
          <w:bCs/>
          <w:sz w:val="24"/>
          <w:szCs w:val="24"/>
          <w:rtl/>
        </w:rPr>
        <w:t xml:space="preserve"> בו היתה המטלה חובה גם במצב הקודם, אינה משנה כהוא זה מהחלטתנו. כך גם עולה מהמפורט לעיל ומבחן ההשבחה הנובע מהפרש השווי בין שני מצבי התכנון.</w:t>
      </w:r>
    </w:p>
    <w:p w14:paraId="6367B860" w14:textId="0CEE356E" w:rsidR="00A8665B" w:rsidRPr="008D2046" w:rsidRDefault="00A8665B" w:rsidP="00420C5B">
      <w:pPr>
        <w:pStyle w:val="a9"/>
        <w:numPr>
          <w:ilvl w:val="0"/>
          <w:numId w:val="10"/>
        </w:numPr>
        <w:spacing w:line="360" w:lineRule="auto"/>
        <w:ind w:left="44" w:right="426" w:firstLine="0"/>
        <w:contextualSpacing w:val="0"/>
        <w:jc w:val="both"/>
        <w:rPr>
          <w:rFonts w:ascii="David" w:hAnsi="David" w:cs="David"/>
          <w:b/>
          <w:bCs/>
          <w:sz w:val="24"/>
          <w:szCs w:val="24"/>
        </w:rPr>
      </w:pPr>
      <w:r w:rsidRPr="008D2046">
        <w:rPr>
          <w:rFonts w:ascii="David" w:hAnsi="David" w:cs="David" w:hint="eastAsia"/>
          <w:b/>
          <w:bCs/>
          <w:sz w:val="24"/>
          <w:szCs w:val="24"/>
          <w:rtl/>
        </w:rPr>
        <w:t>לסיום</w:t>
      </w:r>
      <w:r w:rsidRPr="008D2046">
        <w:rPr>
          <w:rFonts w:ascii="David" w:hAnsi="David" w:cs="David"/>
          <w:b/>
          <w:bCs/>
          <w:sz w:val="24"/>
          <w:szCs w:val="24"/>
          <w:rtl/>
        </w:rPr>
        <w:t xml:space="preserve"> </w:t>
      </w:r>
      <w:r w:rsidRPr="008D2046">
        <w:rPr>
          <w:rFonts w:ascii="David" w:hAnsi="David" w:cs="David" w:hint="eastAsia"/>
          <w:b/>
          <w:bCs/>
          <w:sz w:val="24"/>
          <w:szCs w:val="24"/>
          <w:rtl/>
        </w:rPr>
        <w:t>יאמר</w:t>
      </w:r>
      <w:r w:rsidRPr="008D2046">
        <w:rPr>
          <w:rFonts w:ascii="David" w:hAnsi="David" w:cs="David"/>
          <w:b/>
          <w:bCs/>
          <w:sz w:val="24"/>
          <w:szCs w:val="24"/>
          <w:rtl/>
        </w:rPr>
        <w:t xml:space="preserve"> </w:t>
      </w:r>
      <w:r w:rsidRPr="008D2046">
        <w:rPr>
          <w:rFonts w:ascii="David" w:hAnsi="David" w:cs="David" w:hint="eastAsia"/>
          <w:b/>
          <w:bCs/>
          <w:sz w:val="24"/>
          <w:szCs w:val="24"/>
          <w:rtl/>
        </w:rPr>
        <w:t>כי</w:t>
      </w:r>
      <w:r w:rsidRPr="008D2046">
        <w:rPr>
          <w:rFonts w:ascii="David" w:hAnsi="David" w:cs="David"/>
          <w:b/>
          <w:bCs/>
          <w:sz w:val="24"/>
          <w:szCs w:val="24"/>
          <w:rtl/>
        </w:rPr>
        <w:t xml:space="preserve"> </w:t>
      </w:r>
      <w:r w:rsidRPr="008D2046">
        <w:rPr>
          <w:rFonts w:ascii="David" w:hAnsi="David" w:cs="David" w:hint="eastAsia"/>
          <w:b/>
          <w:bCs/>
          <w:sz w:val="24"/>
          <w:szCs w:val="24"/>
          <w:rtl/>
        </w:rPr>
        <w:t>ניתן</w:t>
      </w:r>
      <w:r w:rsidRPr="008D2046">
        <w:rPr>
          <w:rFonts w:ascii="David" w:hAnsi="David" w:cs="David"/>
          <w:b/>
          <w:bCs/>
          <w:sz w:val="24"/>
          <w:szCs w:val="24"/>
          <w:rtl/>
        </w:rPr>
        <w:t xml:space="preserve"> </w:t>
      </w:r>
      <w:r w:rsidRPr="008D2046">
        <w:rPr>
          <w:rFonts w:ascii="David" w:hAnsi="David" w:cs="David" w:hint="eastAsia"/>
          <w:b/>
          <w:bCs/>
          <w:sz w:val="24"/>
          <w:szCs w:val="24"/>
          <w:rtl/>
        </w:rPr>
        <w:t>להניח</w:t>
      </w:r>
      <w:r w:rsidRPr="008D2046">
        <w:rPr>
          <w:rFonts w:ascii="David" w:hAnsi="David" w:cs="David"/>
          <w:b/>
          <w:bCs/>
          <w:sz w:val="24"/>
          <w:szCs w:val="24"/>
          <w:rtl/>
        </w:rPr>
        <w:t xml:space="preserve"> שגם במסגרת הליכי התכנון המטלה </w:t>
      </w:r>
      <w:r w:rsidRPr="008D2046">
        <w:rPr>
          <w:rFonts w:ascii="David" w:hAnsi="David" w:cs="David" w:hint="eastAsia"/>
          <w:b/>
          <w:bCs/>
          <w:sz w:val="24"/>
          <w:szCs w:val="24"/>
          <w:rtl/>
        </w:rPr>
        <w:t>תלקח</w:t>
      </w:r>
      <w:r w:rsidRPr="008D2046">
        <w:rPr>
          <w:rFonts w:ascii="David" w:hAnsi="David" w:cs="David"/>
          <w:b/>
          <w:bCs/>
          <w:sz w:val="24"/>
          <w:szCs w:val="24"/>
          <w:rtl/>
        </w:rPr>
        <w:t xml:space="preserve"> בחשבון במסגרת האומדן הכל</w:t>
      </w:r>
      <w:r w:rsidRPr="008D2046">
        <w:rPr>
          <w:rFonts w:ascii="David" w:hAnsi="David" w:cs="David" w:hint="eastAsia"/>
          <w:b/>
          <w:bCs/>
          <w:sz w:val="24"/>
          <w:szCs w:val="24"/>
          <w:rtl/>
        </w:rPr>
        <w:t>כ</w:t>
      </w:r>
      <w:r w:rsidRPr="008D2046">
        <w:rPr>
          <w:rFonts w:ascii="David" w:hAnsi="David" w:cs="David"/>
          <w:b/>
          <w:bCs/>
          <w:sz w:val="24"/>
          <w:szCs w:val="24"/>
          <w:rtl/>
        </w:rPr>
        <w:t xml:space="preserve">לי טרם אישורה של התכנית. ולכן </w:t>
      </w:r>
      <w:r w:rsidRPr="008D2046">
        <w:rPr>
          <w:rFonts w:ascii="David" w:hAnsi="David" w:cs="David" w:hint="eastAsia"/>
          <w:b/>
          <w:bCs/>
          <w:sz w:val="24"/>
          <w:szCs w:val="24"/>
          <w:rtl/>
        </w:rPr>
        <w:t>ניתן</w:t>
      </w:r>
      <w:r w:rsidRPr="008D2046">
        <w:rPr>
          <w:rFonts w:ascii="David" w:hAnsi="David" w:cs="David"/>
          <w:b/>
          <w:bCs/>
          <w:sz w:val="24"/>
          <w:szCs w:val="24"/>
          <w:rtl/>
        </w:rPr>
        <w:t xml:space="preserve"> </w:t>
      </w:r>
      <w:r w:rsidRPr="008D2046">
        <w:rPr>
          <w:rFonts w:ascii="David" w:hAnsi="David" w:cs="David" w:hint="eastAsia"/>
          <w:b/>
          <w:bCs/>
          <w:sz w:val="24"/>
          <w:szCs w:val="24"/>
          <w:rtl/>
        </w:rPr>
        <w:t>להעלות</w:t>
      </w:r>
      <w:r w:rsidRPr="008D2046">
        <w:rPr>
          <w:rFonts w:ascii="David" w:hAnsi="David" w:cs="David"/>
          <w:b/>
          <w:bCs/>
          <w:sz w:val="24"/>
          <w:szCs w:val="24"/>
          <w:rtl/>
        </w:rPr>
        <w:t xml:space="preserve"> </w:t>
      </w:r>
      <w:r w:rsidRPr="008D2046">
        <w:rPr>
          <w:rFonts w:ascii="David" w:hAnsi="David" w:cs="David" w:hint="eastAsia"/>
          <w:b/>
          <w:bCs/>
          <w:sz w:val="24"/>
          <w:szCs w:val="24"/>
          <w:rtl/>
        </w:rPr>
        <w:t>על</w:t>
      </w:r>
      <w:r w:rsidRPr="008D2046">
        <w:rPr>
          <w:rFonts w:ascii="David" w:hAnsi="David" w:cs="David"/>
          <w:b/>
          <w:bCs/>
          <w:sz w:val="24"/>
          <w:szCs w:val="24"/>
          <w:rtl/>
        </w:rPr>
        <w:t xml:space="preserve"> </w:t>
      </w:r>
      <w:r w:rsidRPr="008D2046">
        <w:rPr>
          <w:rFonts w:ascii="David" w:hAnsi="David" w:cs="David" w:hint="eastAsia"/>
          <w:b/>
          <w:bCs/>
          <w:sz w:val="24"/>
          <w:szCs w:val="24"/>
          <w:rtl/>
        </w:rPr>
        <w:t>הדעת</w:t>
      </w:r>
      <w:r w:rsidRPr="008D2046">
        <w:rPr>
          <w:rFonts w:ascii="David" w:hAnsi="David" w:cs="David"/>
          <w:b/>
          <w:bCs/>
          <w:sz w:val="24"/>
          <w:szCs w:val="24"/>
          <w:rtl/>
        </w:rPr>
        <w:t xml:space="preserve"> </w:t>
      </w:r>
      <w:r w:rsidRPr="008D2046">
        <w:rPr>
          <w:rFonts w:ascii="David" w:hAnsi="David" w:cs="David" w:hint="eastAsia"/>
          <w:b/>
          <w:bCs/>
          <w:sz w:val="24"/>
          <w:szCs w:val="24"/>
          <w:rtl/>
        </w:rPr>
        <w:t>מצב</w:t>
      </w:r>
      <w:r w:rsidRPr="008D2046">
        <w:rPr>
          <w:rFonts w:ascii="David" w:hAnsi="David" w:cs="David"/>
          <w:b/>
          <w:bCs/>
          <w:sz w:val="24"/>
          <w:szCs w:val="24"/>
          <w:rtl/>
        </w:rPr>
        <w:t xml:space="preserve"> </w:t>
      </w:r>
      <w:r w:rsidRPr="008D2046">
        <w:rPr>
          <w:rFonts w:ascii="David" w:hAnsi="David" w:cs="David" w:hint="eastAsia"/>
          <w:b/>
          <w:bCs/>
          <w:sz w:val="24"/>
          <w:szCs w:val="24"/>
          <w:rtl/>
        </w:rPr>
        <w:t>בו</w:t>
      </w:r>
      <w:r w:rsidRPr="008D2046">
        <w:rPr>
          <w:rFonts w:ascii="David" w:hAnsi="David" w:cs="David"/>
          <w:b/>
          <w:bCs/>
          <w:sz w:val="24"/>
          <w:szCs w:val="24"/>
          <w:rtl/>
        </w:rPr>
        <w:t xml:space="preserve"> </w:t>
      </w:r>
      <w:r w:rsidRPr="000730DF">
        <w:rPr>
          <w:rFonts w:ascii="David" w:hAnsi="David" w:cs="David"/>
          <w:b/>
          <w:bCs/>
          <w:sz w:val="24"/>
          <w:szCs w:val="24"/>
          <w:u w:val="single"/>
          <w:rtl/>
        </w:rPr>
        <w:t>קיזוז מלא של המטלה בשלב היטל ההשבחה, עשוי להביא דווקא להעדר איזון ביחס לשלב התכנון ולדו"ח הרווח עליו הוא התבסס בשלבי התכנון</w:t>
      </w:r>
      <w:r w:rsidRPr="008D2046">
        <w:rPr>
          <w:rFonts w:ascii="David" w:hAnsi="David" w:cs="David"/>
          <w:b/>
          <w:bCs/>
          <w:sz w:val="24"/>
          <w:szCs w:val="24"/>
          <w:rtl/>
        </w:rPr>
        <w:t>.</w:t>
      </w:r>
      <w:r w:rsidRPr="008D2046" w:rsidDel="0076221D">
        <w:rPr>
          <w:rFonts w:ascii="David" w:hAnsi="David" w:cs="David"/>
          <w:b/>
          <w:bCs/>
          <w:sz w:val="24"/>
          <w:szCs w:val="24"/>
          <w:rtl/>
        </w:rPr>
        <w:t xml:space="preserve"> </w:t>
      </w:r>
      <w:r w:rsidRPr="008D2046">
        <w:rPr>
          <w:rFonts w:ascii="David" w:hAnsi="David" w:cs="David"/>
          <w:b/>
          <w:bCs/>
          <w:sz w:val="24"/>
          <w:szCs w:val="24"/>
          <w:rtl/>
        </w:rPr>
        <w:t xml:space="preserve">על כן הגיונם של דברים הוא גם בהיבט הכלכלי. </w:t>
      </w:r>
    </w:p>
    <w:p w14:paraId="1D1934B6" w14:textId="01307485" w:rsidR="004C60F3" w:rsidRPr="00162BEB" w:rsidRDefault="004C60F3" w:rsidP="001302AA">
      <w:pPr>
        <w:pStyle w:val="a9"/>
        <w:numPr>
          <w:ilvl w:val="0"/>
          <w:numId w:val="1"/>
        </w:numPr>
        <w:spacing w:line="360" w:lineRule="auto"/>
        <w:ind w:left="44" w:hanging="425"/>
        <w:contextualSpacing w:val="0"/>
        <w:jc w:val="both"/>
        <w:rPr>
          <w:rFonts w:ascii="David" w:hAnsi="David" w:cs="David"/>
          <w:sz w:val="24"/>
          <w:szCs w:val="24"/>
        </w:rPr>
      </w:pPr>
      <w:r w:rsidRPr="00162BEB">
        <w:rPr>
          <w:rFonts w:ascii="David" w:hAnsi="David" w:cs="David" w:hint="cs"/>
          <w:sz w:val="24"/>
          <w:szCs w:val="24"/>
          <w:rtl/>
        </w:rPr>
        <w:t xml:space="preserve">עד </w:t>
      </w:r>
      <w:r w:rsidR="00346670" w:rsidRPr="00162BEB">
        <w:rPr>
          <w:rFonts w:ascii="David" w:hAnsi="David" w:cs="David" w:hint="cs"/>
          <w:sz w:val="24"/>
          <w:szCs w:val="24"/>
          <w:rtl/>
        </w:rPr>
        <w:t xml:space="preserve">כאן </w:t>
      </w:r>
      <w:r w:rsidRPr="00162BEB">
        <w:rPr>
          <w:rFonts w:ascii="David" w:hAnsi="David" w:cs="David" w:hint="cs"/>
          <w:sz w:val="24"/>
          <w:szCs w:val="24"/>
          <w:rtl/>
        </w:rPr>
        <w:t xml:space="preserve">דברינו בעניין אפריקה </w:t>
      </w:r>
      <w:r w:rsidR="00867987" w:rsidRPr="00162BEB">
        <w:rPr>
          <w:rFonts w:ascii="David" w:hAnsi="David" w:cs="David" w:hint="cs"/>
          <w:sz w:val="24"/>
          <w:szCs w:val="24"/>
          <w:rtl/>
        </w:rPr>
        <w:t>עליהם אנו שבים ומאמצים</w:t>
      </w:r>
      <w:r w:rsidRPr="00162BEB">
        <w:rPr>
          <w:rFonts w:ascii="David" w:hAnsi="David" w:cs="David" w:hint="cs"/>
          <w:sz w:val="24"/>
          <w:szCs w:val="24"/>
          <w:rtl/>
        </w:rPr>
        <w:t xml:space="preserve"> כאמור גם לענייננו.</w:t>
      </w:r>
    </w:p>
    <w:p w14:paraId="0AC39FAB" w14:textId="5F7C0374" w:rsidR="00731633" w:rsidRPr="00162BEB" w:rsidRDefault="00731633" w:rsidP="00731633">
      <w:pPr>
        <w:pStyle w:val="a9"/>
        <w:numPr>
          <w:ilvl w:val="0"/>
          <w:numId w:val="1"/>
        </w:numPr>
        <w:spacing w:line="360" w:lineRule="auto"/>
        <w:ind w:left="44" w:hanging="425"/>
        <w:contextualSpacing w:val="0"/>
        <w:jc w:val="both"/>
        <w:rPr>
          <w:rFonts w:ascii="David" w:hAnsi="David" w:cs="David"/>
          <w:sz w:val="24"/>
          <w:szCs w:val="24"/>
          <w:rtl/>
        </w:rPr>
      </w:pPr>
      <w:r w:rsidRPr="00162BEB">
        <w:rPr>
          <w:rFonts w:ascii="David" w:hAnsi="David" w:cs="David" w:hint="cs"/>
          <w:sz w:val="24"/>
          <w:szCs w:val="24"/>
          <w:rtl/>
        </w:rPr>
        <w:t xml:space="preserve">מעבר לעיקרון החוקי </w:t>
      </w:r>
      <w:r w:rsidR="00C31DF1" w:rsidRPr="00162BEB">
        <w:rPr>
          <w:rFonts w:ascii="David" w:hAnsi="David" w:cs="David" w:hint="cs"/>
          <w:sz w:val="24"/>
          <w:szCs w:val="24"/>
          <w:rtl/>
        </w:rPr>
        <w:t xml:space="preserve">והכלכלי </w:t>
      </w:r>
      <w:r w:rsidR="00312327" w:rsidRPr="00162BEB">
        <w:rPr>
          <w:rFonts w:ascii="David" w:hAnsi="David" w:cs="David" w:hint="cs"/>
          <w:sz w:val="24"/>
          <w:szCs w:val="24"/>
          <w:rtl/>
        </w:rPr>
        <w:t>המפורט</w:t>
      </w:r>
      <w:r w:rsidRPr="00162BEB">
        <w:rPr>
          <w:rFonts w:ascii="David" w:hAnsi="David" w:cs="David" w:hint="cs"/>
          <w:sz w:val="24"/>
          <w:szCs w:val="24"/>
          <w:rtl/>
        </w:rPr>
        <w:t xml:space="preserve"> בעניין אפריקה שמחייב לקבל את עמדת הוועדה המקומית </w:t>
      </w:r>
      <w:r w:rsidR="00C31DF1" w:rsidRPr="00162BEB">
        <w:rPr>
          <w:rFonts w:ascii="David" w:hAnsi="David" w:cs="David" w:hint="cs"/>
          <w:sz w:val="24"/>
          <w:szCs w:val="24"/>
          <w:rtl/>
        </w:rPr>
        <w:t>ודחיית</w:t>
      </w:r>
      <w:r w:rsidRPr="00162BEB">
        <w:rPr>
          <w:rFonts w:ascii="David" w:hAnsi="David" w:cs="David" w:hint="cs"/>
          <w:sz w:val="24"/>
          <w:szCs w:val="24"/>
          <w:rtl/>
        </w:rPr>
        <w:t xml:space="preserve"> את עמדת העוררות, מצאנו להוסיף צידוק פרקטי נוס</w:t>
      </w:r>
      <w:r w:rsidR="00DE6FAC" w:rsidRPr="00162BEB">
        <w:rPr>
          <w:rFonts w:ascii="David" w:hAnsi="David" w:cs="David" w:hint="cs"/>
          <w:sz w:val="24"/>
          <w:szCs w:val="24"/>
          <w:rtl/>
        </w:rPr>
        <w:t>ף</w:t>
      </w:r>
      <w:r w:rsidRPr="00162BEB">
        <w:rPr>
          <w:rFonts w:ascii="David" w:hAnsi="David" w:cs="David" w:hint="cs"/>
          <w:sz w:val="24"/>
          <w:szCs w:val="24"/>
          <w:rtl/>
        </w:rPr>
        <w:t xml:space="preserve"> שמחייב את קבל</w:t>
      </w:r>
      <w:r w:rsidR="007F70C5">
        <w:rPr>
          <w:rFonts w:ascii="David" w:hAnsi="David" w:cs="David" w:hint="cs"/>
          <w:sz w:val="24"/>
          <w:szCs w:val="24"/>
          <w:rtl/>
        </w:rPr>
        <w:t>ת עמדה זו</w:t>
      </w:r>
      <w:r w:rsidR="00DE6FAC" w:rsidRPr="00162BEB">
        <w:rPr>
          <w:rFonts w:ascii="David" w:hAnsi="David" w:cs="David" w:hint="cs"/>
          <w:sz w:val="24"/>
          <w:szCs w:val="24"/>
          <w:rtl/>
        </w:rPr>
        <w:t>.</w:t>
      </w:r>
    </w:p>
    <w:p w14:paraId="2C22BD50" w14:textId="77E91C7B" w:rsidR="00731633" w:rsidRDefault="00731633" w:rsidP="00DE6FAC">
      <w:pPr>
        <w:pStyle w:val="a9"/>
        <w:numPr>
          <w:ilvl w:val="0"/>
          <w:numId w:val="1"/>
        </w:numPr>
        <w:spacing w:line="360" w:lineRule="auto"/>
        <w:ind w:left="44" w:hanging="425"/>
        <w:contextualSpacing w:val="0"/>
        <w:jc w:val="both"/>
        <w:rPr>
          <w:rFonts w:ascii="David" w:hAnsi="David" w:cs="David"/>
          <w:sz w:val="24"/>
          <w:szCs w:val="24"/>
        </w:rPr>
      </w:pPr>
      <w:r w:rsidRPr="00162BEB">
        <w:rPr>
          <w:rFonts w:ascii="David" w:hAnsi="David" w:cs="David" w:hint="cs"/>
          <w:sz w:val="24"/>
          <w:szCs w:val="24"/>
          <w:rtl/>
        </w:rPr>
        <w:t xml:space="preserve">אם היינו מקבלים בעניין זה את עמדת </w:t>
      </w:r>
      <w:r w:rsidR="00DE6FAC" w:rsidRPr="00162BEB">
        <w:rPr>
          <w:rFonts w:ascii="David" w:hAnsi="David" w:cs="David" w:hint="cs"/>
          <w:sz w:val="24"/>
          <w:szCs w:val="24"/>
          <w:rtl/>
        </w:rPr>
        <w:t>העוררות</w:t>
      </w:r>
      <w:r w:rsidRPr="00162BEB">
        <w:rPr>
          <w:rFonts w:ascii="David" w:hAnsi="David" w:cs="David" w:hint="cs"/>
          <w:sz w:val="24"/>
          <w:szCs w:val="24"/>
          <w:rtl/>
        </w:rPr>
        <w:t xml:space="preserve"> הרי </w:t>
      </w:r>
      <w:r w:rsidR="00C31DF1" w:rsidRPr="00162BEB">
        <w:rPr>
          <w:rFonts w:ascii="David" w:hAnsi="David" w:cs="David" w:hint="cs"/>
          <w:sz w:val="24"/>
          <w:szCs w:val="24"/>
          <w:rtl/>
        </w:rPr>
        <w:t>שעשויה להתעורר</w:t>
      </w:r>
      <w:r w:rsidRPr="00162BEB">
        <w:rPr>
          <w:rFonts w:ascii="David" w:hAnsi="David" w:cs="David" w:hint="cs"/>
          <w:sz w:val="24"/>
          <w:szCs w:val="24"/>
          <w:rtl/>
        </w:rPr>
        <w:t xml:space="preserve"> שאלה</w:t>
      </w:r>
      <w:r w:rsidR="00203727">
        <w:rPr>
          <w:rFonts w:ascii="David" w:hAnsi="David" w:cs="David" w:hint="cs"/>
          <w:sz w:val="24"/>
          <w:szCs w:val="24"/>
          <w:rtl/>
        </w:rPr>
        <w:t xml:space="preserve"> עקרונית</w:t>
      </w:r>
      <w:r w:rsidRPr="00162BEB">
        <w:rPr>
          <w:rFonts w:ascii="David" w:hAnsi="David" w:cs="David" w:hint="cs"/>
          <w:sz w:val="24"/>
          <w:szCs w:val="24"/>
          <w:rtl/>
        </w:rPr>
        <w:t xml:space="preserve"> </w:t>
      </w:r>
      <w:r w:rsidR="00203727">
        <w:rPr>
          <w:rFonts w:ascii="David" w:hAnsi="David" w:cs="David" w:hint="cs"/>
          <w:sz w:val="24"/>
          <w:szCs w:val="24"/>
          <w:rtl/>
        </w:rPr>
        <w:t>ו</w:t>
      </w:r>
      <w:r w:rsidRPr="00162BEB">
        <w:rPr>
          <w:rFonts w:ascii="David" w:hAnsi="David" w:cs="David" w:hint="cs"/>
          <w:sz w:val="24"/>
          <w:szCs w:val="24"/>
          <w:rtl/>
        </w:rPr>
        <w:t xml:space="preserve">רחבה יותר והיא </w:t>
      </w:r>
      <w:r w:rsidR="00C31DF1" w:rsidRPr="00162BEB">
        <w:rPr>
          <w:rFonts w:ascii="David" w:hAnsi="David" w:cs="David" w:hint="cs"/>
          <w:sz w:val="24"/>
          <w:szCs w:val="24"/>
          <w:rtl/>
        </w:rPr>
        <w:t>באלו מקרים</w:t>
      </w:r>
      <w:r w:rsidRPr="00162BEB">
        <w:rPr>
          <w:rFonts w:ascii="David" w:hAnsi="David" w:cs="David" w:hint="cs"/>
          <w:sz w:val="24"/>
          <w:szCs w:val="24"/>
          <w:rtl/>
        </w:rPr>
        <w:t xml:space="preserve"> הוראה בתכנית תחשב למטלה ציבורית ומתי לא? ונסביר:</w:t>
      </w:r>
    </w:p>
    <w:p w14:paraId="44F68468" w14:textId="2DC4AD0F" w:rsidR="00905A0D" w:rsidRDefault="00905A0D" w:rsidP="00905A0D">
      <w:pPr>
        <w:spacing w:line="360" w:lineRule="auto"/>
        <w:jc w:val="both"/>
        <w:rPr>
          <w:rFonts w:ascii="David" w:hAnsi="David" w:cs="David"/>
          <w:sz w:val="24"/>
          <w:szCs w:val="24"/>
          <w:rtl/>
        </w:rPr>
      </w:pPr>
    </w:p>
    <w:p w14:paraId="6D2FEA1E" w14:textId="77777777" w:rsidR="00905A0D" w:rsidRPr="00905A0D" w:rsidRDefault="00905A0D" w:rsidP="00905A0D">
      <w:pPr>
        <w:spacing w:line="360" w:lineRule="auto"/>
        <w:jc w:val="both"/>
        <w:rPr>
          <w:rFonts w:ascii="David" w:hAnsi="David" w:cs="David"/>
          <w:sz w:val="24"/>
          <w:szCs w:val="24"/>
        </w:rPr>
      </w:pPr>
    </w:p>
    <w:p w14:paraId="2D92CCF0" w14:textId="35BD6B41" w:rsidR="00016A0C" w:rsidRPr="00016A0C" w:rsidRDefault="00731633" w:rsidP="000C417C">
      <w:pPr>
        <w:pStyle w:val="a9"/>
        <w:numPr>
          <w:ilvl w:val="0"/>
          <w:numId w:val="1"/>
        </w:numPr>
        <w:spacing w:line="360" w:lineRule="auto"/>
        <w:ind w:left="44" w:hanging="425"/>
        <w:contextualSpacing w:val="0"/>
        <w:jc w:val="both"/>
        <w:rPr>
          <w:rFonts w:ascii="David" w:hAnsi="David" w:cs="David"/>
          <w:sz w:val="24"/>
          <w:szCs w:val="24"/>
        </w:rPr>
      </w:pPr>
      <w:r w:rsidRPr="00016A0C">
        <w:rPr>
          <w:rFonts w:ascii="David" w:hAnsi="David" w:cs="David" w:hint="eastAsia"/>
          <w:sz w:val="24"/>
          <w:szCs w:val="24"/>
          <w:rtl/>
        </w:rPr>
        <w:lastRenderedPageBreak/>
        <w:t>אין</w:t>
      </w:r>
      <w:r w:rsidRPr="00016A0C">
        <w:rPr>
          <w:rFonts w:ascii="David" w:hAnsi="David" w:cs="David"/>
          <w:sz w:val="24"/>
          <w:szCs w:val="24"/>
          <w:rtl/>
        </w:rPr>
        <w:t xml:space="preserve"> חולק ש</w:t>
      </w:r>
      <w:r w:rsidRPr="00016A0C">
        <w:rPr>
          <w:rFonts w:ascii="David" w:hAnsi="David" w:cs="David" w:hint="eastAsia"/>
          <w:sz w:val="24"/>
          <w:szCs w:val="24"/>
          <w:rtl/>
        </w:rPr>
        <w:t>מטלה</w:t>
      </w:r>
      <w:r w:rsidRPr="00016A0C">
        <w:rPr>
          <w:rFonts w:ascii="David" w:hAnsi="David" w:cs="David"/>
          <w:sz w:val="24"/>
          <w:szCs w:val="24"/>
          <w:rtl/>
        </w:rPr>
        <w:t xml:space="preserve"> ציבורית מהסוג שאותו נדרשים בעלי הקרקע </w:t>
      </w:r>
      <w:r w:rsidR="00D21896" w:rsidRPr="00016A0C">
        <w:rPr>
          <w:rFonts w:ascii="David" w:hAnsi="David" w:cs="David" w:hint="cs"/>
          <w:sz w:val="24"/>
          <w:szCs w:val="24"/>
          <w:rtl/>
        </w:rPr>
        <w:t>בערר ה</w:t>
      </w:r>
      <w:r w:rsidRPr="00016A0C">
        <w:rPr>
          <w:rFonts w:ascii="David" w:hAnsi="David" w:cs="David" w:hint="eastAsia"/>
          <w:sz w:val="24"/>
          <w:szCs w:val="24"/>
          <w:rtl/>
        </w:rPr>
        <w:t>נדון</w:t>
      </w:r>
      <w:r w:rsidRPr="00016A0C">
        <w:rPr>
          <w:rFonts w:ascii="David" w:hAnsi="David" w:cs="David"/>
          <w:sz w:val="24"/>
          <w:szCs w:val="24"/>
          <w:rtl/>
        </w:rPr>
        <w:t xml:space="preserve"> </w:t>
      </w:r>
      <w:r w:rsidRPr="00016A0C">
        <w:rPr>
          <w:rFonts w:ascii="David" w:hAnsi="David" w:cs="David" w:hint="eastAsia"/>
          <w:sz w:val="24"/>
          <w:szCs w:val="24"/>
          <w:rtl/>
        </w:rPr>
        <w:t>לבצע</w:t>
      </w:r>
      <w:r w:rsidRPr="00016A0C">
        <w:rPr>
          <w:rFonts w:ascii="David" w:hAnsi="David" w:cs="David"/>
          <w:sz w:val="24"/>
          <w:szCs w:val="24"/>
          <w:rtl/>
        </w:rPr>
        <w:t xml:space="preserve"> היא "</w:t>
      </w:r>
      <w:r w:rsidRPr="00016A0C">
        <w:rPr>
          <w:rFonts w:ascii="David" w:hAnsi="David" w:cs="David" w:hint="eastAsia"/>
          <w:sz w:val="24"/>
          <w:szCs w:val="24"/>
          <w:rtl/>
        </w:rPr>
        <w:t>מטלה</w:t>
      </w:r>
      <w:r w:rsidRPr="00016A0C">
        <w:rPr>
          <w:rFonts w:ascii="David" w:hAnsi="David" w:cs="David"/>
          <w:sz w:val="24"/>
          <w:szCs w:val="24"/>
          <w:rtl/>
        </w:rPr>
        <w:t xml:space="preserve"> </w:t>
      </w:r>
      <w:r w:rsidRPr="00016A0C">
        <w:rPr>
          <w:rFonts w:ascii="David" w:hAnsi="David" w:cs="David" w:hint="eastAsia"/>
          <w:sz w:val="24"/>
          <w:szCs w:val="24"/>
          <w:rtl/>
        </w:rPr>
        <w:t>ציבורית</w:t>
      </w:r>
      <w:r w:rsidRPr="00016A0C">
        <w:rPr>
          <w:rFonts w:ascii="David" w:hAnsi="David" w:cs="David"/>
          <w:sz w:val="24"/>
          <w:szCs w:val="24"/>
          <w:rtl/>
        </w:rPr>
        <w:t xml:space="preserve"> קלא</w:t>
      </w:r>
      <w:r w:rsidRPr="00016A0C">
        <w:rPr>
          <w:rFonts w:ascii="David" w:hAnsi="David" w:cs="David" w:hint="eastAsia"/>
          <w:sz w:val="24"/>
          <w:szCs w:val="24"/>
          <w:rtl/>
        </w:rPr>
        <w:t>סית</w:t>
      </w:r>
      <w:r w:rsidRPr="00016A0C">
        <w:rPr>
          <w:rFonts w:ascii="David" w:hAnsi="David" w:cs="David"/>
          <w:sz w:val="24"/>
          <w:szCs w:val="24"/>
          <w:rtl/>
        </w:rPr>
        <w:t xml:space="preserve">" </w:t>
      </w:r>
      <w:r w:rsidR="00016A0C" w:rsidRPr="00016A0C">
        <w:rPr>
          <w:rFonts w:ascii="David" w:hAnsi="David" w:cs="David"/>
          <w:sz w:val="24"/>
          <w:szCs w:val="24"/>
          <w:rtl/>
        </w:rPr>
        <w:t xml:space="preserve">כזו אשר </w:t>
      </w:r>
      <w:r w:rsidR="00172A71">
        <w:rPr>
          <w:rFonts w:ascii="David" w:hAnsi="David" w:cs="David" w:hint="cs"/>
          <w:sz w:val="24"/>
          <w:szCs w:val="24"/>
          <w:rtl/>
        </w:rPr>
        <w:t>ב</w:t>
      </w:r>
      <w:r w:rsidR="00016A0C" w:rsidRPr="00016A0C">
        <w:rPr>
          <w:rFonts w:ascii="David" w:hAnsi="David" w:cs="David"/>
          <w:sz w:val="24"/>
          <w:szCs w:val="24"/>
          <w:rtl/>
        </w:rPr>
        <w:t>דרך כלל מוטלת ומבוצעת על ידי הרשות המקומית לטובת הציבור בכללותו. ואולם, אין להתעלם מקיומם של מצבים תכנוניים אחרים, שבהם הוראות תכנית מטילות על בעלי הקרקע הוצאות כספיות אשר מידת "ציבוריותן" פחות מובהקת, כמו גם זהות הגורם הראוי לשאת בביצוען אינה חד</w:t>
      </w:r>
      <w:r w:rsidR="00E35EA5">
        <w:rPr>
          <w:rFonts w:ascii="David" w:hAnsi="David" w:cs="David" w:hint="cs"/>
          <w:sz w:val="24"/>
          <w:szCs w:val="24"/>
          <w:rtl/>
        </w:rPr>
        <w:t xml:space="preserve"> </w:t>
      </w:r>
      <w:r w:rsidR="00016A0C" w:rsidRPr="00016A0C">
        <w:rPr>
          <w:rFonts w:ascii="David" w:hAnsi="David" w:cs="David"/>
          <w:sz w:val="24"/>
          <w:szCs w:val="24"/>
          <w:rtl/>
        </w:rPr>
        <w:t>משמעית</w:t>
      </w:r>
      <w:r w:rsidR="00016A0C" w:rsidRPr="00016A0C">
        <w:rPr>
          <w:rFonts w:ascii="David" w:hAnsi="David" w:cs="David"/>
          <w:sz w:val="24"/>
          <w:szCs w:val="24"/>
        </w:rPr>
        <w:t>.</w:t>
      </w:r>
    </w:p>
    <w:p w14:paraId="222EF823" w14:textId="4C675811" w:rsidR="0026525D" w:rsidRPr="00162BEB" w:rsidRDefault="0026525D" w:rsidP="00DE6FAC">
      <w:pPr>
        <w:pStyle w:val="a9"/>
        <w:numPr>
          <w:ilvl w:val="0"/>
          <w:numId w:val="1"/>
        </w:numPr>
        <w:spacing w:line="360" w:lineRule="auto"/>
        <w:ind w:left="44" w:hanging="425"/>
        <w:contextualSpacing w:val="0"/>
        <w:jc w:val="both"/>
        <w:rPr>
          <w:rFonts w:ascii="David" w:hAnsi="David" w:cs="David"/>
          <w:sz w:val="24"/>
          <w:szCs w:val="24"/>
          <w:rtl/>
        </w:rPr>
      </w:pPr>
      <w:r w:rsidRPr="0026525D">
        <w:rPr>
          <w:rFonts w:ascii="David" w:hAnsi="David" w:cs="David"/>
          <w:sz w:val="24"/>
          <w:szCs w:val="24"/>
          <w:rtl/>
        </w:rPr>
        <w:t xml:space="preserve">כך, לדוגמה, מקום שבו ייעוד תכנוני קובע ייעוד של חלקה לשטח פתוח </w:t>
      </w:r>
      <w:r w:rsidR="00814427">
        <w:rPr>
          <w:rFonts w:ascii="David" w:hAnsi="David" w:cs="David" w:hint="cs"/>
          <w:sz w:val="24"/>
          <w:szCs w:val="24"/>
          <w:rtl/>
        </w:rPr>
        <w:t>פרטי</w:t>
      </w:r>
      <w:r w:rsidRPr="0026525D">
        <w:rPr>
          <w:rFonts w:ascii="David" w:hAnsi="David" w:cs="David"/>
          <w:sz w:val="24"/>
          <w:szCs w:val="24"/>
          <w:rtl/>
        </w:rPr>
        <w:t xml:space="preserve"> (</w:t>
      </w:r>
      <w:proofErr w:type="spellStart"/>
      <w:r w:rsidRPr="0026525D">
        <w:rPr>
          <w:rFonts w:ascii="David" w:hAnsi="David" w:cs="David"/>
          <w:sz w:val="24"/>
          <w:szCs w:val="24"/>
          <w:rtl/>
        </w:rPr>
        <w:t>שפ"פ</w:t>
      </w:r>
      <w:proofErr w:type="spellEnd"/>
      <w:r w:rsidRPr="0026525D">
        <w:rPr>
          <w:rFonts w:ascii="David" w:hAnsi="David" w:cs="David"/>
          <w:sz w:val="24"/>
          <w:szCs w:val="24"/>
          <w:rtl/>
        </w:rPr>
        <w:t xml:space="preserve">), אשר פיתוחו מוטל על בעלי הקרקע, בצד ייעוד למגורים. בנסיבות אלה עשוי בעל הקרקע לטעון כי אף שהקרקע מצויה בבעלותו, הרי שלפיתוח </w:t>
      </w:r>
      <w:proofErr w:type="spellStart"/>
      <w:r w:rsidRPr="0026525D">
        <w:rPr>
          <w:rFonts w:ascii="David" w:hAnsi="David" w:cs="David"/>
          <w:sz w:val="24"/>
          <w:szCs w:val="24"/>
          <w:rtl/>
        </w:rPr>
        <w:t>השפ"פ</w:t>
      </w:r>
      <w:proofErr w:type="spellEnd"/>
      <w:r w:rsidRPr="0026525D">
        <w:rPr>
          <w:rFonts w:ascii="David" w:hAnsi="David" w:cs="David"/>
          <w:sz w:val="24"/>
          <w:szCs w:val="24"/>
          <w:rtl/>
        </w:rPr>
        <w:t xml:space="preserve"> </w:t>
      </w:r>
      <w:r w:rsidRPr="0026525D">
        <w:rPr>
          <w:rFonts w:ascii="David" w:hAnsi="David" w:cs="David" w:hint="cs"/>
          <w:sz w:val="24"/>
          <w:szCs w:val="24"/>
          <w:rtl/>
        </w:rPr>
        <w:t xml:space="preserve">עשויה להיות לעיתים </w:t>
      </w:r>
      <w:r w:rsidRPr="0026525D">
        <w:rPr>
          <w:rFonts w:ascii="David" w:hAnsi="David" w:cs="David"/>
          <w:sz w:val="24"/>
          <w:szCs w:val="24"/>
          <w:rtl/>
        </w:rPr>
        <w:t>תרומה ציבורית לנראות השכונה ולרווחת תושביה</w:t>
      </w:r>
      <w:r w:rsidR="00420670">
        <w:rPr>
          <w:rFonts w:ascii="David" w:hAnsi="David" w:cs="David" w:hint="cs"/>
          <w:sz w:val="24"/>
          <w:szCs w:val="24"/>
          <w:rtl/>
        </w:rPr>
        <w:t xml:space="preserve"> או חלקם</w:t>
      </w:r>
      <w:r w:rsidRPr="0026525D">
        <w:rPr>
          <w:rFonts w:ascii="David" w:hAnsi="David" w:cs="David"/>
          <w:sz w:val="24"/>
          <w:szCs w:val="24"/>
          <w:rtl/>
        </w:rPr>
        <w:t>. האם גם במקרה כזה יש לראות במטלה משום מטלה ציבורית ולהעביר, ולו בחלקו, את הנטל הכלכלי מהרשות המקומית אל בעל הקרקע? מדובר, לכאורה, במטלה אשר מידת ציבוריותה פחות ברורה מזו של המטלה בענייננו; ומנגד, ניתן להעלות על הדעת טענות אשר אילו התקבלו, עשויות היו להצדיק הפחתה מסוימת מהיטל ההשבחה. ניתן להוסיף ולמנות דוגמאות נוספות של מטלות המצויות על אותו "ספקטרום" שבין הוצאה פרטית מובהקת לבין הוצאה ציבורית מובהקת</w:t>
      </w:r>
      <w:r w:rsidRPr="0026525D">
        <w:rPr>
          <w:rFonts w:ascii="David" w:hAnsi="David" w:cs="David"/>
          <w:sz w:val="24"/>
          <w:szCs w:val="24"/>
        </w:rPr>
        <w:t>.</w:t>
      </w:r>
    </w:p>
    <w:p w14:paraId="6FA696AB" w14:textId="1D2BDC74" w:rsidR="00731633" w:rsidRDefault="00260C8B" w:rsidP="00731633">
      <w:pPr>
        <w:pStyle w:val="a9"/>
        <w:numPr>
          <w:ilvl w:val="0"/>
          <w:numId w:val="1"/>
        </w:numPr>
        <w:spacing w:line="360" w:lineRule="auto"/>
        <w:ind w:left="44" w:hanging="425"/>
        <w:contextualSpacing w:val="0"/>
        <w:jc w:val="both"/>
        <w:rPr>
          <w:rFonts w:ascii="David" w:hAnsi="David" w:cs="David"/>
          <w:sz w:val="24"/>
          <w:szCs w:val="24"/>
          <w:u w:val="single"/>
        </w:rPr>
      </w:pPr>
      <w:r w:rsidRPr="00260C8B">
        <w:rPr>
          <w:rFonts w:ascii="David" w:hAnsi="David" w:cs="David"/>
          <w:sz w:val="24"/>
          <w:szCs w:val="24"/>
          <w:rtl/>
        </w:rPr>
        <w:t xml:space="preserve">לפיכך, אף אילו היינו מסופקים בשאלת סיווגה של המטלה </w:t>
      </w:r>
      <w:r w:rsidR="001D6E04">
        <w:rPr>
          <w:rFonts w:ascii="David" w:hAnsi="David" w:cs="David" w:hint="cs"/>
          <w:sz w:val="24"/>
          <w:szCs w:val="24"/>
          <w:rtl/>
        </w:rPr>
        <w:t>-</w:t>
      </w:r>
      <w:r w:rsidRPr="00260C8B">
        <w:rPr>
          <w:rFonts w:ascii="David" w:hAnsi="David" w:cs="David"/>
          <w:sz w:val="24"/>
          <w:szCs w:val="24"/>
          <w:rtl/>
        </w:rPr>
        <w:t xml:space="preserve"> ואין אנו מסופקים, שעה שהדין החל אינו מאפשר את קבלת עמדת העוררות </w:t>
      </w:r>
      <w:r w:rsidR="001D6E04">
        <w:rPr>
          <w:rFonts w:ascii="David" w:hAnsi="David" w:cs="David" w:hint="cs"/>
          <w:sz w:val="24"/>
          <w:szCs w:val="24"/>
          <w:rtl/>
        </w:rPr>
        <w:t xml:space="preserve">- </w:t>
      </w:r>
      <w:r w:rsidRPr="00260C8B">
        <w:rPr>
          <w:rFonts w:ascii="David" w:hAnsi="David" w:cs="David"/>
          <w:sz w:val="24"/>
          <w:szCs w:val="24"/>
          <w:rtl/>
        </w:rPr>
        <w:t>הרי שעצם העובדה שמטלות מעין אלו אינן דיכוטומיות אלא מצויות על פני רצף משתנה של דרגות ציבוריות, מהווה טעם נוסף לדחיית הטענה. קבלת עמדת העוררות עלולה הייתה לפתוח פתח לפולמוס רחב בשאלה מתי תיחשב מטלה כציבורית ומתי לא, לצורך קיזוזה מן ההיטל ולא מן ההשבחה, ובכך להוסיף נדבך נוסף של חוסר ודאות למסגרת דיני היטל ההשבחה</w:t>
      </w:r>
      <w:r w:rsidR="00BF1D07">
        <w:rPr>
          <w:rFonts w:ascii="David" w:hAnsi="David" w:cs="David" w:hint="cs"/>
          <w:sz w:val="24"/>
          <w:szCs w:val="24"/>
          <w:rtl/>
        </w:rPr>
        <w:t xml:space="preserve"> -</w:t>
      </w:r>
      <w:r w:rsidRPr="00260C8B">
        <w:rPr>
          <w:rFonts w:ascii="David" w:hAnsi="David" w:cs="David"/>
          <w:sz w:val="24"/>
          <w:szCs w:val="24"/>
          <w:rtl/>
        </w:rPr>
        <w:t xml:space="preserve"> תחום אשר גם כך מאופיין בריבוי סוגיות בלתי מוכרעות, היוצרות קשיים ואי</w:t>
      </w:r>
      <w:r>
        <w:rPr>
          <w:rFonts w:ascii="David" w:hAnsi="David" w:cs="David" w:hint="cs"/>
          <w:sz w:val="24"/>
          <w:szCs w:val="24"/>
          <w:rtl/>
        </w:rPr>
        <w:t xml:space="preserve"> </w:t>
      </w:r>
      <w:r w:rsidRPr="00260C8B">
        <w:rPr>
          <w:rFonts w:ascii="David" w:hAnsi="David" w:cs="David"/>
          <w:sz w:val="24"/>
          <w:szCs w:val="24"/>
          <w:rtl/>
        </w:rPr>
        <w:t>ודאות עבור הפרט, היזם והוועדות המקומיות, ובהשלכה ישירה גם על אופן התנהלותו של השוק</w:t>
      </w:r>
      <w:r w:rsidRPr="00260C8B">
        <w:rPr>
          <w:rFonts w:ascii="David" w:hAnsi="David" w:cs="David"/>
          <w:sz w:val="24"/>
          <w:szCs w:val="24"/>
        </w:rPr>
        <w:t>.</w:t>
      </w:r>
      <w:r>
        <w:rPr>
          <w:rFonts w:ascii="David" w:hAnsi="David" w:cs="David" w:hint="cs"/>
          <w:sz w:val="24"/>
          <w:szCs w:val="24"/>
          <w:rtl/>
        </w:rPr>
        <w:t xml:space="preserve"> </w:t>
      </w:r>
      <w:r w:rsidR="00CB4A89" w:rsidRPr="00A56194">
        <w:rPr>
          <w:rFonts w:ascii="David" w:hAnsi="David" w:cs="David" w:hint="cs"/>
          <w:sz w:val="24"/>
          <w:szCs w:val="24"/>
          <w:rtl/>
        </w:rPr>
        <w:t xml:space="preserve">ראו והשוו: </w:t>
      </w:r>
      <w:proofErr w:type="spellStart"/>
      <w:r w:rsidR="00CB4A89" w:rsidRPr="00A56194">
        <w:rPr>
          <w:rFonts w:ascii="David" w:hAnsi="David" w:cs="David"/>
          <w:sz w:val="24"/>
          <w:szCs w:val="24"/>
          <w:rtl/>
        </w:rPr>
        <w:t>עמנ</w:t>
      </w:r>
      <w:proofErr w:type="spellEnd"/>
      <w:r w:rsidR="00CB4A89" w:rsidRPr="00A56194">
        <w:rPr>
          <w:rFonts w:ascii="David" w:hAnsi="David" w:cs="David"/>
          <w:sz w:val="24"/>
          <w:szCs w:val="24"/>
          <w:rtl/>
        </w:rPr>
        <w:t xml:space="preserve"> (ת"א) </w:t>
      </w:r>
      <w:r w:rsidR="00CB4A89" w:rsidRPr="00F547F3">
        <w:rPr>
          <w:rFonts w:ascii="David" w:hAnsi="David" w:cs="David"/>
          <w:b/>
          <w:bCs/>
          <w:sz w:val="24"/>
          <w:szCs w:val="24"/>
          <w:rtl/>
        </w:rPr>
        <w:t>47521-12-22 קבוצת הירדן - חביבה 14 על הנהר בע"מ נ' הועדה מקומית לתכנון ולבניה הרצליה</w:t>
      </w:r>
      <w:r w:rsidR="00F547F3">
        <w:rPr>
          <w:rFonts w:ascii="David" w:hAnsi="David" w:cs="David" w:hint="cs"/>
          <w:sz w:val="24"/>
          <w:szCs w:val="24"/>
          <w:rtl/>
        </w:rPr>
        <w:t xml:space="preserve"> (נבו)</w:t>
      </w:r>
      <w:r w:rsidR="00CB4A89" w:rsidRPr="00A56194">
        <w:rPr>
          <w:rFonts w:ascii="David" w:hAnsi="David" w:cs="David" w:hint="cs"/>
          <w:sz w:val="24"/>
          <w:szCs w:val="24"/>
          <w:rtl/>
        </w:rPr>
        <w:t xml:space="preserve"> (סעיף 70 לפסק הדין).</w:t>
      </w:r>
    </w:p>
    <w:p w14:paraId="597DC72E" w14:textId="5B722651" w:rsidR="007D4599" w:rsidRPr="002A2DA7" w:rsidRDefault="007D4599" w:rsidP="007D4599">
      <w:pPr>
        <w:pStyle w:val="a9"/>
        <w:spacing w:line="360" w:lineRule="auto"/>
        <w:ind w:left="44"/>
        <w:contextualSpacing w:val="0"/>
        <w:jc w:val="both"/>
        <w:rPr>
          <w:rFonts w:ascii="David" w:hAnsi="David" w:cs="David"/>
          <w:b/>
          <w:bCs/>
          <w:sz w:val="24"/>
          <w:szCs w:val="24"/>
          <w:u w:val="single"/>
          <w:rtl/>
        </w:rPr>
      </w:pPr>
      <w:r w:rsidRPr="007D4599">
        <w:rPr>
          <w:rFonts w:ascii="David" w:hAnsi="David" w:cs="David" w:hint="cs"/>
          <w:b/>
          <w:bCs/>
          <w:sz w:val="24"/>
          <w:szCs w:val="24"/>
          <w:u w:val="single"/>
          <w:rtl/>
        </w:rPr>
        <w:t>הסתמכות העוררות על סעיף 198 לפקודת העיריות - נדחית</w:t>
      </w:r>
    </w:p>
    <w:p w14:paraId="29CC8ADF" w14:textId="55F84C1A" w:rsidR="004C60F3" w:rsidRDefault="004C60F3" w:rsidP="001302AA">
      <w:pPr>
        <w:pStyle w:val="a9"/>
        <w:numPr>
          <w:ilvl w:val="0"/>
          <w:numId w:val="1"/>
        </w:numPr>
        <w:spacing w:line="360" w:lineRule="auto"/>
        <w:ind w:left="44" w:hanging="425"/>
        <w:contextualSpacing w:val="0"/>
        <w:jc w:val="both"/>
        <w:rPr>
          <w:rFonts w:ascii="David" w:hAnsi="David" w:cs="David"/>
          <w:sz w:val="24"/>
          <w:szCs w:val="24"/>
        </w:rPr>
      </w:pPr>
      <w:r>
        <w:rPr>
          <w:rFonts w:ascii="David" w:hAnsi="David" w:cs="David" w:hint="cs"/>
          <w:sz w:val="24"/>
          <w:szCs w:val="24"/>
          <w:rtl/>
        </w:rPr>
        <w:t>בעניין שלפנינו ביקשו העוררות להשוות את עניינן לסעיף 198א העיריות</w:t>
      </w:r>
      <w:r w:rsidR="00B46113">
        <w:rPr>
          <w:rFonts w:ascii="David" w:hAnsi="David" w:cs="David" w:hint="cs"/>
          <w:sz w:val="24"/>
          <w:szCs w:val="24"/>
          <w:rtl/>
        </w:rPr>
        <w:t xml:space="preserve"> וביקשו ללמוד ממנו </w:t>
      </w:r>
      <w:r w:rsidR="00346670">
        <w:rPr>
          <w:rFonts w:ascii="David" w:hAnsi="David" w:cs="David" w:hint="cs"/>
          <w:sz w:val="24"/>
          <w:szCs w:val="24"/>
          <w:rtl/>
        </w:rPr>
        <w:t xml:space="preserve">כי </w:t>
      </w:r>
      <w:r w:rsidR="00B46113">
        <w:rPr>
          <w:rFonts w:ascii="David" w:hAnsi="David" w:cs="David" w:hint="cs"/>
          <w:sz w:val="24"/>
          <w:szCs w:val="24"/>
          <w:rtl/>
        </w:rPr>
        <w:t xml:space="preserve">את עלות הבניה </w:t>
      </w:r>
      <w:r w:rsidR="00346670">
        <w:rPr>
          <w:rFonts w:ascii="David" w:hAnsi="David" w:cs="David" w:hint="cs"/>
          <w:sz w:val="24"/>
          <w:szCs w:val="24"/>
          <w:rtl/>
        </w:rPr>
        <w:t xml:space="preserve">יש לקזז </w:t>
      </w:r>
      <w:r w:rsidR="00B46113">
        <w:rPr>
          <w:rFonts w:ascii="David" w:hAnsi="David" w:cs="David" w:hint="cs"/>
          <w:sz w:val="24"/>
          <w:szCs w:val="24"/>
          <w:rtl/>
        </w:rPr>
        <w:t>מההיטל ולא מההשבחה</w:t>
      </w:r>
      <w:r>
        <w:rPr>
          <w:rFonts w:ascii="David" w:hAnsi="David" w:cs="David" w:hint="cs"/>
          <w:sz w:val="24"/>
          <w:szCs w:val="24"/>
          <w:rtl/>
        </w:rPr>
        <w:t xml:space="preserve">. לא מצאנו כל קשר בין הדברים. </w:t>
      </w:r>
      <w:proofErr w:type="spellStart"/>
      <w:r>
        <w:rPr>
          <w:rFonts w:ascii="David" w:hAnsi="David" w:cs="David" w:hint="cs"/>
          <w:sz w:val="24"/>
          <w:szCs w:val="24"/>
          <w:rtl/>
        </w:rPr>
        <w:t>בס"ק</w:t>
      </w:r>
      <w:proofErr w:type="spellEnd"/>
      <w:r>
        <w:rPr>
          <w:rFonts w:ascii="David" w:hAnsi="David" w:cs="David" w:hint="cs"/>
          <w:sz w:val="24"/>
          <w:szCs w:val="24"/>
          <w:rtl/>
        </w:rPr>
        <w:t xml:space="preserve"> ג לסעיף האמר נקבע כך:</w:t>
      </w:r>
    </w:p>
    <w:p w14:paraId="26F861C2" w14:textId="77777777" w:rsidR="004C60F3" w:rsidRPr="008D2046" w:rsidRDefault="004C60F3" w:rsidP="008D2046">
      <w:pPr>
        <w:pStyle w:val="a9"/>
        <w:spacing w:line="360" w:lineRule="auto"/>
        <w:ind w:left="611" w:right="851"/>
        <w:jc w:val="both"/>
        <w:rPr>
          <w:rFonts w:ascii="David" w:hAnsi="David" w:cs="David"/>
          <w:b/>
          <w:bCs/>
          <w:sz w:val="24"/>
          <w:szCs w:val="24"/>
          <w:rtl/>
        </w:rPr>
      </w:pPr>
      <w:r w:rsidRPr="008D2046">
        <w:rPr>
          <w:rFonts w:ascii="David" w:hAnsi="David" w:cs="David"/>
          <w:b/>
          <w:bCs/>
          <w:sz w:val="24"/>
          <w:szCs w:val="24"/>
          <w:rtl/>
        </w:rPr>
        <w:t>העירייה רשאית לשלם את התמורה ליזם בעבור ביצוע עבודות הפיתוח הכלולות בהסכם הפיתוח בתשלום בכסף או בתשלום בדרך של קיזוז כנגד אגרות, היטלים או דמי השתתפות לפי חוקי עזר של העירייה שהיזם חב לעירייה עקב הבנייה על ידו בתחום התכנית (להלן – היטלי פיתוח), וכן כנגד היטל השבחה לפי סעיף 196א לחוק התכנון והבנייה שהיזם חב לעירייה בשל מימוש זכויות כמשמעותו בתוספת השלישית לחוק האמור</w:t>
      </w:r>
      <w:r w:rsidR="00F40D18" w:rsidRPr="008D2046">
        <w:rPr>
          <w:rFonts w:ascii="David" w:hAnsi="David" w:cs="David"/>
          <w:b/>
          <w:bCs/>
          <w:sz w:val="24"/>
          <w:szCs w:val="24"/>
          <w:rtl/>
        </w:rPr>
        <w:t xml:space="preserve">. </w:t>
      </w:r>
    </w:p>
    <w:p w14:paraId="21CB13AA" w14:textId="77777777" w:rsidR="00F40D18" w:rsidRDefault="00F40D18" w:rsidP="008D2046">
      <w:pPr>
        <w:pStyle w:val="a9"/>
        <w:ind w:left="90" w:hanging="425"/>
        <w:rPr>
          <w:rtl/>
        </w:rPr>
      </w:pPr>
    </w:p>
    <w:p w14:paraId="06BE1F7A" w14:textId="77777777" w:rsidR="004C60F3" w:rsidRDefault="004C60F3" w:rsidP="008D2046">
      <w:pPr>
        <w:pStyle w:val="a9"/>
        <w:ind w:left="90" w:hanging="425"/>
        <w:rPr>
          <w:rtl/>
        </w:rPr>
      </w:pPr>
    </w:p>
    <w:p w14:paraId="46CA4012" w14:textId="77777777" w:rsidR="00F40D18" w:rsidRDefault="00F40D18" w:rsidP="001302AA">
      <w:pPr>
        <w:pStyle w:val="a9"/>
        <w:numPr>
          <w:ilvl w:val="0"/>
          <w:numId w:val="1"/>
        </w:numPr>
        <w:spacing w:line="360" w:lineRule="auto"/>
        <w:ind w:left="44" w:hanging="425"/>
        <w:contextualSpacing w:val="0"/>
        <w:jc w:val="both"/>
        <w:rPr>
          <w:rFonts w:ascii="David" w:hAnsi="David" w:cs="David"/>
          <w:sz w:val="24"/>
          <w:szCs w:val="24"/>
        </w:rPr>
      </w:pPr>
      <w:r>
        <w:rPr>
          <w:rFonts w:ascii="David" w:hAnsi="David" w:cs="David" w:hint="cs"/>
          <w:sz w:val="24"/>
          <w:szCs w:val="24"/>
          <w:rtl/>
        </w:rPr>
        <w:t>בהמשך הסעיף מפורטים תנאים בהם ניתן להסדיר את התשלום באופן האמור.</w:t>
      </w:r>
    </w:p>
    <w:p w14:paraId="3A371DB4" w14:textId="2B45A938" w:rsidR="008C29FB" w:rsidRDefault="0012114E" w:rsidP="001302AA">
      <w:pPr>
        <w:pStyle w:val="a9"/>
        <w:numPr>
          <w:ilvl w:val="0"/>
          <w:numId w:val="1"/>
        </w:numPr>
        <w:spacing w:line="360" w:lineRule="auto"/>
        <w:ind w:left="44" w:hanging="425"/>
        <w:contextualSpacing w:val="0"/>
        <w:jc w:val="both"/>
        <w:rPr>
          <w:rFonts w:ascii="David" w:hAnsi="David" w:cs="David"/>
          <w:sz w:val="24"/>
          <w:szCs w:val="24"/>
        </w:rPr>
      </w:pPr>
      <w:r w:rsidRPr="008C29FB">
        <w:rPr>
          <w:rFonts w:ascii="David" w:hAnsi="David" w:cs="David"/>
          <w:sz w:val="24"/>
          <w:szCs w:val="24"/>
          <w:rtl/>
        </w:rPr>
        <w:lastRenderedPageBreak/>
        <w:t xml:space="preserve">מעיון בלשון הסעיף עולה בבירור כי מדובר בהסדר סטטוטורי ייחודי ונפרד, החל אך במקרים שבהם מתקיימים התנאים המנויים בו, ולא בהסדר כללי החל בכל מקרה. אכן, רק לאחר קביעת היטל ההשבחה בהתאם להוראות חוק התכנון והבנייה והתוספת השלישית לו, ניתן </w:t>
      </w:r>
      <w:r w:rsidR="00C60FD9">
        <w:rPr>
          <w:rFonts w:ascii="David" w:hAnsi="David" w:cs="David" w:hint="cs"/>
          <w:sz w:val="24"/>
          <w:szCs w:val="24"/>
          <w:rtl/>
        </w:rPr>
        <w:t>-</w:t>
      </w:r>
      <w:r w:rsidRPr="008C29FB">
        <w:rPr>
          <w:rFonts w:ascii="David" w:hAnsi="David" w:cs="David"/>
          <w:sz w:val="24"/>
          <w:szCs w:val="24"/>
          <w:rtl/>
        </w:rPr>
        <w:t xml:space="preserve"> ככל שיוסכם וכפוף לתנאים הקבועים בסעיף </w:t>
      </w:r>
      <w:r w:rsidR="00C60FD9">
        <w:rPr>
          <w:rFonts w:ascii="David" w:hAnsi="David" w:cs="David" w:hint="cs"/>
          <w:sz w:val="24"/>
          <w:szCs w:val="24"/>
          <w:rtl/>
        </w:rPr>
        <w:t>-</w:t>
      </w:r>
      <w:r w:rsidRPr="008C29FB">
        <w:rPr>
          <w:rFonts w:ascii="David" w:hAnsi="David" w:cs="David"/>
          <w:sz w:val="24"/>
          <w:szCs w:val="24"/>
          <w:rtl/>
        </w:rPr>
        <w:t xml:space="preserve"> לבצע קיזוז של סכום ההיטל</w:t>
      </w:r>
      <w:r w:rsidR="008C29FB">
        <w:rPr>
          <w:rFonts w:ascii="David" w:hAnsi="David" w:cs="David" w:hint="cs"/>
          <w:sz w:val="24"/>
          <w:szCs w:val="24"/>
          <w:rtl/>
        </w:rPr>
        <w:t>.</w:t>
      </w:r>
    </w:p>
    <w:p w14:paraId="63DD7F2F" w14:textId="0C6A0167" w:rsidR="000475B5" w:rsidRDefault="005A78A6" w:rsidP="001302AA">
      <w:pPr>
        <w:pStyle w:val="a9"/>
        <w:numPr>
          <w:ilvl w:val="0"/>
          <w:numId w:val="1"/>
        </w:numPr>
        <w:spacing w:line="360" w:lineRule="auto"/>
        <w:ind w:left="44" w:hanging="425"/>
        <w:contextualSpacing w:val="0"/>
        <w:jc w:val="both"/>
        <w:rPr>
          <w:rFonts w:ascii="David" w:hAnsi="David" w:cs="David"/>
          <w:sz w:val="24"/>
          <w:szCs w:val="24"/>
        </w:rPr>
      </w:pPr>
      <w:r w:rsidRPr="00743EF7">
        <w:rPr>
          <w:rFonts w:ascii="David" w:hAnsi="David" w:cs="David"/>
          <w:sz w:val="24"/>
          <w:szCs w:val="24"/>
          <w:rtl/>
        </w:rPr>
        <w:t xml:space="preserve">אין בהוראות סעיף 198א כל רמז, ולו עקיף, לצורך בשינוי אופן חישוב ההשבחה עצמה, הנקבעת בהתאם לעקרונות הקבועים בדין ובהלכות בית המשפט העליון, כפי שהרחבנו בעניין אפריקה. אף לשון החוק מלמדת על כך במפורש, שעה שהפקודה מבחינה בין קיזוז כנגד אגרות, היטלים ודמי השתתפות לפי חוקי העזר של העירייה </w:t>
      </w:r>
      <w:r w:rsidR="00A06398" w:rsidRPr="00743EF7">
        <w:rPr>
          <w:rFonts w:ascii="David" w:hAnsi="David" w:cs="David" w:hint="cs"/>
          <w:sz w:val="24"/>
          <w:szCs w:val="24"/>
          <w:rtl/>
        </w:rPr>
        <w:t>-</w:t>
      </w:r>
      <w:r w:rsidRPr="00743EF7">
        <w:rPr>
          <w:rFonts w:ascii="David" w:hAnsi="David" w:cs="David"/>
          <w:sz w:val="24"/>
          <w:szCs w:val="24"/>
          <w:rtl/>
        </w:rPr>
        <w:t xml:space="preserve"> אשר לגביהם נקבע כי הקיזוז ייעשה בהתאם לשווי פעולת היזם בדרך של </w:t>
      </w:r>
      <w:r w:rsidR="00E4676B">
        <w:rPr>
          <w:rFonts w:ascii="David" w:hAnsi="David" w:cs="David" w:hint="cs"/>
          <w:sz w:val="24"/>
          <w:szCs w:val="24"/>
          <w:rtl/>
        </w:rPr>
        <w:t>"</w:t>
      </w:r>
      <w:r w:rsidRPr="00743EF7">
        <w:rPr>
          <w:rFonts w:ascii="David" w:hAnsi="David" w:cs="David"/>
          <w:sz w:val="24"/>
          <w:szCs w:val="24"/>
          <w:rtl/>
        </w:rPr>
        <w:t>הבנייה על ידו בתחום התכנית</w:t>
      </w:r>
      <w:r w:rsidR="00E4676B">
        <w:rPr>
          <w:rFonts w:ascii="David" w:hAnsi="David" w:cs="David" w:hint="cs"/>
          <w:sz w:val="24"/>
          <w:szCs w:val="24"/>
          <w:rtl/>
        </w:rPr>
        <w:t>"</w:t>
      </w:r>
      <w:r w:rsidRPr="00743EF7">
        <w:rPr>
          <w:rFonts w:ascii="David" w:hAnsi="David" w:cs="David"/>
          <w:sz w:val="24"/>
          <w:szCs w:val="24"/>
          <w:rtl/>
        </w:rPr>
        <w:t xml:space="preserve"> </w:t>
      </w:r>
      <w:r w:rsidR="00A411FE" w:rsidRPr="00743EF7">
        <w:rPr>
          <w:rFonts w:ascii="David" w:hAnsi="David" w:cs="David" w:hint="cs"/>
          <w:sz w:val="24"/>
          <w:szCs w:val="24"/>
          <w:rtl/>
        </w:rPr>
        <w:t>-</w:t>
      </w:r>
      <w:r w:rsidRPr="00743EF7">
        <w:rPr>
          <w:rFonts w:ascii="David" w:hAnsi="David" w:cs="David"/>
          <w:sz w:val="24"/>
          <w:szCs w:val="24"/>
          <w:rtl/>
        </w:rPr>
        <w:t xml:space="preserve"> לבין היטל ההשבחה</w:t>
      </w:r>
      <w:r w:rsidR="002C5845">
        <w:rPr>
          <w:rFonts w:ascii="David" w:hAnsi="David" w:cs="David" w:hint="cs"/>
          <w:sz w:val="24"/>
          <w:szCs w:val="24"/>
          <w:rtl/>
        </w:rPr>
        <w:t xml:space="preserve">. </w:t>
      </w:r>
    </w:p>
    <w:p w14:paraId="43652908" w14:textId="709AE7DB" w:rsidR="004C60F3" w:rsidRDefault="00A411FE" w:rsidP="001302AA">
      <w:pPr>
        <w:pStyle w:val="a9"/>
        <w:numPr>
          <w:ilvl w:val="0"/>
          <w:numId w:val="1"/>
        </w:numPr>
        <w:spacing w:line="360" w:lineRule="auto"/>
        <w:ind w:left="44" w:hanging="425"/>
        <w:contextualSpacing w:val="0"/>
        <w:jc w:val="both"/>
        <w:rPr>
          <w:rFonts w:ascii="David" w:hAnsi="David" w:cs="David"/>
          <w:sz w:val="24"/>
          <w:szCs w:val="24"/>
        </w:rPr>
      </w:pPr>
      <w:r w:rsidRPr="00743EF7">
        <w:rPr>
          <w:rFonts w:ascii="David" w:hAnsi="David" w:cs="David"/>
          <w:sz w:val="24"/>
          <w:szCs w:val="24"/>
          <w:rtl/>
        </w:rPr>
        <w:t xml:space="preserve">ביחס להיטל ההשבחה לא נקבע מנגנון דומה, ומן הסעיף משתמע כי תחילה יש לקבוע את היטל ההשבחה לפי סעיף 196א לחוק התכנון והבנייה ובהתאם להוראות התוספת השלישית, ורק לאחר מכן ניתן לבחון אפשרות של קיזוז בהתאם להסדר הסטטוטורי האמור. אכן, ועדת הערר, בכובעה לפי סעיף 196 לחוק והתוספת השלישית, עוסקת אך ורק בקביעת גובה היטל ההשבחה בהתאם לדין ולהלכות בית המשפט העליון. שאלת הקיזוז, ככל שתעלה, מצויה במישור נפרד ואינה משליכה על עצם מלאכת חישוב ההיטל. מכאן, שאין ללמוד מהוראות סעיף 198א לפקודת העיריות כי ניתן לקזז מטלה ציבורית מסכום ההיטל עצמו, חלף קיזוזה מן ההשבחה, ודין טענת העוררות בעניין זה </w:t>
      </w:r>
      <w:r w:rsidR="00146B01">
        <w:rPr>
          <w:rFonts w:ascii="David" w:hAnsi="David" w:cs="David" w:hint="cs"/>
          <w:sz w:val="24"/>
          <w:szCs w:val="24"/>
          <w:rtl/>
        </w:rPr>
        <w:t>-</w:t>
      </w:r>
      <w:r w:rsidRPr="00743EF7">
        <w:rPr>
          <w:rFonts w:ascii="David" w:hAnsi="David" w:cs="David"/>
          <w:sz w:val="24"/>
          <w:szCs w:val="24"/>
          <w:rtl/>
        </w:rPr>
        <w:t xml:space="preserve"> להידחות</w:t>
      </w:r>
      <w:r w:rsidR="002C5845">
        <w:rPr>
          <w:rFonts w:ascii="David" w:hAnsi="David" w:cs="David" w:hint="cs"/>
          <w:sz w:val="24"/>
          <w:szCs w:val="24"/>
          <w:rtl/>
        </w:rPr>
        <w:t>.</w:t>
      </w:r>
    </w:p>
    <w:p w14:paraId="36285946" w14:textId="50A40B7E" w:rsidR="004C60F3" w:rsidRDefault="004C60F3" w:rsidP="008D2046">
      <w:pPr>
        <w:pStyle w:val="a9"/>
        <w:ind w:left="90" w:hanging="425"/>
        <w:rPr>
          <w:rtl/>
        </w:rPr>
      </w:pPr>
    </w:p>
    <w:p w14:paraId="4059CBFF" w14:textId="4FF3CCB4" w:rsidR="007B76D3" w:rsidRDefault="007B76D3" w:rsidP="008D2046">
      <w:pPr>
        <w:pStyle w:val="a9"/>
        <w:ind w:left="90" w:hanging="425"/>
        <w:rPr>
          <w:rtl/>
        </w:rPr>
      </w:pPr>
    </w:p>
    <w:p w14:paraId="5700F1C7" w14:textId="5A4837B5" w:rsidR="007B76D3" w:rsidRDefault="007B76D3" w:rsidP="008D2046">
      <w:pPr>
        <w:pStyle w:val="a9"/>
        <w:ind w:left="90" w:hanging="425"/>
        <w:rPr>
          <w:rtl/>
        </w:rPr>
      </w:pPr>
    </w:p>
    <w:p w14:paraId="1F8E017C" w14:textId="25DBA6A6" w:rsidR="007B76D3" w:rsidRDefault="007B76D3" w:rsidP="008D2046">
      <w:pPr>
        <w:pStyle w:val="a9"/>
        <w:ind w:left="90" w:hanging="425"/>
        <w:rPr>
          <w:rtl/>
        </w:rPr>
      </w:pPr>
    </w:p>
    <w:p w14:paraId="7694F569" w14:textId="4B97A572" w:rsidR="007B76D3" w:rsidRDefault="007B76D3" w:rsidP="008D2046">
      <w:pPr>
        <w:pStyle w:val="a9"/>
        <w:ind w:left="90" w:hanging="425"/>
        <w:rPr>
          <w:rtl/>
        </w:rPr>
      </w:pPr>
    </w:p>
    <w:p w14:paraId="13B2DA43" w14:textId="4F6BF9A1" w:rsidR="007B76D3" w:rsidRDefault="007B76D3" w:rsidP="008D2046">
      <w:pPr>
        <w:pStyle w:val="a9"/>
        <w:ind w:left="90" w:hanging="425"/>
        <w:rPr>
          <w:rtl/>
        </w:rPr>
      </w:pPr>
    </w:p>
    <w:p w14:paraId="7C5485A7" w14:textId="519854A6" w:rsidR="007B76D3" w:rsidRDefault="007B76D3" w:rsidP="008D2046">
      <w:pPr>
        <w:pStyle w:val="a9"/>
        <w:ind w:left="90" w:hanging="425"/>
        <w:rPr>
          <w:rtl/>
        </w:rPr>
      </w:pPr>
    </w:p>
    <w:p w14:paraId="5BF43D3E" w14:textId="43DE64AA" w:rsidR="007B76D3" w:rsidRDefault="007B76D3" w:rsidP="008D2046">
      <w:pPr>
        <w:pStyle w:val="a9"/>
        <w:ind w:left="90" w:hanging="425"/>
        <w:rPr>
          <w:rtl/>
        </w:rPr>
      </w:pPr>
    </w:p>
    <w:p w14:paraId="45C8B23D" w14:textId="3F6A97E4" w:rsidR="007B76D3" w:rsidRDefault="007B76D3" w:rsidP="008D2046">
      <w:pPr>
        <w:pStyle w:val="a9"/>
        <w:ind w:left="90" w:hanging="425"/>
        <w:rPr>
          <w:rtl/>
        </w:rPr>
      </w:pPr>
    </w:p>
    <w:p w14:paraId="7751D579" w14:textId="19778662" w:rsidR="007B76D3" w:rsidRDefault="007B76D3" w:rsidP="008D2046">
      <w:pPr>
        <w:pStyle w:val="a9"/>
        <w:ind w:left="90" w:hanging="425"/>
        <w:rPr>
          <w:rtl/>
        </w:rPr>
      </w:pPr>
    </w:p>
    <w:p w14:paraId="196B2828" w14:textId="3EF0561B" w:rsidR="007B76D3" w:rsidRDefault="007B76D3" w:rsidP="008D2046">
      <w:pPr>
        <w:pStyle w:val="a9"/>
        <w:ind w:left="90" w:hanging="425"/>
        <w:rPr>
          <w:rtl/>
        </w:rPr>
      </w:pPr>
    </w:p>
    <w:p w14:paraId="25241FE7" w14:textId="75E8AF71" w:rsidR="007B76D3" w:rsidRDefault="007B76D3" w:rsidP="008D2046">
      <w:pPr>
        <w:pStyle w:val="a9"/>
        <w:ind w:left="90" w:hanging="425"/>
        <w:rPr>
          <w:rtl/>
        </w:rPr>
      </w:pPr>
    </w:p>
    <w:p w14:paraId="7A9F69AC" w14:textId="50A5F3C7" w:rsidR="007B76D3" w:rsidRDefault="007B76D3" w:rsidP="008D2046">
      <w:pPr>
        <w:pStyle w:val="a9"/>
        <w:ind w:left="90" w:hanging="425"/>
        <w:rPr>
          <w:rtl/>
        </w:rPr>
      </w:pPr>
    </w:p>
    <w:p w14:paraId="098602B9" w14:textId="7523161F" w:rsidR="007B76D3" w:rsidRDefault="007B76D3" w:rsidP="008D2046">
      <w:pPr>
        <w:pStyle w:val="a9"/>
        <w:ind w:left="90" w:hanging="425"/>
        <w:rPr>
          <w:rtl/>
        </w:rPr>
      </w:pPr>
    </w:p>
    <w:p w14:paraId="5E1495D3" w14:textId="56C4B583" w:rsidR="007B76D3" w:rsidRDefault="007B76D3" w:rsidP="008D2046">
      <w:pPr>
        <w:pStyle w:val="a9"/>
        <w:ind w:left="90" w:hanging="425"/>
        <w:rPr>
          <w:rtl/>
        </w:rPr>
      </w:pPr>
    </w:p>
    <w:p w14:paraId="53745814" w14:textId="3163C9EA" w:rsidR="007B76D3" w:rsidRDefault="007B76D3" w:rsidP="008D2046">
      <w:pPr>
        <w:pStyle w:val="a9"/>
        <w:ind w:left="90" w:hanging="425"/>
        <w:rPr>
          <w:rtl/>
        </w:rPr>
      </w:pPr>
    </w:p>
    <w:p w14:paraId="5C45D6E5" w14:textId="7E51F491" w:rsidR="007B76D3" w:rsidRDefault="007B76D3" w:rsidP="008D2046">
      <w:pPr>
        <w:pStyle w:val="a9"/>
        <w:ind w:left="90" w:hanging="425"/>
        <w:rPr>
          <w:rtl/>
        </w:rPr>
      </w:pPr>
    </w:p>
    <w:p w14:paraId="292055AA" w14:textId="58831F51" w:rsidR="007B76D3" w:rsidRDefault="007B76D3" w:rsidP="008D2046">
      <w:pPr>
        <w:pStyle w:val="a9"/>
        <w:ind w:left="90" w:hanging="425"/>
        <w:rPr>
          <w:rtl/>
        </w:rPr>
      </w:pPr>
    </w:p>
    <w:p w14:paraId="395547FC" w14:textId="17B7550F" w:rsidR="007B76D3" w:rsidRDefault="007B76D3" w:rsidP="008D2046">
      <w:pPr>
        <w:pStyle w:val="a9"/>
        <w:ind w:left="90" w:hanging="425"/>
        <w:rPr>
          <w:rtl/>
        </w:rPr>
      </w:pPr>
    </w:p>
    <w:p w14:paraId="6F46D100" w14:textId="0ACCE1D1" w:rsidR="007B76D3" w:rsidRDefault="007B76D3" w:rsidP="008D2046">
      <w:pPr>
        <w:pStyle w:val="a9"/>
        <w:ind w:left="90" w:hanging="425"/>
        <w:rPr>
          <w:rtl/>
        </w:rPr>
      </w:pPr>
    </w:p>
    <w:p w14:paraId="70FFC94B" w14:textId="1FDA2F32" w:rsidR="007B76D3" w:rsidRDefault="007B76D3" w:rsidP="008D2046">
      <w:pPr>
        <w:pStyle w:val="a9"/>
        <w:ind w:left="90" w:hanging="425"/>
        <w:rPr>
          <w:rtl/>
        </w:rPr>
      </w:pPr>
    </w:p>
    <w:p w14:paraId="105148D7" w14:textId="19641203" w:rsidR="007B76D3" w:rsidRDefault="007B76D3" w:rsidP="008D2046">
      <w:pPr>
        <w:pStyle w:val="a9"/>
        <w:ind w:left="90" w:hanging="425"/>
        <w:rPr>
          <w:rtl/>
        </w:rPr>
      </w:pPr>
    </w:p>
    <w:p w14:paraId="2F13AF85" w14:textId="21413E29" w:rsidR="007B76D3" w:rsidRDefault="007B76D3" w:rsidP="008D2046">
      <w:pPr>
        <w:pStyle w:val="a9"/>
        <w:ind w:left="90" w:hanging="425"/>
        <w:rPr>
          <w:rtl/>
        </w:rPr>
      </w:pPr>
    </w:p>
    <w:p w14:paraId="5EFA7140" w14:textId="48D79398" w:rsidR="007B76D3" w:rsidRDefault="007B76D3" w:rsidP="008D2046">
      <w:pPr>
        <w:pStyle w:val="a9"/>
        <w:ind w:left="90" w:hanging="425"/>
        <w:rPr>
          <w:rtl/>
        </w:rPr>
      </w:pPr>
    </w:p>
    <w:p w14:paraId="114604EA" w14:textId="46373E8D" w:rsidR="007B76D3" w:rsidRDefault="007B76D3" w:rsidP="008D2046">
      <w:pPr>
        <w:pStyle w:val="a9"/>
        <w:ind w:left="90" w:hanging="425"/>
        <w:rPr>
          <w:rtl/>
        </w:rPr>
      </w:pPr>
    </w:p>
    <w:p w14:paraId="5067943E" w14:textId="30AEF361" w:rsidR="007B76D3" w:rsidRDefault="007B76D3" w:rsidP="008D2046">
      <w:pPr>
        <w:pStyle w:val="a9"/>
        <w:ind w:left="90" w:hanging="425"/>
        <w:rPr>
          <w:rtl/>
        </w:rPr>
      </w:pPr>
    </w:p>
    <w:p w14:paraId="42BB9672" w14:textId="318774D2" w:rsidR="007B76D3" w:rsidRDefault="007B76D3" w:rsidP="008D2046">
      <w:pPr>
        <w:pStyle w:val="a9"/>
        <w:ind w:left="90" w:hanging="425"/>
        <w:rPr>
          <w:rtl/>
        </w:rPr>
      </w:pPr>
    </w:p>
    <w:p w14:paraId="34997B39" w14:textId="7F1918DD" w:rsidR="007B76D3" w:rsidRDefault="007B76D3" w:rsidP="008D2046">
      <w:pPr>
        <w:pStyle w:val="a9"/>
        <w:ind w:left="90" w:hanging="425"/>
        <w:rPr>
          <w:rtl/>
        </w:rPr>
      </w:pPr>
    </w:p>
    <w:p w14:paraId="44F5ACCB" w14:textId="59EB526F" w:rsidR="004C60F3" w:rsidRPr="00AD4CC5" w:rsidRDefault="004C60F3" w:rsidP="008D2046">
      <w:pPr>
        <w:pStyle w:val="a9"/>
        <w:spacing w:line="360" w:lineRule="auto"/>
        <w:ind w:left="90" w:hanging="425"/>
        <w:contextualSpacing w:val="0"/>
        <w:jc w:val="both"/>
        <w:rPr>
          <w:rFonts w:ascii="David" w:hAnsi="David" w:cs="David"/>
          <w:b/>
          <w:bCs/>
          <w:sz w:val="28"/>
          <w:szCs w:val="28"/>
          <w:u w:val="single"/>
          <w:rtl/>
        </w:rPr>
      </w:pPr>
      <w:bookmarkStart w:id="0" w:name="_GoBack"/>
      <w:bookmarkEnd w:id="0"/>
      <w:r w:rsidRPr="00AD4CC5">
        <w:rPr>
          <w:rFonts w:ascii="David" w:hAnsi="David" w:cs="David" w:hint="eastAsia"/>
          <w:b/>
          <w:bCs/>
          <w:sz w:val="28"/>
          <w:szCs w:val="28"/>
          <w:u w:val="single"/>
          <w:rtl/>
        </w:rPr>
        <w:t>סוף</w:t>
      </w:r>
      <w:r w:rsidRPr="00AD4CC5">
        <w:rPr>
          <w:rFonts w:ascii="David" w:hAnsi="David" w:cs="David"/>
          <w:b/>
          <w:bCs/>
          <w:sz w:val="28"/>
          <w:szCs w:val="28"/>
          <w:u w:val="single"/>
          <w:rtl/>
        </w:rPr>
        <w:t xml:space="preserve"> </w:t>
      </w:r>
      <w:r w:rsidRPr="00AD4CC5">
        <w:rPr>
          <w:rFonts w:ascii="David" w:hAnsi="David" w:cs="David" w:hint="eastAsia"/>
          <w:b/>
          <w:bCs/>
          <w:sz w:val="28"/>
          <w:szCs w:val="28"/>
          <w:u w:val="single"/>
          <w:rtl/>
        </w:rPr>
        <w:t>דבר</w:t>
      </w:r>
      <w:r w:rsidR="00077DC8" w:rsidRPr="00AD4CC5">
        <w:rPr>
          <w:rFonts w:ascii="David" w:hAnsi="David" w:cs="David" w:hint="cs"/>
          <w:b/>
          <w:bCs/>
          <w:sz w:val="28"/>
          <w:szCs w:val="28"/>
          <w:u w:val="single"/>
          <w:rtl/>
        </w:rPr>
        <w:t xml:space="preserve"> והצעה לייעול הליכים</w:t>
      </w:r>
    </w:p>
    <w:p w14:paraId="1FF2C3D6" w14:textId="5C23E344" w:rsidR="004C60F3" w:rsidRDefault="004C60F3" w:rsidP="001302AA">
      <w:pPr>
        <w:pStyle w:val="a9"/>
        <w:numPr>
          <w:ilvl w:val="0"/>
          <w:numId w:val="1"/>
        </w:numPr>
        <w:spacing w:line="360" w:lineRule="auto"/>
        <w:ind w:left="44" w:hanging="425"/>
        <w:contextualSpacing w:val="0"/>
        <w:jc w:val="both"/>
        <w:rPr>
          <w:rFonts w:ascii="David" w:hAnsi="David" w:cs="David"/>
          <w:sz w:val="24"/>
          <w:szCs w:val="24"/>
        </w:rPr>
      </w:pPr>
      <w:r>
        <w:rPr>
          <w:rFonts w:ascii="David" w:hAnsi="David" w:cs="David" w:hint="cs"/>
          <w:sz w:val="24"/>
          <w:szCs w:val="24"/>
          <w:rtl/>
        </w:rPr>
        <w:t xml:space="preserve">נוכח האמור </w:t>
      </w:r>
      <w:r w:rsidR="00FA060C">
        <w:rPr>
          <w:rFonts w:ascii="David" w:hAnsi="David" w:cs="David" w:hint="cs"/>
          <w:sz w:val="24"/>
          <w:szCs w:val="24"/>
          <w:rtl/>
        </w:rPr>
        <w:t xml:space="preserve">הערר מתקבל </w:t>
      </w:r>
      <w:r w:rsidR="000475B5">
        <w:rPr>
          <w:rFonts w:ascii="David" w:hAnsi="David" w:cs="David" w:hint="cs"/>
          <w:sz w:val="24"/>
          <w:szCs w:val="24"/>
          <w:rtl/>
        </w:rPr>
        <w:t>רק ביחס ל</w:t>
      </w:r>
      <w:r w:rsidR="007C3B39">
        <w:rPr>
          <w:rFonts w:ascii="David" w:hAnsi="David" w:cs="David" w:hint="cs"/>
          <w:sz w:val="24"/>
          <w:szCs w:val="24"/>
          <w:rtl/>
        </w:rPr>
        <w:t>צורך ב</w:t>
      </w:r>
      <w:r w:rsidR="000475B5">
        <w:rPr>
          <w:rFonts w:ascii="David" w:hAnsi="David" w:cs="David" w:hint="cs"/>
          <w:sz w:val="24"/>
          <w:szCs w:val="24"/>
          <w:rtl/>
        </w:rPr>
        <w:t xml:space="preserve">תחשיב </w:t>
      </w:r>
      <w:r w:rsidR="00E642C6">
        <w:rPr>
          <w:rFonts w:ascii="David" w:hAnsi="David" w:cs="David" w:hint="cs"/>
          <w:sz w:val="24"/>
          <w:szCs w:val="24"/>
          <w:rtl/>
        </w:rPr>
        <w:t>בהתאם לניכוי עלות רמת הגמר מהמטלה הציבורית</w:t>
      </w:r>
      <w:r w:rsidR="001837B9">
        <w:rPr>
          <w:rFonts w:ascii="David" w:hAnsi="David" w:cs="David" w:hint="cs"/>
          <w:sz w:val="24"/>
          <w:szCs w:val="24"/>
          <w:rtl/>
        </w:rPr>
        <w:t>. אכן הוועדה המקומית הציגה תחשיב מטעמה</w:t>
      </w:r>
      <w:r w:rsidR="00FA060C">
        <w:rPr>
          <w:rFonts w:ascii="David" w:hAnsi="David" w:cs="David" w:hint="cs"/>
          <w:sz w:val="24"/>
          <w:szCs w:val="24"/>
          <w:rtl/>
        </w:rPr>
        <w:t>.</w:t>
      </w:r>
      <w:r w:rsidR="001837B9">
        <w:rPr>
          <w:rFonts w:ascii="David" w:hAnsi="David" w:cs="David" w:hint="cs"/>
          <w:sz w:val="24"/>
          <w:szCs w:val="24"/>
          <w:rtl/>
        </w:rPr>
        <w:t xml:space="preserve"> אך מאחר ושווי רמת גמר מלאה לא הוכרע בשומה המכרעת -</w:t>
      </w:r>
      <w:r w:rsidR="00FA060C">
        <w:rPr>
          <w:rFonts w:ascii="David" w:hAnsi="David" w:cs="David" w:hint="cs"/>
          <w:sz w:val="24"/>
          <w:szCs w:val="24"/>
          <w:rtl/>
        </w:rPr>
        <w:t xml:space="preserve"> הערר יושב לשמאי המכריע </w:t>
      </w:r>
      <w:r w:rsidR="0031035F">
        <w:rPr>
          <w:rFonts w:ascii="David" w:hAnsi="David" w:cs="David" w:hint="cs"/>
          <w:sz w:val="24"/>
          <w:szCs w:val="24"/>
          <w:rtl/>
        </w:rPr>
        <w:t>לצורך</w:t>
      </w:r>
      <w:r w:rsidR="007C3B39">
        <w:rPr>
          <w:rFonts w:ascii="David" w:hAnsi="David" w:cs="David" w:hint="cs"/>
          <w:sz w:val="24"/>
          <w:szCs w:val="24"/>
          <w:rtl/>
        </w:rPr>
        <w:t xml:space="preserve"> קביעת שווי רמת גמר מלאה, ו</w:t>
      </w:r>
      <w:r w:rsidR="0031035F">
        <w:rPr>
          <w:rFonts w:ascii="David" w:hAnsi="David" w:cs="David" w:hint="cs"/>
          <w:sz w:val="24"/>
          <w:szCs w:val="24"/>
          <w:rtl/>
        </w:rPr>
        <w:t xml:space="preserve">יישום ההחלטה </w:t>
      </w:r>
      <w:r w:rsidR="00FA060C">
        <w:rPr>
          <w:rFonts w:ascii="David" w:hAnsi="David" w:cs="David" w:hint="cs"/>
          <w:sz w:val="24"/>
          <w:szCs w:val="24"/>
          <w:rtl/>
        </w:rPr>
        <w:t>כמפורט לעיל.</w:t>
      </w:r>
    </w:p>
    <w:p w14:paraId="32E43AB3" w14:textId="47B5D71A" w:rsidR="00A764F3" w:rsidRPr="00A764F3" w:rsidRDefault="00A764F3" w:rsidP="00A764F3">
      <w:pPr>
        <w:pStyle w:val="a9"/>
        <w:numPr>
          <w:ilvl w:val="0"/>
          <w:numId w:val="1"/>
        </w:numPr>
        <w:spacing w:line="360" w:lineRule="auto"/>
        <w:ind w:left="44" w:hanging="425"/>
        <w:contextualSpacing w:val="0"/>
        <w:jc w:val="both"/>
        <w:rPr>
          <w:rFonts w:ascii="David" w:hAnsi="David" w:cs="David"/>
          <w:b/>
          <w:bCs/>
          <w:sz w:val="24"/>
          <w:szCs w:val="24"/>
        </w:rPr>
      </w:pPr>
      <w:r w:rsidRPr="00A764F3">
        <w:rPr>
          <w:rFonts w:ascii="David" w:hAnsi="David" w:cs="David" w:hint="cs"/>
          <w:b/>
          <w:bCs/>
          <w:sz w:val="24"/>
          <w:szCs w:val="24"/>
          <w:rtl/>
        </w:rPr>
        <w:t xml:space="preserve">לשם היעילות הדיוניות: על אף הסכמת הצדדים לניכוי עלות המטלות הציבוריות ברמת גמר, בין הצדדים קיימת מחלוקת ביחס לעלותה של רמה זו: העוררות - 10,000 ₪ כולל מע"מ (עמוד 52 לשומה המכרעת); הוועדה המקומית </w:t>
      </w:r>
      <w:r w:rsidRPr="00A764F3">
        <w:rPr>
          <w:rFonts w:ascii="David" w:hAnsi="David" w:cs="David"/>
          <w:b/>
          <w:bCs/>
          <w:sz w:val="24"/>
          <w:szCs w:val="24"/>
          <w:rtl/>
        </w:rPr>
        <w:t>–</w:t>
      </w:r>
      <w:r w:rsidRPr="00A764F3">
        <w:rPr>
          <w:rFonts w:ascii="David" w:hAnsi="David" w:cs="David" w:hint="cs"/>
          <w:b/>
          <w:bCs/>
          <w:sz w:val="24"/>
          <w:szCs w:val="24"/>
          <w:rtl/>
        </w:rPr>
        <w:t xml:space="preserve"> 7,650 ₪ כולל מע"מ (עמוד 35 לשומה המכרעת). מאחר שהשמאי המכריע כבר סיים את כהונתו, הרי שככל שהצדדים סבורים כי ניתן לייעל את ההליך והם מבקשים להגיע להסכמות ביניהם ביחס ל</w:t>
      </w:r>
      <w:r w:rsidR="003F2B4B">
        <w:rPr>
          <w:rFonts w:ascii="David" w:hAnsi="David" w:cs="David" w:hint="cs"/>
          <w:b/>
          <w:bCs/>
          <w:sz w:val="24"/>
          <w:szCs w:val="24"/>
          <w:rtl/>
        </w:rPr>
        <w:t>ניכוי ה</w:t>
      </w:r>
      <w:r w:rsidRPr="00A764F3">
        <w:rPr>
          <w:rFonts w:ascii="David" w:hAnsi="David" w:cs="David" w:hint="cs"/>
          <w:b/>
          <w:bCs/>
          <w:sz w:val="24"/>
          <w:szCs w:val="24"/>
          <w:rtl/>
        </w:rPr>
        <w:t xml:space="preserve">עלויות הנדרשות ברמת גמר מלאה (כמפורט לעיל נראה כי מדובר בהפרש לא גבוה באופן יחסי לעניין שלפנינו), יוכלו להגיש בקשה בעניין זה </w:t>
      </w:r>
      <w:r w:rsidRPr="00445F5B">
        <w:rPr>
          <w:rFonts w:ascii="David" w:hAnsi="David" w:cs="David" w:hint="cs"/>
          <w:b/>
          <w:bCs/>
          <w:sz w:val="24"/>
          <w:szCs w:val="24"/>
          <w:u w:val="single"/>
          <w:rtl/>
        </w:rPr>
        <w:t xml:space="preserve">בתוך </w:t>
      </w:r>
      <w:r w:rsidR="00D2011B">
        <w:rPr>
          <w:rFonts w:ascii="David" w:hAnsi="David" w:cs="David" w:hint="cs"/>
          <w:b/>
          <w:bCs/>
          <w:sz w:val="24"/>
          <w:szCs w:val="24"/>
          <w:u w:val="single"/>
          <w:rtl/>
        </w:rPr>
        <w:t>7</w:t>
      </w:r>
      <w:r w:rsidRPr="00445F5B">
        <w:rPr>
          <w:rFonts w:ascii="David" w:hAnsi="David" w:cs="David" w:hint="cs"/>
          <w:b/>
          <w:bCs/>
          <w:sz w:val="24"/>
          <w:szCs w:val="24"/>
          <w:u w:val="single"/>
          <w:rtl/>
        </w:rPr>
        <w:t xml:space="preserve"> </w:t>
      </w:r>
      <w:r w:rsidR="00D2011B">
        <w:rPr>
          <w:rFonts w:ascii="David" w:hAnsi="David" w:cs="David" w:hint="cs"/>
          <w:b/>
          <w:bCs/>
          <w:sz w:val="24"/>
          <w:szCs w:val="24"/>
          <w:u w:val="single"/>
          <w:rtl/>
        </w:rPr>
        <w:t>ימים</w:t>
      </w:r>
      <w:r w:rsidRPr="00445F5B">
        <w:rPr>
          <w:rFonts w:ascii="David" w:hAnsi="David" w:cs="David" w:hint="cs"/>
          <w:b/>
          <w:bCs/>
          <w:sz w:val="24"/>
          <w:szCs w:val="24"/>
          <w:u w:val="single"/>
          <w:rtl/>
        </w:rPr>
        <w:t xml:space="preserve"> מיום</w:t>
      </w:r>
      <w:r w:rsidRPr="008D0FE9">
        <w:rPr>
          <w:rFonts w:ascii="David" w:hAnsi="David" w:cs="David" w:hint="cs"/>
          <w:b/>
          <w:bCs/>
          <w:sz w:val="24"/>
          <w:szCs w:val="24"/>
          <w:u w:val="single"/>
          <w:rtl/>
        </w:rPr>
        <w:t xml:space="preserve"> </w:t>
      </w:r>
      <w:r w:rsidR="00D2011B">
        <w:rPr>
          <w:rFonts w:ascii="David" w:hAnsi="David" w:cs="David" w:hint="cs"/>
          <w:b/>
          <w:bCs/>
          <w:sz w:val="24"/>
          <w:szCs w:val="24"/>
          <w:u w:val="single"/>
          <w:rtl/>
        </w:rPr>
        <w:t>שתומצא</w:t>
      </w:r>
      <w:r w:rsidRPr="008D0FE9">
        <w:rPr>
          <w:rFonts w:ascii="David" w:hAnsi="David" w:cs="David" w:hint="cs"/>
          <w:b/>
          <w:bCs/>
          <w:sz w:val="24"/>
          <w:szCs w:val="24"/>
          <w:u w:val="single"/>
          <w:rtl/>
        </w:rPr>
        <w:t xml:space="preserve"> החלטה זו </w:t>
      </w:r>
      <w:r w:rsidR="00D2011B">
        <w:rPr>
          <w:rFonts w:ascii="David" w:hAnsi="David" w:cs="David" w:hint="cs"/>
          <w:b/>
          <w:bCs/>
          <w:sz w:val="24"/>
          <w:szCs w:val="24"/>
          <w:u w:val="single"/>
          <w:rtl/>
        </w:rPr>
        <w:t>ל</w:t>
      </w:r>
      <w:r w:rsidRPr="008D0FE9">
        <w:rPr>
          <w:rFonts w:ascii="David" w:hAnsi="David" w:cs="David" w:hint="cs"/>
          <w:b/>
          <w:bCs/>
          <w:sz w:val="24"/>
          <w:szCs w:val="24"/>
          <w:u w:val="single"/>
          <w:rtl/>
        </w:rPr>
        <w:t>ידם באמצעות הדוא"ל על ידי מזכירות ועדת הערר</w:t>
      </w:r>
      <w:r w:rsidRPr="00A764F3">
        <w:rPr>
          <w:rFonts w:ascii="David" w:hAnsi="David" w:cs="David" w:hint="cs"/>
          <w:b/>
          <w:bCs/>
          <w:sz w:val="24"/>
          <w:szCs w:val="24"/>
          <w:rtl/>
        </w:rPr>
        <w:t xml:space="preserve">. ככל שתוצג הסכמה </w:t>
      </w:r>
      <w:r w:rsidR="00520DC9">
        <w:rPr>
          <w:rFonts w:ascii="David" w:hAnsi="David" w:cs="David" w:hint="cs"/>
          <w:b/>
          <w:bCs/>
          <w:sz w:val="24"/>
          <w:szCs w:val="24"/>
          <w:rtl/>
        </w:rPr>
        <w:t>שלאחר שתבחן על ידינו יימצא כי היא עומדת</w:t>
      </w:r>
      <w:r w:rsidRPr="00A764F3">
        <w:rPr>
          <w:rFonts w:ascii="David" w:hAnsi="David" w:cs="David" w:hint="cs"/>
          <w:b/>
          <w:bCs/>
          <w:sz w:val="24"/>
          <w:szCs w:val="24"/>
          <w:rtl/>
        </w:rPr>
        <w:t xml:space="preserve"> בכללים שנקבעו בפסיקה לעניין הסכמות </w:t>
      </w:r>
      <w:r w:rsidRPr="00A764F3">
        <w:rPr>
          <w:rFonts w:ascii="David" w:hAnsi="David" w:cs="David"/>
          <w:b/>
          <w:bCs/>
          <w:sz w:val="24"/>
          <w:szCs w:val="24"/>
          <w:rtl/>
        </w:rPr>
        <w:t>–</w:t>
      </w:r>
      <w:r w:rsidRPr="00A764F3">
        <w:rPr>
          <w:rFonts w:ascii="David" w:hAnsi="David" w:cs="David" w:hint="cs"/>
          <w:b/>
          <w:bCs/>
          <w:sz w:val="24"/>
          <w:szCs w:val="24"/>
          <w:rtl/>
        </w:rPr>
        <w:t xml:space="preserve"> היא תאומץ. כך ניתן יהיה לה</w:t>
      </w:r>
      <w:r w:rsidR="00E95C47">
        <w:rPr>
          <w:rFonts w:ascii="David" w:hAnsi="David" w:cs="David" w:hint="cs"/>
          <w:b/>
          <w:bCs/>
          <w:sz w:val="24"/>
          <w:szCs w:val="24"/>
          <w:rtl/>
        </w:rPr>
        <w:t>י</w:t>
      </w:r>
      <w:r w:rsidRPr="00A764F3">
        <w:rPr>
          <w:rFonts w:ascii="David" w:hAnsi="David" w:cs="David" w:hint="cs"/>
          <w:b/>
          <w:bCs/>
          <w:sz w:val="24"/>
          <w:szCs w:val="24"/>
          <w:rtl/>
        </w:rPr>
        <w:t xml:space="preserve">מנע מלהשיב את השומה לתיקון בעניין </w:t>
      </w:r>
      <w:r w:rsidR="006E69BA">
        <w:rPr>
          <w:rFonts w:ascii="David" w:hAnsi="David" w:cs="David" w:hint="cs"/>
          <w:b/>
          <w:bCs/>
          <w:sz w:val="24"/>
          <w:szCs w:val="24"/>
          <w:rtl/>
        </w:rPr>
        <w:t>מעין זה</w:t>
      </w:r>
      <w:r w:rsidRPr="00A764F3">
        <w:rPr>
          <w:rFonts w:ascii="David" w:hAnsi="David" w:cs="David" w:hint="cs"/>
          <w:b/>
          <w:bCs/>
          <w:sz w:val="24"/>
          <w:szCs w:val="24"/>
          <w:rtl/>
        </w:rPr>
        <w:t>.</w:t>
      </w:r>
    </w:p>
    <w:p w14:paraId="3F4FA549" w14:textId="1B30B4F0" w:rsidR="004C60F3" w:rsidRDefault="004C60F3" w:rsidP="001302AA">
      <w:pPr>
        <w:pStyle w:val="a9"/>
        <w:numPr>
          <w:ilvl w:val="0"/>
          <w:numId w:val="1"/>
        </w:numPr>
        <w:spacing w:line="360" w:lineRule="auto"/>
        <w:ind w:left="44" w:hanging="425"/>
        <w:contextualSpacing w:val="0"/>
        <w:jc w:val="both"/>
        <w:rPr>
          <w:rFonts w:ascii="David" w:hAnsi="David" w:cs="David"/>
          <w:sz w:val="24"/>
          <w:szCs w:val="24"/>
          <w:rtl/>
        </w:rPr>
      </w:pPr>
      <w:r>
        <w:rPr>
          <w:rFonts w:ascii="David" w:hAnsi="David" w:cs="David" w:hint="cs"/>
          <w:sz w:val="24"/>
          <w:szCs w:val="24"/>
          <w:rtl/>
        </w:rPr>
        <w:t>לאחר שתומצא השומה המתוקנת לצדדים יוכלו הצדדים להגיש השגה מטעמם</w:t>
      </w:r>
      <w:r w:rsidR="005A635F">
        <w:rPr>
          <w:rFonts w:ascii="David" w:hAnsi="David" w:cs="David" w:hint="cs"/>
          <w:sz w:val="24"/>
          <w:szCs w:val="24"/>
          <w:rtl/>
        </w:rPr>
        <w:t>, רק ביחס לעניין האמור,</w:t>
      </w:r>
      <w:r>
        <w:rPr>
          <w:rFonts w:ascii="David" w:hAnsi="David" w:cs="David" w:hint="cs"/>
          <w:sz w:val="24"/>
          <w:szCs w:val="24"/>
          <w:rtl/>
        </w:rPr>
        <w:t xml:space="preserve"> בתוך 45 יום מיום ההמצאה. </w:t>
      </w:r>
    </w:p>
    <w:p w14:paraId="6D84B25D" w14:textId="31DB623E" w:rsidR="004C60F3" w:rsidRDefault="00B5245F" w:rsidP="005C0135">
      <w:pPr>
        <w:pStyle w:val="a9"/>
        <w:numPr>
          <w:ilvl w:val="0"/>
          <w:numId w:val="1"/>
        </w:numPr>
        <w:spacing w:line="360" w:lineRule="auto"/>
        <w:ind w:left="44" w:hanging="425"/>
        <w:contextualSpacing w:val="0"/>
        <w:jc w:val="both"/>
        <w:rPr>
          <w:rFonts w:ascii="David" w:hAnsi="David" w:cs="David"/>
          <w:sz w:val="24"/>
          <w:szCs w:val="24"/>
          <w:rtl/>
        </w:rPr>
      </w:pPr>
      <w:r>
        <w:rPr>
          <w:rFonts w:ascii="David" w:hAnsi="David" w:cs="David" w:hint="cs"/>
          <w:sz w:val="24"/>
          <w:szCs w:val="24"/>
          <w:rtl/>
        </w:rPr>
        <w:t xml:space="preserve">בנסיבות המפורטות לעיל </w:t>
      </w:r>
      <w:r w:rsidR="008401CA">
        <w:rPr>
          <w:rFonts w:ascii="David" w:hAnsi="David" w:cs="David"/>
          <w:sz w:val="24"/>
          <w:szCs w:val="24"/>
          <w:rtl/>
        </w:rPr>
        <w:t>–</w:t>
      </w:r>
      <w:r w:rsidR="008401CA">
        <w:rPr>
          <w:rFonts w:ascii="David" w:hAnsi="David" w:cs="David" w:hint="cs"/>
          <w:sz w:val="24"/>
          <w:szCs w:val="24"/>
          <w:rtl/>
        </w:rPr>
        <w:t xml:space="preserve"> אין צו להוצאות</w:t>
      </w:r>
      <w:r w:rsidR="00322ECD">
        <w:rPr>
          <w:rFonts w:ascii="David" w:hAnsi="David" w:cs="David" w:hint="cs"/>
          <w:sz w:val="24"/>
          <w:szCs w:val="24"/>
          <w:rtl/>
        </w:rPr>
        <w:t>.</w:t>
      </w:r>
    </w:p>
    <w:p w14:paraId="16BB999E" w14:textId="75D6C679" w:rsidR="004C60F3" w:rsidRDefault="004C60F3" w:rsidP="001302AA">
      <w:pPr>
        <w:pStyle w:val="a9"/>
        <w:numPr>
          <w:ilvl w:val="0"/>
          <w:numId w:val="1"/>
        </w:numPr>
        <w:spacing w:line="360" w:lineRule="auto"/>
        <w:ind w:left="44" w:hanging="425"/>
        <w:contextualSpacing w:val="0"/>
        <w:jc w:val="both"/>
        <w:rPr>
          <w:rFonts w:ascii="David" w:hAnsi="David" w:cs="David"/>
          <w:sz w:val="24"/>
          <w:szCs w:val="24"/>
        </w:rPr>
      </w:pPr>
      <w:r>
        <w:rPr>
          <w:rFonts w:ascii="David" w:hAnsi="David" w:cs="David" w:hint="cs"/>
          <w:sz w:val="24"/>
          <w:szCs w:val="24"/>
          <w:rtl/>
        </w:rPr>
        <w:t>ההחלטה ניתנה פה אחד.</w:t>
      </w:r>
    </w:p>
    <w:p w14:paraId="64410BDD" w14:textId="6F349E26" w:rsidR="00E6111B" w:rsidRDefault="00E6111B" w:rsidP="00E6111B">
      <w:pPr>
        <w:spacing w:before="240" w:after="240" w:line="360" w:lineRule="auto"/>
        <w:jc w:val="both"/>
        <w:rPr>
          <w:rFonts w:ascii="David" w:eastAsia="David" w:hAnsi="David" w:cs="David"/>
          <w:b/>
          <w:bCs/>
          <w:sz w:val="28"/>
          <w:szCs w:val="28"/>
          <w:rtl/>
        </w:rPr>
      </w:pPr>
      <w:r>
        <w:rPr>
          <w:rFonts w:ascii="David" w:eastAsia="David" w:hAnsi="David" w:cs="David" w:hint="cs"/>
          <w:b/>
          <w:bCs/>
          <w:sz w:val="28"/>
          <w:szCs w:val="28"/>
          <w:rtl/>
        </w:rPr>
        <w:t xml:space="preserve">ההחלטה </w:t>
      </w:r>
      <w:r w:rsidRPr="00FD27E7">
        <w:rPr>
          <w:rFonts w:ascii="David" w:eastAsia="David" w:hAnsi="David" w:cs="David" w:hint="cs"/>
          <w:b/>
          <w:bCs/>
          <w:sz w:val="28"/>
          <w:szCs w:val="28"/>
          <w:rtl/>
        </w:rPr>
        <w:t xml:space="preserve">ניתנה ביום </w:t>
      </w:r>
      <w:r w:rsidR="007B76D3">
        <w:rPr>
          <w:rFonts w:ascii="David" w:eastAsia="David" w:hAnsi="David" w:cs="David" w:hint="cs"/>
          <w:b/>
          <w:bCs/>
          <w:sz w:val="28"/>
          <w:szCs w:val="28"/>
          <w:rtl/>
        </w:rPr>
        <w:t>רביעי</w:t>
      </w:r>
      <w:r w:rsidRPr="00FD27E7">
        <w:rPr>
          <w:rFonts w:ascii="David" w:eastAsia="David" w:hAnsi="David" w:cs="David" w:hint="cs"/>
          <w:b/>
          <w:bCs/>
          <w:sz w:val="28"/>
          <w:szCs w:val="28"/>
          <w:rtl/>
        </w:rPr>
        <w:t>, י"</w:t>
      </w:r>
      <w:r w:rsidR="007B76D3">
        <w:rPr>
          <w:rFonts w:ascii="David" w:eastAsia="David" w:hAnsi="David" w:cs="David" w:hint="cs"/>
          <w:b/>
          <w:bCs/>
          <w:sz w:val="28"/>
          <w:szCs w:val="28"/>
          <w:rtl/>
        </w:rPr>
        <w:t>ח</w:t>
      </w:r>
      <w:r w:rsidRPr="00FD27E7">
        <w:rPr>
          <w:rFonts w:ascii="David" w:eastAsia="David" w:hAnsi="David" w:cs="David" w:hint="cs"/>
          <w:b/>
          <w:bCs/>
          <w:sz w:val="28"/>
          <w:szCs w:val="28"/>
          <w:rtl/>
        </w:rPr>
        <w:t xml:space="preserve"> בטבת תשפ"ו, 0</w:t>
      </w:r>
      <w:r w:rsidR="007B76D3">
        <w:rPr>
          <w:rFonts w:ascii="David" w:eastAsia="David" w:hAnsi="David" w:cs="David" w:hint="cs"/>
          <w:b/>
          <w:bCs/>
          <w:sz w:val="28"/>
          <w:szCs w:val="28"/>
          <w:rtl/>
        </w:rPr>
        <w:t>7</w:t>
      </w:r>
      <w:r>
        <w:rPr>
          <w:rFonts w:ascii="David" w:eastAsia="David" w:hAnsi="David" w:cs="David" w:hint="cs"/>
          <w:b/>
          <w:bCs/>
          <w:sz w:val="28"/>
          <w:szCs w:val="28"/>
          <w:rtl/>
        </w:rPr>
        <w:t>.</w:t>
      </w:r>
      <w:r w:rsidRPr="00FD27E7">
        <w:rPr>
          <w:rFonts w:ascii="David" w:eastAsia="David" w:hAnsi="David" w:cs="David" w:hint="cs"/>
          <w:b/>
          <w:bCs/>
          <w:sz w:val="28"/>
          <w:szCs w:val="28"/>
          <w:rtl/>
        </w:rPr>
        <w:t>01</w:t>
      </w:r>
      <w:r>
        <w:rPr>
          <w:rFonts w:ascii="David" w:eastAsia="David" w:hAnsi="David" w:cs="David" w:hint="cs"/>
          <w:b/>
          <w:bCs/>
          <w:sz w:val="28"/>
          <w:szCs w:val="28"/>
          <w:rtl/>
        </w:rPr>
        <w:t>.</w:t>
      </w:r>
      <w:r w:rsidRPr="00FD27E7">
        <w:rPr>
          <w:rFonts w:ascii="David" w:eastAsia="David" w:hAnsi="David" w:cs="David" w:hint="cs"/>
          <w:b/>
          <w:bCs/>
          <w:sz w:val="28"/>
          <w:szCs w:val="28"/>
          <w:rtl/>
        </w:rPr>
        <w:t>2026</w:t>
      </w:r>
    </w:p>
    <w:p w14:paraId="2E710E21" w14:textId="77777777" w:rsidR="00E6111B" w:rsidRDefault="00E6111B" w:rsidP="00E6111B">
      <w:pPr>
        <w:spacing w:before="240" w:after="240" w:line="360" w:lineRule="auto"/>
        <w:jc w:val="both"/>
        <w:rPr>
          <w:rFonts w:ascii="David" w:eastAsia="David" w:hAnsi="David" w:cs="David"/>
          <w:b/>
          <w:bCs/>
          <w:sz w:val="28"/>
          <w:szCs w:val="28"/>
          <w:rtl/>
        </w:rPr>
      </w:pPr>
    </w:p>
    <w:p w14:paraId="4237D098" w14:textId="77777777" w:rsidR="00E6111B" w:rsidRDefault="00E6111B" w:rsidP="00E6111B">
      <w:pPr>
        <w:spacing w:before="240" w:after="240" w:line="360" w:lineRule="auto"/>
        <w:jc w:val="both"/>
        <w:rPr>
          <w:rFonts w:ascii="David" w:eastAsia="David" w:hAnsi="David" w:cs="David"/>
          <w:b/>
          <w:bCs/>
          <w:sz w:val="28"/>
          <w:szCs w:val="28"/>
          <w:rtl/>
        </w:rPr>
      </w:pPr>
    </w:p>
    <w:p w14:paraId="724A316E" w14:textId="77777777" w:rsidR="00E6111B" w:rsidRPr="000700A7" w:rsidRDefault="00E6111B" w:rsidP="00E6111B">
      <w:pPr>
        <w:pStyle w:val="a9"/>
        <w:spacing w:line="360" w:lineRule="auto"/>
        <w:ind w:left="360"/>
        <w:jc w:val="both"/>
        <w:rPr>
          <w:rtl/>
        </w:rPr>
      </w:pPr>
      <w:r w:rsidRPr="000700A7">
        <w:rPr>
          <w:rtl/>
        </w:rPr>
        <w:t>____________________</w:t>
      </w:r>
      <w:r w:rsidRPr="000700A7">
        <w:rPr>
          <w:rtl/>
        </w:rPr>
        <w:tab/>
      </w:r>
      <w:r w:rsidRPr="000700A7">
        <w:rPr>
          <w:rtl/>
        </w:rPr>
        <w:tab/>
      </w:r>
      <w:r w:rsidRPr="000700A7">
        <w:rPr>
          <w:rtl/>
        </w:rPr>
        <w:tab/>
      </w:r>
      <w:r w:rsidRPr="000700A7">
        <w:rPr>
          <w:rtl/>
        </w:rPr>
        <w:tab/>
      </w:r>
      <w:r>
        <w:rPr>
          <w:rFonts w:hint="cs"/>
          <w:rtl/>
        </w:rPr>
        <w:t xml:space="preserve">   </w:t>
      </w:r>
      <w:r w:rsidRPr="000700A7">
        <w:rPr>
          <w:rtl/>
        </w:rPr>
        <w:t>____________________</w:t>
      </w:r>
    </w:p>
    <w:p w14:paraId="23573D7A" w14:textId="77777777" w:rsidR="00E6111B" w:rsidRPr="00893DA0" w:rsidRDefault="00E6111B" w:rsidP="00E6111B">
      <w:pPr>
        <w:pStyle w:val="a9"/>
        <w:spacing w:line="360" w:lineRule="auto"/>
        <w:ind w:left="360"/>
        <w:jc w:val="both"/>
        <w:rPr>
          <w:rFonts w:ascii="David" w:hAnsi="David" w:cs="David"/>
          <w:b/>
          <w:bCs/>
          <w:sz w:val="24"/>
          <w:szCs w:val="24"/>
          <w:rtl/>
        </w:rPr>
      </w:pPr>
      <w:r w:rsidRPr="00893DA0">
        <w:rPr>
          <w:rFonts w:hint="cs"/>
          <w:b/>
          <w:bCs/>
          <w:rtl/>
        </w:rPr>
        <w:t xml:space="preserve">     </w:t>
      </w:r>
      <w:r w:rsidRPr="00893DA0">
        <w:rPr>
          <w:rFonts w:ascii="David" w:hAnsi="David" w:cs="David" w:hint="cs"/>
          <w:b/>
          <w:bCs/>
          <w:sz w:val="24"/>
          <w:szCs w:val="24"/>
          <w:rtl/>
        </w:rPr>
        <w:t xml:space="preserve">שחר דדון, עו"ד </w:t>
      </w:r>
      <w:r w:rsidRPr="00893DA0">
        <w:rPr>
          <w:rFonts w:ascii="David" w:hAnsi="David" w:cs="David"/>
          <w:b/>
          <w:bCs/>
          <w:sz w:val="24"/>
          <w:szCs w:val="24"/>
          <w:rtl/>
        </w:rPr>
        <w:tab/>
      </w:r>
      <w:r w:rsidRPr="00893DA0">
        <w:rPr>
          <w:rFonts w:ascii="David" w:hAnsi="David" w:cs="David"/>
          <w:b/>
          <w:bCs/>
          <w:sz w:val="24"/>
          <w:szCs w:val="24"/>
          <w:rtl/>
        </w:rPr>
        <w:tab/>
      </w:r>
      <w:r w:rsidRPr="00893DA0">
        <w:rPr>
          <w:rFonts w:ascii="David" w:hAnsi="David" w:cs="David"/>
          <w:b/>
          <w:bCs/>
          <w:sz w:val="24"/>
          <w:szCs w:val="24"/>
          <w:rtl/>
        </w:rPr>
        <w:tab/>
      </w:r>
      <w:r w:rsidRPr="00893DA0">
        <w:rPr>
          <w:rFonts w:ascii="David" w:hAnsi="David" w:cs="David" w:hint="cs"/>
          <w:b/>
          <w:bCs/>
          <w:sz w:val="24"/>
          <w:szCs w:val="24"/>
          <w:rtl/>
        </w:rPr>
        <w:t xml:space="preserve">                                </w:t>
      </w:r>
      <w:r>
        <w:rPr>
          <w:rFonts w:ascii="David" w:hAnsi="David" w:cs="David" w:hint="cs"/>
          <w:b/>
          <w:bCs/>
          <w:sz w:val="24"/>
          <w:szCs w:val="24"/>
          <w:rtl/>
        </w:rPr>
        <w:t xml:space="preserve"> </w:t>
      </w:r>
      <w:r w:rsidRPr="00893DA0">
        <w:rPr>
          <w:rFonts w:ascii="David" w:hAnsi="David" w:cs="David" w:hint="cs"/>
          <w:b/>
          <w:bCs/>
          <w:sz w:val="24"/>
          <w:szCs w:val="24"/>
          <w:rtl/>
        </w:rPr>
        <w:t xml:space="preserve"> </w:t>
      </w:r>
      <w:r>
        <w:rPr>
          <w:rFonts w:ascii="David" w:hAnsi="David" w:cs="David" w:hint="cs"/>
          <w:b/>
          <w:bCs/>
          <w:sz w:val="24"/>
          <w:szCs w:val="24"/>
          <w:rtl/>
        </w:rPr>
        <w:t xml:space="preserve">     </w:t>
      </w:r>
      <w:r w:rsidRPr="00893DA0">
        <w:rPr>
          <w:rFonts w:ascii="David" w:hAnsi="David" w:cs="David" w:hint="cs"/>
          <w:b/>
          <w:bCs/>
          <w:sz w:val="24"/>
          <w:szCs w:val="24"/>
          <w:rtl/>
        </w:rPr>
        <w:t xml:space="preserve"> הלל גלקופ</w:t>
      </w:r>
      <w:r w:rsidRPr="00893DA0">
        <w:rPr>
          <w:rFonts w:ascii="David" w:hAnsi="David" w:cs="David"/>
          <w:b/>
          <w:bCs/>
          <w:sz w:val="24"/>
          <w:szCs w:val="24"/>
          <w:rtl/>
        </w:rPr>
        <w:t>, עו"ד</w:t>
      </w:r>
    </w:p>
    <w:p w14:paraId="64DE362D" w14:textId="77777777" w:rsidR="00E6111B" w:rsidRPr="00893DA0" w:rsidRDefault="00E6111B" w:rsidP="00E6111B">
      <w:pPr>
        <w:pStyle w:val="a9"/>
        <w:spacing w:line="360" w:lineRule="auto"/>
        <w:ind w:left="360"/>
        <w:jc w:val="both"/>
        <w:rPr>
          <w:rFonts w:ascii="David" w:hAnsi="David" w:cs="David"/>
          <w:b/>
          <w:bCs/>
          <w:sz w:val="24"/>
          <w:szCs w:val="24"/>
          <w:rtl/>
        </w:rPr>
      </w:pPr>
      <w:r w:rsidRPr="00893DA0">
        <w:rPr>
          <w:rFonts w:ascii="David" w:hAnsi="David" w:cs="David" w:hint="cs"/>
          <w:b/>
          <w:bCs/>
          <w:sz w:val="24"/>
          <w:szCs w:val="24"/>
          <w:rtl/>
        </w:rPr>
        <w:t xml:space="preserve">      </w:t>
      </w:r>
      <w:r w:rsidRPr="00893DA0">
        <w:rPr>
          <w:rFonts w:ascii="David" w:hAnsi="David" w:cs="David"/>
          <w:b/>
          <w:bCs/>
          <w:sz w:val="24"/>
          <w:szCs w:val="24"/>
          <w:rtl/>
        </w:rPr>
        <w:t>מזכיר</w:t>
      </w:r>
      <w:r w:rsidRPr="00893DA0">
        <w:rPr>
          <w:rFonts w:ascii="David" w:hAnsi="David" w:cs="David" w:hint="cs"/>
          <w:b/>
          <w:bCs/>
          <w:sz w:val="24"/>
          <w:szCs w:val="24"/>
          <w:rtl/>
        </w:rPr>
        <w:t>ת</w:t>
      </w:r>
      <w:r w:rsidRPr="00893DA0">
        <w:rPr>
          <w:rFonts w:ascii="David" w:hAnsi="David" w:cs="David"/>
          <w:b/>
          <w:bCs/>
          <w:sz w:val="24"/>
          <w:szCs w:val="24"/>
          <w:rtl/>
        </w:rPr>
        <w:t xml:space="preserve"> ועדת ערר</w:t>
      </w:r>
      <w:r w:rsidRPr="00893DA0">
        <w:rPr>
          <w:rFonts w:ascii="David" w:hAnsi="David" w:cs="David"/>
          <w:b/>
          <w:bCs/>
          <w:sz w:val="24"/>
          <w:szCs w:val="24"/>
          <w:rtl/>
        </w:rPr>
        <w:tab/>
      </w:r>
      <w:r w:rsidRPr="00893DA0">
        <w:rPr>
          <w:rFonts w:ascii="David" w:hAnsi="David" w:cs="David"/>
          <w:b/>
          <w:bCs/>
          <w:sz w:val="24"/>
          <w:szCs w:val="24"/>
          <w:rtl/>
        </w:rPr>
        <w:tab/>
      </w:r>
      <w:r w:rsidRPr="00893DA0">
        <w:rPr>
          <w:rFonts w:ascii="David" w:hAnsi="David" w:cs="David"/>
          <w:b/>
          <w:bCs/>
          <w:sz w:val="24"/>
          <w:szCs w:val="24"/>
          <w:rtl/>
        </w:rPr>
        <w:tab/>
      </w:r>
      <w:r w:rsidRPr="00893DA0">
        <w:rPr>
          <w:rFonts w:ascii="David" w:hAnsi="David" w:cs="David" w:hint="cs"/>
          <w:b/>
          <w:bCs/>
          <w:sz w:val="24"/>
          <w:szCs w:val="24"/>
          <w:rtl/>
        </w:rPr>
        <w:t xml:space="preserve">           </w:t>
      </w:r>
      <w:r w:rsidRPr="00893DA0">
        <w:rPr>
          <w:rFonts w:ascii="David" w:hAnsi="David" w:cs="David"/>
          <w:b/>
          <w:bCs/>
          <w:sz w:val="24"/>
          <w:szCs w:val="24"/>
          <w:rtl/>
        </w:rPr>
        <w:tab/>
      </w:r>
      <w:r w:rsidRPr="00893DA0">
        <w:rPr>
          <w:rFonts w:ascii="David" w:hAnsi="David" w:cs="David"/>
          <w:b/>
          <w:bCs/>
          <w:sz w:val="24"/>
          <w:szCs w:val="24"/>
          <w:rtl/>
        </w:rPr>
        <w:tab/>
        <w:t>יו"ר ועדת ערר</w:t>
      </w:r>
    </w:p>
    <w:p w14:paraId="3BD159C7" w14:textId="77777777" w:rsidR="00E6111B" w:rsidRPr="00893DA0" w:rsidRDefault="00E6111B" w:rsidP="00E6111B">
      <w:pPr>
        <w:pStyle w:val="a9"/>
        <w:spacing w:line="360" w:lineRule="auto"/>
        <w:ind w:left="360"/>
        <w:jc w:val="both"/>
        <w:rPr>
          <w:rFonts w:ascii="David" w:hAnsi="David" w:cs="David"/>
          <w:b/>
          <w:bCs/>
          <w:sz w:val="24"/>
          <w:szCs w:val="24"/>
          <w:rtl/>
        </w:rPr>
      </w:pPr>
      <w:r w:rsidRPr="00893DA0">
        <w:rPr>
          <w:rFonts w:ascii="David" w:hAnsi="David" w:cs="David" w:hint="cs"/>
          <w:b/>
          <w:bCs/>
          <w:sz w:val="24"/>
          <w:szCs w:val="24"/>
          <w:rtl/>
        </w:rPr>
        <w:t xml:space="preserve">      </w:t>
      </w:r>
      <w:r w:rsidRPr="00893DA0">
        <w:rPr>
          <w:rFonts w:ascii="David" w:hAnsi="David" w:cs="David"/>
          <w:b/>
          <w:bCs/>
          <w:sz w:val="24"/>
          <w:szCs w:val="24"/>
          <w:rtl/>
        </w:rPr>
        <w:t>מחוז תל אביב</w:t>
      </w:r>
      <w:r w:rsidRPr="00893DA0">
        <w:rPr>
          <w:rFonts w:ascii="David" w:hAnsi="David" w:cs="David"/>
          <w:b/>
          <w:bCs/>
          <w:sz w:val="24"/>
          <w:szCs w:val="24"/>
          <w:rtl/>
        </w:rPr>
        <w:tab/>
      </w:r>
      <w:r w:rsidRPr="00893DA0">
        <w:rPr>
          <w:rFonts w:ascii="David" w:hAnsi="David" w:cs="David"/>
          <w:b/>
          <w:bCs/>
          <w:sz w:val="24"/>
          <w:szCs w:val="24"/>
          <w:rtl/>
        </w:rPr>
        <w:tab/>
      </w:r>
      <w:r w:rsidRPr="00893DA0">
        <w:rPr>
          <w:rFonts w:ascii="David" w:hAnsi="David" w:cs="David"/>
          <w:b/>
          <w:bCs/>
          <w:sz w:val="24"/>
          <w:szCs w:val="24"/>
          <w:rtl/>
        </w:rPr>
        <w:tab/>
      </w:r>
      <w:r w:rsidRPr="00893DA0">
        <w:rPr>
          <w:rFonts w:ascii="David" w:hAnsi="David" w:cs="David"/>
          <w:b/>
          <w:bCs/>
          <w:sz w:val="24"/>
          <w:szCs w:val="24"/>
          <w:rtl/>
        </w:rPr>
        <w:tab/>
      </w:r>
      <w:r w:rsidRPr="00893DA0">
        <w:rPr>
          <w:rFonts w:ascii="David" w:hAnsi="David" w:cs="David"/>
          <w:b/>
          <w:bCs/>
          <w:sz w:val="24"/>
          <w:szCs w:val="24"/>
          <w:rtl/>
        </w:rPr>
        <w:tab/>
      </w:r>
      <w:r w:rsidRPr="00893DA0">
        <w:rPr>
          <w:rFonts w:ascii="David" w:hAnsi="David" w:cs="David"/>
          <w:b/>
          <w:bCs/>
          <w:sz w:val="24"/>
          <w:szCs w:val="24"/>
          <w:rtl/>
        </w:rPr>
        <w:tab/>
        <w:t>מחוז תל אבי</w:t>
      </w:r>
      <w:r w:rsidRPr="00893DA0">
        <w:rPr>
          <w:rFonts w:ascii="David" w:hAnsi="David" w:cs="David" w:hint="cs"/>
          <w:b/>
          <w:bCs/>
          <w:sz w:val="24"/>
          <w:szCs w:val="24"/>
          <w:rtl/>
        </w:rPr>
        <w:t>ב</w:t>
      </w:r>
    </w:p>
    <w:p w14:paraId="6AB48CF5" w14:textId="77777777" w:rsidR="00E6111B" w:rsidRPr="00373710" w:rsidRDefault="00E6111B" w:rsidP="00202DE4">
      <w:pPr>
        <w:pStyle w:val="a9"/>
        <w:spacing w:line="360" w:lineRule="auto"/>
        <w:ind w:left="44"/>
        <w:contextualSpacing w:val="0"/>
        <w:jc w:val="both"/>
        <w:rPr>
          <w:rFonts w:ascii="David" w:hAnsi="David" w:cs="David"/>
          <w:sz w:val="24"/>
          <w:szCs w:val="24"/>
        </w:rPr>
      </w:pPr>
    </w:p>
    <w:p w14:paraId="3600F161" w14:textId="72FA2421" w:rsidR="00A8665B" w:rsidRDefault="00A8665B" w:rsidP="008D2046">
      <w:pPr>
        <w:ind w:left="90" w:hanging="425"/>
        <w:jc w:val="both"/>
        <w:rPr>
          <w:b/>
          <w:bCs/>
          <w:u w:val="single"/>
          <w:rtl/>
        </w:rPr>
      </w:pPr>
    </w:p>
    <w:p w14:paraId="5978BD49" w14:textId="77777777" w:rsidR="0090295F" w:rsidRPr="008D2046" w:rsidRDefault="0090295F" w:rsidP="008D2046">
      <w:pPr>
        <w:ind w:left="90" w:hanging="425"/>
        <w:jc w:val="both"/>
        <w:rPr>
          <w:b/>
          <w:bCs/>
          <w:u w:val="single"/>
        </w:rPr>
      </w:pPr>
    </w:p>
    <w:sectPr w:rsidR="0090295F" w:rsidRPr="008D2046" w:rsidSect="008608B7">
      <w:pgSz w:w="11906" w:h="16838"/>
      <w:pgMar w:top="1440" w:right="1797" w:bottom="1440" w:left="1701" w:header="709" w:footer="709" w:gutter="0"/>
      <w:cols w:space="708"/>
      <w:bidi/>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E9B0EF9" w16cex:dateUtc="2025-12-30T15:55:00Z"/>
  <w16cex:commentExtensible w16cex:durableId="14137BD4" w16cex:dateUtc="2025-12-31T06:22:00Z"/>
  <w16cex:commentExtensible w16cex:durableId="7F1881DB" w16cex:dateUtc="2025-12-31T06:25:00Z"/>
  <w16cex:commentExtensible w16cex:durableId="76D37DA3" w16cex:dateUtc="2025-12-31T06:30:00Z"/>
  <w16cex:commentExtensible w16cex:durableId="29A04CE1" w16cex:dateUtc="2025-12-31T06:43:00Z"/>
  <w16cex:commentExtensible w16cex:durableId="04ED0FB5" w16cex:dateUtc="2025-12-31T06:48:00Z"/>
  <w16cex:commentExtensible w16cex:durableId="07F7A45F" w16cex:dateUtc="2025-12-31T07:5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970693" w14:textId="77777777" w:rsidR="00BB4400" w:rsidRDefault="00BB4400" w:rsidP="00702036">
      <w:pPr>
        <w:spacing w:after="0" w:line="240" w:lineRule="auto"/>
      </w:pPr>
      <w:r>
        <w:separator/>
      </w:r>
    </w:p>
  </w:endnote>
  <w:endnote w:type="continuationSeparator" w:id="0">
    <w:p w14:paraId="188B4ACD" w14:textId="77777777" w:rsidR="00BB4400" w:rsidRDefault="00BB4400" w:rsidP="007020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Bold">
    <w:altName w:val="David"/>
    <w:panose1 w:val="00000000000000000000"/>
    <w:charset w:val="B1"/>
    <w:family w:val="auto"/>
    <w:notTrueType/>
    <w:pitch w:val="default"/>
    <w:sig w:usb0="00000801" w:usb1="00000000" w:usb2="00000000" w:usb3="00000000" w:csb0="0000002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D78A82" w14:textId="77777777" w:rsidR="00BB4400" w:rsidRDefault="00BB4400" w:rsidP="00702036">
      <w:pPr>
        <w:spacing w:after="0" w:line="240" w:lineRule="auto"/>
      </w:pPr>
      <w:r>
        <w:separator/>
      </w:r>
    </w:p>
  </w:footnote>
  <w:footnote w:type="continuationSeparator" w:id="0">
    <w:p w14:paraId="2C666C70" w14:textId="77777777" w:rsidR="00BB4400" w:rsidRDefault="00BB4400" w:rsidP="00702036">
      <w:pPr>
        <w:spacing w:after="0" w:line="240" w:lineRule="auto"/>
      </w:pPr>
      <w:r>
        <w:continuationSeparator/>
      </w:r>
    </w:p>
  </w:footnote>
  <w:footnote w:id="1">
    <w:p w14:paraId="5D4FB0C6" w14:textId="77777777" w:rsidR="00FD403C" w:rsidRPr="00702036" w:rsidRDefault="00FD403C" w:rsidP="001516C5">
      <w:pPr>
        <w:spacing w:before="100" w:beforeAutospacing="1" w:line="360" w:lineRule="auto"/>
        <w:ind w:left="186" w:hanging="142"/>
        <w:jc w:val="both"/>
        <w:rPr>
          <w:rFonts w:ascii="David" w:eastAsia="Calibri" w:hAnsi="David" w:cs="David"/>
          <w:sz w:val="20"/>
          <w:szCs w:val="20"/>
          <w14:ligatures w14:val="none"/>
        </w:rPr>
      </w:pPr>
      <w:r>
        <w:rPr>
          <w:rStyle w:val="af0"/>
        </w:rPr>
        <w:footnoteRef/>
      </w:r>
      <w:r>
        <w:rPr>
          <w:rtl/>
        </w:rPr>
        <w:t xml:space="preserve"> </w:t>
      </w:r>
      <w:r w:rsidRPr="00702036">
        <w:rPr>
          <w:rFonts w:ascii="David" w:eastAsia="Calibri" w:hAnsi="David" w:cs="David" w:hint="cs"/>
          <w:sz w:val="20"/>
          <w:szCs w:val="20"/>
          <w:rtl/>
          <w14:ligatures w14:val="none"/>
        </w:rPr>
        <w:t xml:space="preserve">עמ"נ 4095-09-22 </w:t>
      </w:r>
      <w:r w:rsidRPr="00702036">
        <w:rPr>
          <w:rFonts w:ascii="David" w:eastAsia="Calibri" w:hAnsi="David" w:cs="David" w:hint="cs"/>
          <w:b/>
          <w:bCs/>
          <w:sz w:val="20"/>
          <w:szCs w:val="20"/>
          <w:rtl/>
          <w14:ligatures w14:val="none"/>
        </w:rPr>
        <w:t xml:space="preserve">נת"ע-נתיבי תחבורה עירוניים להסעת המונים בע"מ והוועדה המקומית לתכנון ובניה תל אביב נ' תל אביב ביץ' פלאזה </w:t>
      </w:r>
      <w:r w:rsidRPr="00702036">
        <w:rPr>
          <w:rFonts w:ascii="David" w:eastAsia="Calibri" w:hAnsi="David" w:cs="David" w:hint="cs"/>
          <w:sz w:val="20"/>
          <w:szCs w:val="20"/>
          <w:rtl/>
          <w14:ligatures w14:val="none"/>
        </w:rPr>
        <w:t xml:space="preserve">(פורסם בנבו) </w:t>
      </w:r>
    </w:p>
    <w:p w14:paraId="553D7671" w14:textId="77777777" w:rsidR="00FD403C" w:rsidRPr="00702036" w:rsidRDefault="00FD403C">
      <w:pPr>
        <w:pStyle w:val="ae"/>
      </w:pPr>
    </w:p>
  </w:footnote>
  <w:footnote w:id="2">
    <w:p w14:paraId="31F5B713" w14:textId="77777777" w:rsidR="00FD403C" w:rsidRPr="008D2046" w:rsidRDefault="00FD403C" w:rsidP="00A8665B">
      <w:pPr>
        <w:spacing w:line="360" w:lineRule="auto"/>
        <w:ind w:left="360"/>
        <w:jc w:val="both"/>
        <w:rPr>
          <w:rFonts w:ascii="David" w:hAnsi="David" w:cs="David"/>
          <w:sz w:val="16"/>
          <w:szCs w:val="16"/>
          <w:rtl/>
        </w:rPr>
      </w:pPr>
      <w:r>
        <w:rPr>
          <w:rStyle w:val="af0"/>
        </w:rPr>
        <w:footnoteRef/>
      </w:r>
      <w:r>
        <w:rPr>
          <w:rtl/>
        </w:rPr>
        <w:t xml:space="preserve"> </w:t>
      </w:r>
      <w:r w:rsidRPr="008D2046">
        <w:rPr>
          <w:rFonts w:ascii="David" w:hAnsi="David" w:cs="David"/>
          <w:sz w:val="14"/>
          <w:szCs w:val="14"/>
          <w:rtl/>
        </w:rPr>
        <w:t xml:space="preserve">בהערת שוליים נציין כי ניתן להעלות על הדעת </w:t>
      </w:r>
      <w:r w:rsidRPr="008D2046">
        <w:rPr>
          <w:rFonts w:ascii="David" w:hAnsi="David" w:cs="David" w:hint="eastAsia"/>
          <w:sz w:val="14"/>
          <w:szCs w:val="14"/>
          <w:rtl/>
        </w:rPr>
        <w:t>דרך</w:t>
      </w:r>
      <w:r w:rsidRPr="008D2046">
        <w:rPr>
          <w:rFonts w:ascii="David" w:hAnsi="David" w:cs="David"/>
          <w:sz w:val="14"/>
          <w:szCs w:val="14"/>
          <w:rtl/>
        </w:rPr>
        <w:t xml:space="preserve"> חישוב המנטרל</w:t>
      </w:r>
      <w:r w:rsidRPr="008D2046">
        <w:rPr>
          <w:rFonts w:ascii="David" w:hAnsi="David" w:cs="David" w:hint="eastAsia"/>
          <w:sz w:val="14"/>
          <w:szCs w:val="14"/>
          <w:rtl/>
        </w:rPr>
        <w:t>ת</w:t>
      </w:r>
      <w:r w:rsidRPr="008D2046">
        <w:rPr>
          <w:rFonts w:ascii="David" w:hAnsi="David" w:cs="David"/>
          <w:sz w:val="14"/>
          <w:szCs w:val="14"/>
          <w:rtl/>
        </w:rPr>
        <w:t xml:space="preserve"> שווי מטלה ציבורית מהיטל ההשבחה עצמו שעה שעסקינן בתכנית בגינה קיים כבר פטור (למשל השבחה במקרקעין למגורים הנכללים באזור שיקום כמשמעותו בחוק בינוי ופינוי של אזורי שיקום) או אז ניתן </w:t>
      </w:r>
      <w:r w:rsidRPr="008D2046">
        <w:rPr>
          <w:rFonts w:ascii="David" w:hAnsi="David" w:cs="David" w:hint="eastAsia"/>
          <w:sz w:val="14"/>
          <w:szCs w:val="14"/>
          <w:rtl/>
        </w:rPr>
        <w:t>יהיה</w:t>
      </w:r>
      <w:r w:rsidRPr="008D2046">
        <w:rPr>
          <w:rFonts w:ascii="David" w:hAnsi="David" w:cs="David"/>
          <w:sz w:val="14"/>
          <w:szCs w:val="14"/>
          <w:rtl/>
        </w:rPr>
        <w:t xml:space="preserve"> </w:t>
      </w:r>
      <w:r w:rsidRPr="008D2046">
        <w:rPr>
          <w:rFonts w:ascii="David" w:hAnsi="David" w:cs="David" w:hint="eastAsia"/>
          <w:sz w:val="14"/>
          <w:szCs w:val="14"/>
          <w:rtl/>
        </w:rPr>
        <w:t>לבחון</w:t>
      </w:r>
      <w:r w:rsidRPr="008D2046">
        <w:rPr>
          <w:rFonts w:ascii="David" w:hAnsi="David" w:cs="David"/>
          <w:sz w:val="14"/>
          <w:szCs w:val="14"/>
          <w:rtl/>
        </w:rPr>
        <w:t xml:space="preserve"> </w:t>
      </w:r>
      <w:r w:rsidRPr="008D2046">
        <w:rPr>
          <w:rFonts w:ascii="David" w:hAnsi="David" w:cs="David" w:hint="eastAsia"/>
          <w:sz w:val="14"/>
          <w:szCs w:val="14"/>
          <w:rtl/>
        </w:rPr>
        <w:t>את</w:t>
      </w:r>
      <w:r w:rsidRPr="008D2046">
        <w:rPr>
          <w:rFonts w:ascii="David" w:hAnsi="David" w:cs="David"/>
          <w:sz w:val="14"/>
          <w:szCs w:val="14"/>
          <w:rtl/>
        </w:rPr>
        <w:t xml:space="preserve"> </w:t>
      </w:r>
      <w:r w:rsidRPr="008D2046">
        <w:rPr>
          <w:rFonts w:ascii="David" w:hAnsi="David" w:cs="David" w:hint="eastAsia"/>
          <w:sz w:val="14"/>
          <w:szCs w:val="14"/>
          <w:rtl/>
        </w:rPr>
        <w:t>הטענה</w:t>
      </w:r>
      <w:r w:rsidRPr="008D2046">
        <w:rPr>
          <w:rFonts w:ascii="David" w:hAnsi="David" w:cs="David"/>
          <w:sz w:val="14"/>
          <w:szCs w:val="14"/>
          <w:rtl/>
        </w:rPr>
        <w:t xml:space="preserve"> </w:t>
      </w:r>
      <w:r w:rsidRPr="008D2046">
        <w:rPr>
          <w:rFonts w:ascii="David" w:hAnsi="David" w:cs="David" w:hint="eastAsia"/>
          <w:sz w:val="14"/>
          <w:szCs w:val="14"/>
          <w:rtl/>
        </w:rPr>
        <w:t>לפיה</w:t>
      </w:r>
      <w:r w:rsidRPr="008D2046">
        <w:rPr>
          <w:rFonts w:ascii="David" w:hAnsi="David" w:cs="David"/>
          <w:sz w:val="14"/>
          <w:szCs w:val="14"/>
          <w:rtl/>
        </w:rPr>
        <w:t xml:space="preserve"> החלק היחסי מהמטלה הציבורית המיוחס לחלק הפטור ממילא, ינוטרל באופן מלא מהיטל ההשבחה וזאת רק נוכח הפטור שחל בגין חלק יחסי זה. מכל מקום איננו דנים בסוגיה זו ועוד חזון למועד.</w:t>
      </w:r>
    </w:p>
    <w:p w14:paraId="3A7D2E91" w14:textId="77777777" w:rsidR="00FD403C" w:rsidRDefault="00FD403C" w:rsidP="00A8665B">
      <w:pPr>
        <w:pStyle w:val="ae"/>
        <w:rPr>
          <w:rtl/>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07AE1"/>
    <w:multiLevelType w:val="hybridMultilevel"/>
    <w:tmpl w:val="133EA230"/>
    <w:lvl w:ilvl="0" w:tplc="DD2A1B1E">
      <w:start w:val="113"/>
      <w:numFmt w:val="decimal"/>
      <w:lvlText w:val="%1."/>
      <w:lvlJc w:val="left"/>
      <w:pPr>
        <w:ind w:left="801" w:hanging="375"/>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12910555"/>
    <w:multiLevelType w:val="hybridMultilevel"/>
    <w:tmpl w:val="512EB838"/>
    <w:lvl w:ilvl="0" w:tplc="CAAA703C">
      <w:numFmt w:val="bullet"/>
      <w:lvlText w:val=""/>
      <w:lvlJc w:val="left"/>
      <w:pPr>
        <w:ind w:left="546" w:hanging="360"/>
      </w:pPr>
      <w:rPr>
        <w:rFonts w:ascii="SymbolMT" w:eastAsia="SymbolMT" w:hAnsi="David" w:cs="SymbolMT" w:hint="eastAsia"/>
        <w:sz w:val="22"/>
      </w:rPr>
    </w:lvl>
    <w:lvl w:ilvl="1" w:tplc="04090003" w:tentative="1">
      <w:start w:val="1"/>
      <w:numFmt w:val="bullet"/>
      <w:lvlText w:val="o"/>
      <w:lvlJc w:val="left"/>
      <w:pPr>
        <w:ind w:left="1266" w:hanging="360"/>
      </w:pPr>
      <w:rPr>
        <w:rFonts w:ascii="Courier New" w:hAnsi="Courier New" w:cs="Courier New" w:hint="default"/>
      </w:rPr>
    </w:lvl>
    <w:lvl w:ilvl="2" w:tplc="04090005" w:tentative="1">
      <w:start w:val="1"/>
      <w:numFmt w:val="bullet"/>
      <w:lvlText w:val=""/>
      <w:lvlJc w:val="left"/>
      <w:pPr>
        <w:ind w:left="1986" w:hanging="360"/>
      </w:pPr>
      <w:rPr>
        <w:rFonts w:ascii="Wingdings" w:hAnsi="Wingdings" w:hint="default"/>
      </w:rPr>
    </w:lvl>
    <w:lvl w:ilvl="3" w:tplc="04090001" w:tentative="1">
      <w:start w:val="1"/>
      <w:numFmt w:val="bullet"/>
      <w:lvlText w:val=""/>
      <w:lvlJc w:val="left"/>
      <w:pPr>
        <w:ind w:left="2706" w:hanging="360"/>
      </w:pPr>
      <w:rPr>
        <w:rFonts w:ascii="Symbol" w:hAnsi="Symbol" w:hint="default"/>
      </w:rPr>
    </w:lvl>
    <w:lvl w:ilvl="4" w:tplc="04090003" w:tentative="1">
      <w:start w:val="1"/>
      <w:numFmt w:val="bullet"/>
      <w:lvlText w:val="o"/>
      <w:lvlJc w:val="left"/>
      <w:pPr>
        <w:ind w:left="3426" w:hanging="360"/>
      </w:pPr>
      <w:rPr>
        <w:rFonts w:ascii="Courier New" w:hAnsi="Courier New" w:cs="Courier New" w:hint="default"/>
      </w:rPr>
    </w:lvl>
    <w:lvl w:ilvl="5" w:tplc="04090005" w:tentative="1">
      <w:start w:val="1"/>
      <w:numFmt w:val="bullet"/>
      <w:lvlText w:val=""/>
      <w:lvlJc w:val="left"/>
      <w:pPr>
        <w:ind w:left="4146" w:hanging="360"/>
      </w:pPr>
      <w:rPr>
        <w:rFonts w:ascii="Wingdings" w:hAnsi="Wingdings" w:hint="default"/>
      </w:rPr>
    </w:lvl>
    <w:lvl w:ilvl="6" w:tplc="04090001" w:tentative="1">
      <w:start w:val="1"/>
      <w:numFmt w:val="bullet"/>
      <w:lvlText w:val=""/>
      <w:lvlJc w:val="left"/>
      <w:pPr>
        <w:ind w:left="4866" w:hanging="360"/>
      </w:pPr>
      <w:rPr>
        <w:rFonts w:ascii="Symbol" w:hAnsi="Symbol" w:hint="default"/>
      </w:rPr>
    </w:lvl>
    <w:lvl w:ilvl="7" w:tplc="04090003" w:tentative="1">
      <w:start w:val="1"/>
      <w:numFmt w:val="bullet"/>
      <w:lvlText w:val="o"/>
      <w:lvlJc w:val="left"/>
      <w:pPr>
        <w:ind w:left="5586" w:hanging="360"/>
      </w:pPr>
      <w:rPr>
        <w:rFonts w:ascii="Courier New" w:hAnsi="Courier New" w:cs="Courier New" w:hint="default"/>
      </w:rPr>
    </w:lvl>
    <w:lvl w:ilvl="8" w:tplc="04090005" w:tentative="1">
      <w:start w:val="1"/>
      <w:numFmt w:val="bullet"/>
      <w:lvlText w:val=""/>
      <w:lvlJc w:val="left"/>
      <w:pPr>
        <w:ind w:left="6306" w:hanging="360"/>
      </w:pPr>
      <w:rPr>
        <w:rFonts w:ascii="Wingdings" w:hAnsi="Wingdings" w:hint="default"/>
      </w:rPr>
    </w:lvl>
  </w:abstractNum>
  <w:abstractNum w:abstractNumId="2" w15:restartNumberingAfterBreak="0">
    <w:nsid w:val="19BC083D"/>
    <w:multiLevelType w:val="hybridMultilevel"/>
    <w:tmpl w:val="BF384DD2"/>
    <w:lvl w:ilvl="0" w:tplc="04090001">
      <w:start w:val="1"/>
      <w:numFmt w:val="bullet"/>
      <w:lvlText w:val=""/>
      <w:lvlJc w:val="left"/>
      <w:pPr>
        <w:ind w:left="906" w:hanging="360"/>
      </w:pPr>
      <w:rPr>
        <w:rFonts w:ascii="Symbol" w:hAnsi="Symbol" w:hint="default"/>
      </w:rPr>
    </w:lvl>
    <w:lvl w:ilvl="1" w:tplc="04090003" w:tentative="1">
      <w:start w:val="1"/>
      <w:numFmt w:val="bullet"/>
      <w:lvlText w:val="o"/>
      <w:lvlJc w:val="left"/>
      <w:pPr>
        <w:ind w:left="1626" w:hanging="360"/>
      </w:pPr>
      <w:rPr>
        <w:rFonts w:ascii="Courier New" w:hAnsi="Courier New" w:cs="Courier New" w:hint="default"/>
      </w:rPr>
    </w:lvl>
    <w:lvl w:ilvl="2" w:tplc="04090005" w:tentative="1">
      <w:start w:val="1"/>
      <w:numFmt w:val="bullet"/>
      <w:lvlText w:val=""/>
      <w:lvlJc w:val="left"/>
      <w:pPr>
        <w:ind w:left="2346" w:hanging="360"/>
      </w:pPr>
      <w:rPr>
        <w:rFonts w:ascii="Wingdings" w:hAnsi="Wingdings" w:hint="default"/>
      </w:rPr>
    </w:lvl>
    <w:lvl w:ilvl="3" w:tplc="04090001" w:tentative="1">
      <w:start w:val="1"/>
      <w:numFmt w:val="bullet"/>
      <w:lvlText w:val=""/>
      <w:lvlJc w:val="left"/>
      <w:pPr>
        <w:ind w:left="3066" w:hanging="360"/>
      </w:pPr>
      <w:rPr>
        <w:rFonts w:ascii="Symbol" w:hAnsi="Symbol" w:hint="default"/>
      </w:rPr>
    </w:lvl>
    <w:lvl w:ilvl="4" w:tplc="04090003" w:tentative="1">
      <w:start w:val="1"/>
      <w:numFmt w:val="bullet"/>
      <w:lvlText w:val="o"/>
      <w:lvlJc w:val="left"/>
      <w:pPr>
        <w:ind w:left="3786" w:hanging="360"/>
      </w:pPr>
      <w:rPr>
        <w:rFonts w:ascii="Courier New" w:hAnsi="Courier New" w:cs="Courier New" w:hint="default"/>
      </w:rPr>
    </w:lvl>
    <w:lvl w:ilvl="5" w:tplc="04090005" w:tentative="1">
      <w:start w:val="1"/>
      <w:numFmt w:val="bullet"/>
      <w:lvlText w:val=""/>
      <w:lvlJc w:val="left"/>
      <w:pPr>
        <w:ind w:left="4506" w:hanging="360"/>
      </w:pPr>
      <w:rPr>
        <w:rFonts w:ascii="Wingdings" w:hAnsi="Wingdings" w:hint="default"/>
      </w:rPr>
    </w:lvl>
    <w:lvl w:ilvl="6" w:tplc="04090001" w:tentative="1">
      <w:start w:val="1"/>
      <w:numFmt w:val="bullet"/>
      <w:lvlText w:val=""/>
      <w:lvlJc w:val="left"/>
      <w:pPr>
        <w:ind w:left="5226" w:hanging="360"/>
      </w:pPr>
      <w:rPr>
        <w:rFonts w:ascii="Symbol" w:hAnsi="Symbol" w:hint="default"/>
      </w:rPr>
    </w:lvl>
    <w:lvl w:ilvl="7" w:tplc="04090003" w:tentative="1">
      <w:start w:val="1"/>
      <w:numFmt w:val="bullet"/>
      <w:lvlText w:val="o"/>
      <w:lvlJc w:val="left"/>
      <w:pPr>
        <w:ind w:left="5946" w:hanging="360"/>
      </w:pPr>
      <w:rPr>
        <w:rFonts w:ascii="Courier New" w:hAnsi="Courier New" w:cs="Courier New" w:hint="default"/>
      </w:rPr>
    </w:lvl>
    <w:lvl w:ilvl="8" w:tplc="04090005" w:tentative="1">
      <w:start w:val="1"/>
      <w:numFmt w:val="bullet"/>
      <w:lvlText w:val=""/>
      <w:lvlJc w:val="left"/>
      <w:pPr>
        <w:ind w:left="6666" w:hanging="360"/>
      </w:pPr>
      <w:rPr>
        <w:rFonts w:ascii="Wingdings" w:hAnsi="Wingdings" w:hint="default"/>
      </w:rPr>
    </w:lvl>
  </w:abstractNum>
  <w:abstractNum w:abstractNumId="3" w15:restartNumberingAfterBreak="0">
    <w:nsid w:val="275D57F0"/>
    <w:multiLevelType w:val="multilevel"/>
    <w:tmpl w:val="37DA1730"/>
    <w:lvl w:ilvl="0">
      <w:start w:val="1"/>
      <w:numFmt w:val="decimal"/>
      <w:lvlText w:val="%1."/>
      <w:lvlJc w:val="left"/>
      <w:pPr>
        <w:ind w:left="786" w:hanging="360"/>
      </w:pPr>
      <w:rPr>
        <w:rFonts w:ascii="David" w:hAnsi="David" w:cs="David" w:hint="default"/>
        <w:b w:val="0"/>
        <w:bCs w:val="0"/>
        <w:color w:val="auto"/>
        <w:sz w:val="24"/>
        <w:szCs w:val="24"/>
      </w:rPr>
    </w:lvl>
    <w:lvl w:ilvl="1">
      <w:start w:val="1"/>
      <w:numFmt w:val="lowerLetter"/>
      <w:lvlText w:val="%2."/>
      <w:lvlJc w:val="left"/>
      <w:pPr>
        <w:ind w:left="1506" w:hanging="360"/>
      </w:pPr>
      <w:rPr>
        <w:rFonts w:ascii="Times New Roman" w:hAnsi="Times New Roman" w:cs="Times New Roman" w:hint="default"/>
      </w:rPr>
    </w:lvl>
    <w:lvl w:ilvl="2">
      <w:start w:val="1"/>
      <w:numFmt w:val="lowerRoman"/>
      <w:lvlText w:val="%3."/>
      <w:lvlJc w:val="right"/>
      <w:pPr>
        <w:ind w:left="2226" w:hanging="180"/>
      </w:pPr>
      <w:rPr>
        <w:rFonts w:ascii="Times New Roman" w:hAnsi="Times New Roman" w:cs="Times New Roman" w:hint="default"/>
      </w:rPr>
    </w:lvl>
    <w:lvl w:ilvl="3">
      <w:start w:val="1"/>
      <w:numFmt w:val="decimal"/>
      <w:lvlText w:val="%4."/>
      <w:lvlJc w:val="left"/>
      <w:pPr>
        <w:ind w:left="2946" w:hanging="360"/>
      </w:pPr>
      <w:rPr>
        <w:rFonts w:ascii="David" w:eastAsiaTheme="minorHAnsi" w:hAnsi="David" w:cs="David"/>
      </w:rPr>
    </w:lvl>
    <w:lvl w:ilvl="4">
      <w:start w:val="1"/>
      <w:numFmt w:val="lowerLetter"/>
      <w:lvlText w:val="%5."/>
      <w:lvlJc w:val="left"/>
      <w:pPr>
        <w:ind w:left="3666" w:hanging="360"/>
      </w:pPr>
      <w:rPr>
        <w:rFonts w:ascii="Times New Roman" w:hAnsi="Times New Roman" w:cs="Times New Roman" w:hint="default"/>
      </w:rPr>
    </w:lvl>
    <w:lvl w:ilvl="5">
      <w:start w:val="1"/>
      <w:numFmt w:val="lowerRoman"/>
      <w:lvlText w:val="%6."/>
      <w:lvlJc w:val="right"/>
      <w:pPr>
        <w:ind w:left="4386" w:hanging="180"/>
      </w:pPr>
      <w:rPr>
        <w:rFonts w:ascii="Times New Roman" w:hAnsi="Times New Roman" w:cs="Times New Roman" w:hint="default"/>
      </w:rPr>
    </w:lvl>
    <w:lvl w:ilvl="6">
      <w:start w:val="1"/>
      <w:numFmt w:val="decimal"/>
      <w:lvlText w:val="%7."/>
      <w:lvlJc w:val="left"/>
      <w:pPr>
        <w:ind w:left="5106" w:hanging="360"/>
      </w:pPr>
      <w:rPr>
        <w:rFonts w:ascii="Times New Roman" w:hAnsi="Times New Roman" w:cs="Times New Roman" w:hint="default"/>
      </w:rPr>
    </w:lvl>
    <w:lvl w:ilvl="7">
      <w:start w:val="1"/>
      <w:numFmt w:val="lowerLetter"/>
      <w:lvlText w:val="%8."/>
      <w:lvlJc w:val="left"/>
      <w:pPr>
        <w:ind w:left="5826" w:hanging="360"/>
      </w:pPr>
      <w:rPr>
        <w:rFonts w:ascii="Times New Roman" w:hAnsi="Times New Roman" w:cs="Times New Roman" w:hint="default"/>
      </w:rPr>
    </w:lvl>
    <w:lvl w:ilvl="8">
      <w:start w:val="1"/>
      <w:numFmt w:val="lowerRoman"/>
      <w:lvlText w:val="%9."/>
      <w:lvlJc w:val="right"/>
      <w:pPr>
        <w:ind w:left="6546" w:hanging="180"/>
      </w:pPr>
      <w:rPr>
        <w:rFonts w:ascii="Times New Roman" w:hAnsi="Times New Roman" w:cs="Times New Roman" w:hint="default"/>
      </w:rPr>
    </w:lvl>
  </w:abstractNum>
  <w:abstractNum w:abstractNumId="4" w15:restartNumberingAfterBreak="0">
    <w:nsid w:val="300D2852"/>
    <w:multiLevelType w:val="hybridMultilevel"/>
    <w:tmpl w:val="0CB61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F228F2"/>
    <w:multiLevelType w:val="hybridMultilevel"/>
    <w:tmpl w:val="608EADE4"/>
    <w:lvl w:ilvl="0" w:tplc="DB46BB64">
      <w:start w:val="1"/>
      <w:numFmt w:val="hebrew1"/>
      <w:lvlText w:val="(%1)"/>
      <w:lvlJc w:val="left"/>
      <w:pPr>
        <w:ind w:left="19" w:hanging="360"/>
      </w:pPr>
      <w:rPr>
        <w:rFonts w:hint="default"/>
        <w:b w:val="0"/>
        <w:color w:val="auto"/>
        <w:u w:val="none"/>
      </w:rPr>
    </w:lvl>
    <w:lvl w:ilvl="1" w:tplc="04090019" w:tentative="1">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6" w15:restartNumberingAfterBreak="0">
    <w:nsid w:val="442F043F"/>
    <w:multiLevelType w:val="hybridMultilevel"/>
    <w:tmpl w:val="079E8A3E"/>
    <w:lvl w:ilvl="0" w:tplc="DB46BB64">
      <w:start w:val="1"/>
      <w:numFmt w:val="hebrew1"/>
      <w:lvlText w:val="(%1)"/>
      <w:lvlJc w:val="left"/>
      <w:pPr>
        <w:ind w:left="19" w:hanging="360"/>
      </w:pPr>
      <w:rPr>
        <w:rFonts w:hint="default"/>
        <w:b w:val="0"/>
        <w:color w:val="auto"/>
        <w:u w:val="none"/>
      </w:rPr>
    </w:lvl>
    <w:lvl w:ilvl="1" w:tplc="04090019" w:tentative="1">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7" w15:restartNumberingAfterBreak="0">
    <w:nsid w:val="5D472730"/>
    <w:multiLevelType w:val="hybridMultilevel"/>
    <w:tmpl w:val="666461D2"/>
    <w:lvl w:ilvl="0" w:tplc="6DD62818">
      <w:start w:val="159"/>
      <w:numFmt w:val="decimal"/>
      <w:lvlText w:val="%1."/>
      <w:lvlJc w:val="left"/>
      <w:pPr>
        <w:ind w:left="465" w:hanging="375"/>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69541ADB"/>
    <w:multiLevelType w:val="multilevel"/>
    <w:tmpl w:val="37DA1730"/>
    <w:lvl w:ilvl="0">
      <w:start w:val="1"/>
      <w:numFmt w:val="decimal"/>
      <w:lvlText w:val="%1."/>
      <w:lvlJc w:val="left"/>
      <w:pPr>
        <w:ind w:left="786" w:hanging="360"/>
      </w:pPr>
      <w:rPr>
        <w:rFonts w:ascii="David" w:hAnsi="David" w:cs="David" w:hint="default"/>
        <w:b w:val="0"/>
        <w:bCs w:val="0"/>
        <w:color w:val="auto"/>
        <w:sz w:val="24"/>
        <w:szCs w:val="24"/>
      </w:rPr>
    </w:lvl>
    <w:lvl w:ilvl="1">
      <w:start w:val="1"/>
      <w:numFmt w:val="lowerLetter"/>
      <w:lvlText w:val="%2."/>
      <w:lvlJc w:val="left"/>
      <w:pPr>
        <w:ind w:left="1506" w:hanging="360"/>
      </w:pPr>
      <w:rPr>
        <w:rFonts w:ascii="Times New Roman" w:hAnsi="Times New Roman" w:cs="Times New Roman" w:hint="default"/>
      </w:rPr>
    </w:lvl>
    <w:lvl w:ilvl="2">
      <w:start w:val="1"/>
      <w:numFmt w:val="lowerRoman"/>
      <w:lvlText w:val="%3."/>
      <w:lvlJc w:val="right"/>
      <w:pPr>
        <w:ind w:left="2226" w:hanging="180"/>
      </w:pPr>
      <w:rPr>
        <w:rFonts w:ascii="Times New Roman" w:hAnsi="Times New Roman" w:cs="Times New Roman" w:hint="default"/>
      </w:rPr>
    </w:lvl>
    <w:lvl w:ilvl="3">
      <w:start w:val="1"/>
      <w:numFmt w:val="decimal"/>
      <w:lvlText w:val="%4."/>
      <w:lvlJc w:val="left"/>
      <w:pPr>
        <w:ind w:left="2946" w:hanging="360"/>
      </w:pPr>
      <w:rPr>
        <w:rFonts w:ascii="David" w:eastAsiaTheme="minorHAnsi" w:hAnsi="David" w:cs="David"/>
      </w:rPr>
    </w:lvl>
    <w:lvl w:ilvl="4">
      <w:start w:val="1"/>
      <w:numFmt w:val="lowerLetter"/>
      <w:lvlText w:val="%5."/>
      <w:lvlJc w:val="left"/>
      <w:pPr>
        <w:ind w:left="3666" w:hanging="360"/>
      </w:pPr>
      <w:rPr>
        <w:rFonts w:ascii="Times New Roman" w:hAnsi="Times New Roman" w:cs="Times New Roman" w:hint="default"/>
      </w:rPr>
    </w:lvl>
    <w:lvl w:ilvl="5">
      <w:start w:val="1"/>
      <w:numFmt w:val="lowerRoman"/>
      <w:lvlText w:val="%6."/>
      <w:lvlJc w:val="right"/>
      <w:pPr>
        <w:ind w:left="4386" w:hanging="180"/>
      </w:pPr>
      <w:rPr>
        <w:rFonts w:ascii="Times New Roman" w:hAnsi="Times New Roman" w:cs="Times New Roman" w:hint="default"/>
      </w:rPr>
    </w:lvl>
    <w:lvl w:ilvl="6">
      <w:start w:val="1"/>
      <w:numFmt w:val="decimal"/>
      <w:lvlText w:val="%7."/>
      <w:lvlJc w:val="left"/>
      <w:pPr>
        <w:ind w:left="5106" w:hanging="360"/>
      </w:pPr>
      <w:rPr>
        <w:rFonts w:ascii="Times New Roman" w:hAnsi="Times New Roman" w:cs="Times New Roman" w:hint="default"/>
      </w:rPr>
    </w:lvl>
    <w:lvl w:ilvl="7">
      <w:start w:val="1"/>
      <w:numFmt w:val="lowerLetter"/>
      <w:lvlText w:val="%8."/>
      <w:lvlJc w:val="left"/>
      <w:pPr>
        <w:ind w:left="5826" w:hanging="360"/>
      </w:pPr>
      <w:rPr>
        <w:rFonts w:ascii="Times New Roman" w:hAnsi="Times New Roman" w:cs="Times New Roman" w:hint="default"/>
      </w:rPr>
    </w:lvl>
    <w:lvl w:ilvl="8">
      <w:start w:val="1"/>
      <w:numFmt w:val="lowerRoman"/>
      <w:lvlText w:val="%9."/>
      <w:lvlJc w:val="right"/>
      <w:pPr>
        <w:ind w:left="6546" w:hanging="180"/>
      </w:pPr>
      <w:rPr>
        <w:rFonts w:ascii="Times New Roman" w:hAnsi="Times New Roman" w:cs="Times New Roman" w:hint="default"/>
      </w:rPr>
    </w:lvl>
  </w:abstractNum>
  <w:abstractNum w:abstractNumId="9" w15:restartNumberingAfterBreak="0">
    <w:nsid w:val="6F393AFC"/>
    <w:multiLevelType w:val="hybridMultilevel"/>
    <w:tmpl w:val="5768AC52"/>
    <w:lvl w:ilvl="0" w:tplc="43ACA818">
      <w:start w:val="1"/>
      <w:numFmt w:val="decimal"/>
      <w:lvlText w:val="%1."/>
      <w:lvlJc w:val="left"/>
      <w:pPr>
        <w:ind w:left="720" w:hanging="360"/>
      </w:pPr>
      <w:rPr>
        <w:rFonts w:ascii="David" w:hAnsi="David" w:cs="David"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6C0B04"/>
    <w:multiLevelType w:val="hybridMultilevel"/>
    <w:tmpl w:val="6C1E544A"/>
    <w:lvl w:ilvl="0" w:tplc="FFAAADF0">
      <w:start w:val="1"/>
      <w:numFmt w:val="hebrew1"/>
      <w:lvlText w:val="%1."/>
      <w:lvlJc w:val="left"/>
      <w:pPr>
        <w:ind w:left="404" w:hanging="360"/>
      </w:pPr>
      <w:rPr>
        <w:rFonts w:hint="default"/>
      </w:rPr>
    </w:lvl>
    <w:lvl w:ilvl="1" w:tplc="04090019" w:tentative="1">
      <w:start w:val="1"/>
      <w:numFmt w:val="lowerLetter"/>
      <w:lvlText w:val="%2."/>
      <w:lvlJc w:val="left"/>
      <w:pPr>
        <w:ind w:left="1124" w:hanging="360"/>
      </w:pPr>
    </w:lvl>
    <w:lvl w:ilvl="2" w:tplc="0409001B" w:tentative="1">
      <w:start w:val="1"/>
      <w:numFmt w:val="lowerRoman"/>
      <w:lvlText w:val="%3."/>
      <w:lvlJc w:val="right"/>
      <w:pPr>
        <w:ind w:left="1844" w:hanging="180"/>
      </w:pPr>
    </w:lvl>
    <w:lvl w:ilvl="3" w:tplc="0409000F" w:tentative="1">
      <w:start w:val="1"/>
      <w:numFmt w:val="decimal"/>
      <w:lvlText w:val="%4."/>
      <w:lvlJc w:val="left"/>
      <w:pPr>
        <w:ind w:left="2564" w:hanging="360"/>
      </w:pPr>
    </w:lvl>
    <w:lvl w:ilvl="4" w:tplc="04090019" w:tentative="1">
      <w:start w:val="1"/>
      <w:numFmt w:val="lowerLetter"/>
      <w:lvlText w:val="%5."/>
      <w:lvlJc w:val="left"/>
      <w:pPr>
        <w:ind w:left="3284" w:hanging="360"/>
      </w:pPr>
    </w:lvl>
    <w:lvl w:ilvl="5" w:tplc="0409001B" w:tentative="1">
      <w:start w:val="1"/>
      <w:numFmt w:val="lowerRoman"/>
      <w:lvlText w:val="%6."/>
      <w:lvlJc w:val="right"/>
      <w:pPr>
        <w:ind w:left="4004" w:hanging="180"/>
      </w:pPr>
    </w:lvl>
    <w:lvl w:ilvl="6" w:tplc="0409000F" w:tentative="1">
      <w:start w:val="1"/>
      <w:numFmt w:val="decimal"/>
      <w:lvlText w:val="%7."/>
      <w:lvlJc w:val="left"/>
      <w:pPr>
        <w:ind w:left="4724" w:hanging="360"/>
      </w:pPr>
    </w:lvl>
    <w:lvl w:ilvl="7" w:tplc="04090019" w:tentative="1">
      <w:start w:val="1"/>
      <w:numFmt w:val="lowerLetter"/>
      <w:lvlText w:val="%8."/>
      <w:lvlJc w:val="left"/>
      <w:pPr>
        <w:ind w:left="5444" w:hanging="360"/>
      </w:pPr>
    </w:lvl>
    <w:lvl w:ilvl="8" w:tplc="0409001B" w:tentative="1">
      <w:start w:val="1"/>
      <w:numFmt w:val="lowerRoman"/>
      <w:lvlText w:val="%9."/>
      <w:lvlJc w:val="right"/>
      <w:pPr>
        <w:ind w:left="6164" w:hanging="180"/>
      </w:pPr>
    </w:lvl>
  </w:abstractNum>
  <w:num w:numId="1">
    <w:abstractNumId w:val="8"/>
  </w:num>
  <w:num w:numId="2">
    <w:abstractNumId w:val="9"/>
  </w:num>
  <w:num w:numId="3">
    <w:abstractNumId w:val="6"/>
  </w:num>
  <w:num w:numId="4">
    <w:abstractNumId w:val="2"/>
  </w:num>
  <w:num w:numId="5">
    <w:abstractNumId w:val="1"/>
  </w:num>
  <w:num w:numId="6">
    <w:abstractNumId w:val="5"/>
  </w:num>
  <w:num w:numId="7">
    <w:abstractNumId w:val="3"/>
  </w:num>
  <w:num w:numId="8">
    <w:abstractNumId w:val="0"/>
  </w:num>
  <w:num w:numId="9">
    <w:abstractNumId w:val="4"/>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D28"/>
    <w:rsid w:val="00000C95"/>
    <w:rsid w:val="00000E66"/>
    <w:rsid w:val="00003F95"/>
    <w:rsid w:val="00006427"/>
    <w:rsid w:val="00006487"/>
    <w:rsid w:val="00013B55"/>
    <w:rsid w:val="00016A0C"/>
    <w:rsid w:val="0002235C"/>
    <w:rsid w:val="00025205"/>
    <w:rsid w:val="0002684A"/>
    <w:rsid w:val="000327A8"/>
    <w:rsid w:val="00035578"/>
    <w:rsid w:val="000371A4"/>
    <w:rsid w:val="0004046A"/>
    <w:rsid w:val="00040CA3"/>
    <w:rsid w:val="00046BBC"/>
    <w:rsid w:val="00046C93"/>
    <w:rsid w:val="000475B5"/>
    <w:rsid w:val="00050BD9"/>
    <w:rsid w:val="00055487"/>
    <w:rsid w:val="00060129"/>
    <w:rsid w:val="0006183D"/>
    <w:rsid w:val="00061E8E"/>
    <w:rsid w:val="00064162"/>
    <w:rsid w:val="00070008"/>
    <w:rsid w:val="000702F5"/>
    <w:rsid w:val="00070986"/>
    <w:rsid w:val="000727A2"/>
    <w:rsid w:val="000730DF"/>
    <w:rsid w:val="00074E2D"/>
    <w:rsid w:val="00075DEA"/>
    <w:rsid w:val="00077C42"/>
    <w:rsid w:val="00077DC8"/>
    <w:rsid w:val="000820BF"/>
    <w:rsid w:val="000863CD"/>
    <w:rsid w:val="000940DC"/>
    <w:rsid w:val="000946D0"/>
    <w:rsid w:val="000949DD"/>
    <w:rsid w:val="000958E1"/>
    <w:rsid w:val="000A0063"/>
    <w:rsid w:val="000A027A"/>
    <w:rsid w:val="000A0F1B"/>
    <w:rsid w:val="000A23CF"/>
    <w:rsid w:val="000B12D2"/>
    <w:rsid w:val="000C29F2"/>
    <w:rsid w:val="000C79B0"/>
    <w:rsid w:val="000D2C67"/>
    <w:rsid w:val="000D3C9F"/>
    <w:rsid w:val="000D6441"/>
    <w:rsid w:val="000E0B9A"/>
    <w:rsid w:val="000E3F69"/>
    <w:rsid w:val="000E4D88"/>
    <w:rsid w:val="000E4FB5"/>
    <w:rsid w:val="000F6F5C"/>
    <w:rsid w:val="000F76E5"/>
    <w:rsid w:val="0010543E"/>
    <w:rsid w:val="001067A3"/>
    <w:rsid w:val="00110523"/>
    <w:rsid w:val="0011127D"/>
    <w:rsid w:val="00112E07"/>
    <w:rsid w:val="00113E8B"/>
    <w:rsid w:val="001157C1"/>
    <w:rsid w:val="0012114E"/>
    <w:rsid w:val="0012316A"/>
    <w:rsid w:val="00123DCB"/>
    <w:rsid w:val="00127B02"/>
    <w:rsid w:val="001302AA"/>
    <w:rsid w:val="00130F73"/>
    <w:rsid w:val="001404B2"/>
    <w:rsid w:val="00143EE8"/>
    <w:rsid w:val="00146B01"/>
    <w:rsid w:val="00146E80"/>
    <w:rsid w:val="001478DC"/>
    <w:rsid w:val="001505A0"/>
    <w:rsid w:val="001516C5"/>
    <w:rsid w:val="0015183E"/>
    <w:rsid w:val="00153751"/>
    <w:rsid w:val="00153F5E"/>
    <w:rsid w:val="00153FD6"/>
    <w:rsid w:val="00157D14"/>
    <w:rsid w:val="001608B2"/>
    <w:rsid w:val="00162BEB"/>
    <w:rsid w:val="00165B3F"/>
    <w:rsid w:val="00172074"/>
    <w:rsid w:val="00172546"/>
    <w:rsid w:val="00172A71"/>
    <w:rsid w:val="001837B9"/>
    <w:rsid w:val="00184638"/>
    <w:rsid w:val="001918C5"/>
    <w:rsid w:val="00192934"/>
    <w:rsid w:val="00194BE4"/>
    <w:rsid w:val="001A0683"/>
    <w:rsid w:val="001A2596"/>
    <w:rsid w:val="001A29AA"/>
    <w:rsid w:val="001A39FA"/>
    <w:rsid w:val="001B027A"/>
    <w:rsid w:val="001B33BD"/>
    <w:rsid w:val="001B431D"/>
    <w:rsid w:val="001C0942"/>
    <w:rsid w:val="001C4617"/>
    <w:rsid w:val="001C5A5D"/>
    <w:rsid w:val="001D04CD"/>
    <w:rsid w:val="001D188E"/>
    <w:rsid w:val="001D3A49"/>
    <w:rsid w:val="001D6CE7"/>
    <w:rsid w:val="001D6E04"/>
    <w:rsid w:val="001E10FB"/>
    <w:rsid w:val="001E11B8"/>
    <w:rsid w:val="001E2623"/>
    <w:rsid w:val="001E305B"/>
    <w:rsid w:val="001E50FE"/>
    <w:rsid w:val="001E5246"/>
    <w:rsid w:val="001E575B"/>
    <w:rsid w:val="001F1A58"/>
    <w:rsid w:val="001F2179"/>
    <w:rsid w:val="001F739E"/>
    <w:rsid w:val="001F7AA7"/>
    <w:rsid w:val="001F7FD1"/>
    <w:rsid w:val="00200D2D"/>
    <w:rsid w:val="00202DE4"/>
    <w:rsid w:val="00203727"/>
    <w:rsid w:val="002042E6"/>
    <w:rsid w:val="00205FD6"/>
    <w:rsid w:val="002074E7"/>
    <w:rsid w:val="002075C2"/>
    <w:rsid w:val="002075EF"/>
    <w:rsid w:val="00207C7D"/>
    <w:rsid w:val="00210B5B"/>
    <w:rsid w:val="002132B9"/>
    <w:rsid w:val="0021407A"/>
    <w:rsid w:val="00214511"/>
    <w:rsid w:val="00214C4A"/>
    <w:rsid w:val="0021511E"/>
    <w:rsid w:val="002155E3"/>
    <w:rsid w:val="00222108"/>
    <w:rsid w:val="00224821"/>
    <w:rsid w:val="00227E3F"/>
    <w:rsid w:val="002333BA"/>
    <w:rsid w:val="00234848"/>
    <w:rsid w:val="00237BD1"/>
    <w:rsid w:val="002425CA"/>
    <w:rsid w:val="00242E38"/>
    <w:rsid w:val="00243903"/>
    <w:rsid w:val="00246FB6"/>
    <w:rsid w:val="002513C7"/>
    <w:rsid w:val="00260C8B"/>
    <w:rsid w:val="00262E8D"/>
    <w:rsid w:val="002645FD"/>
    <w:rsid w:val="0026525D"/>
    <w:rsid w:val="0026688D"/>
    <w:rsid w:val="00275171"/>
    <w:rsid w:val="00275410"/>
    <w:rsid w:val="002755EF"/>
    <w:rsid w:val="002769C7"/>
    <w:rsid w:val="00281A22"/>
    <w:rsid w:val="0028281B"/>
    <w:rsid w:val="00283493"/>
    <w:rsid w:val="00283D6A"/>
    <w:rsid w:val="002914EC"/>
    <w:rsid w:val="002A2DA7"/>
    <w:rsid w:val="002A7DD0"/>
    <w:rsid w:val="002B1455"/>
    <w:rsid w:val="002B14F0"/>
    <w:rsid w:val="002B287B"/>
    <w:rsid w:val="002B5234"/>
    <w:rsid w:val="002C02B0"/>
    <w:rsid w:val="002C28EF"/>
    <w:rsid w:val="002C5845"/>
    <w:rsid w:val="002D035C"/>
    <w:rsid w:val="002D3747"/>
    <w:rsid w:val="002D4D82"/>
    <w:rsid w:val="002D5675"/>
    <w:rsid w:val="002E1AAD"/>
    <w:rsid w:val="002E527A"/>
    <w:rsid w:val="003016A3"/>
    <w:rsid w:val="0030295A"/>
    <w:rsid w:val="00302E29"/>
    <w:rsid w:val="00306F3C"/>
    <w:rsid w:val="00307295"/>
    <w:rsid w:val="0030744E"/>
    <w:rsid w:val="003102A0"/>
    <w:rsid w:val="0031035F"/>
    <w:rsid w:val="00310D1F"/>
    <w:rsid w:val="00310E48"/>
    <w:rsid w:val="00312327"/>
    <w:rsid w:val="003132F8"/>
    <w:rsid w:val="003135D3"/>
    <w:rsid w:val="00313876"/>
    <w:rsid w:val="003168E8"/>
    <w:rsid w:val="00316CE5"/>
    <w:rsid w:val="003212DB"/>
    <w:rsid w:val="0032236E"/>
    <w:rsid w:val="00322ECC"/>
    <w:rsid w:val="00322ECD"/>
    <w:rsid w:val="00322FBE"/>
    <w:rsid w:val="0032650F"/>
    <w:rsid w:val="0032764E"/>
    <w:rsid w:val="00327CD2"/>
    <w:rsid w:val="0033222B"/>
    <w:rsid w:val="00343448"/>
    <w:rsid w:val="003437C1"/>
    <w:rsid w:val="00343B14"/>
    <w:rsid w:val="00345327"/>
    <w:rsid w:val="00345E00"/>
    <w:rsid w:val="00345F74"/>
    <w:rsid w:val="003462A5"/>
    <w:rsid w:val="00346670"/>
    <w:rsid w:val="00346D36"/>
    <w:rsid w:val="00350144"/>
    <w:rsid w:val="00351DFF"/>
    <w:rsid w:val="0035281A"/>
    <w:rsid w:val="00352E8B"/>
    <w:rsid w:val="00354721"/>
    <w:rsid w:val="00356F05"/>
    <w:rsid w:val="00357A68"/>
    <w:rsid w:val="00365B28"/>
    <w:rsid w:val="00365E85"/>
    <w:rsid w:val="00374FD0"/>
    <w:rsid w:val="00376D56"/>
    <w:rsid w:val="00380A10"/>
    <w:rsid w:val="00381FBD"/>
    <w:rsid w:val="00382E01"/>
    <w:rsid w:val="0038511A"/>
    <w:rsid w:val="003868B9"/>
    <w:rsid w:val="00386BA6"/>
    <w:rsid w:val="00386DDF"/>
    <w:rsid w:val="003874B1"/>
    <w:rsid w:val="00391306"/>
    <w:rsid w:val="0039643E"/>
    <w:rsid w:val="003A2323"/>
    <w:rsid w:val="003A6799"/>
    <w:rsid w:val="003A7027"/>
    <w:rsid w:val="003A7100"/>
    <w:rsid w:val="003B15F3"/>
    <w:rsid w:val="003B35D4"/>
    <w:rsid w:val="003B4720"/>
    <w:rsid w:val="003B6A7F"/>
    <w:rsid w:val="003B7F6B"/>
    <w:rsid w:val="003C01E5"/>
    <w:rsid w:val="003C6356"/>
    <w:rsid w:val="003C67B9"/>
    <w:rsid w:val="003C67F6"/>
    <w:rsid w:val="003C6F61"/>
    <w:rsid w:val="003D1C98"/>
    <w:rsid w:val="003D24EA"/>
    <w:rsid w:val="003D5C74"/>
    <w:rsid w:val="003D7DB4"/>
    <w:rsid w:val="003E1410"/>
    <w:rsid w:val="003E395F"/>
    <w:rsid w:val="003E39CF"/>
    <w:rsid w:val="003E426D"/>
    <w:rsid w:val="003E436E"/>
    <w:rsid w:val="003E5093"/>
    <w:rsid w:val="003E57DA"/>
    <w:rsid w:val="003F2B4B"/>
    <w:rsid w:val="00402109"/>
    <w:rsid w:val="00406FE6"/>
    <w:rsid w:val="00410359"/>
    <w:rsid w:val="00420177"/>
    <w:rsid w:val="00420258"/>
    <w:rsid w:val="00420670"/>
    <w:rsid w:val="00420C5B"/>
    <w:rsid w:val="00424E1A"/>
    <w:rsid w:val="00426F68"/>
    <w:rsid w:val="0043189E"/>
    <w:rsid w:val="00431AE2"/>
    <w:rsid w:val="004360D3"/>
    <w:rsid w:val="00443367"/>
    <w:rsid w:val="004445F6"/>
    <w:rsid w:val="004449E7"/>
    <w:rsid w:val="00445F5B"/>
    <w:rsid w:val="00454B8D"/>
    <w:rsid w:val="00455805"/>
    <w:rsid w:val="00457BCD"/>
    <w:rsid w:val="0046108D"/>
    <w:rsid w:val="00464E44"/>
    <w:rsid w:val="004715EC"/>
    <w:rsid w:val="00475FB3"/>
    <w:rsid w:val="004849DE"/>
    <w:rsid w:val="00490F70"/>
    <w:rsid w:val="00491B22"/>
    <w:rsid w:val="0049395C"/>
    <w:rsid w:val="004A1019"/>
    <w:rsid w:val="004A3EA1"/>
    <w:rsid w:val="004A522A"/>
    <w:rsid w:val="004B5D61"/>
    <w:rsid w:val="004C13B7"/>
    <w:rsid w:val="004C2214"/>
    <w:rsid w:val="004C60F3"/>
    <w:rsid w:val="004C6349"/>
    <w:rsid w:val="004C70F3"/>
    <w:rsid w:val="004D0010"/>
    <w:rsid w:val="004D0A5A"/>
    <w:rsid w:val="004D517F"/>
    <w:rsid w:val="004D53BA"/>
    <w:rsid w:val="004D750D"/>
    <w:rsid w:val="004E1D66"/>
    <w:rsid w:val="004E40F1"/>
    <w:rsid w:val="004E4A35"/>
    <w:rsid w:val="004F74B0"/>
    <w:rsid w:val="004F783D"/>
    <w:rsid w:val="00500E30"/>
    <w:rsid w:val="00500F09"/>
    <w:rsid w:val="00501F0F"/>
    <w:rsid w:val="00505C3F"/>
    <w:rsid w:val="005069B8"/>
    <w:rsid w:val="00511156"/>
    <w:rsid w:val="00511999"/>
    <w:rsid w:val="00511F1C"/>
    <w:rsid w:val="005142E3"/>
    <w:rsid w:val="00520323"/>
    <w:rsid w:val="00520611"/>
    <w:rsid w:val="00520DC9"/>
    <w:rsid w:val="00520E9C"/>
    <w:rsid w:val="00520FE4"/>
    <w:rsid w:val="005228E6"/>
    <w:rsid w:val="00523871"/>
    <w:rsid w:val="00525871"/>
    <w:rsid w:val="005278BA"/>
    <w:rsid w:val="0053089C"/>
    <w:rsid w:val="0053248C"/>
    <w:rsid w:val="00532F98"/>
    <w:rsid w:val="00533F79"/>
    <w:rsid w:val="005341A3"/>
    <w:rsid w:val="00541441"/>
    <w:rsid w:val="005425AE"/>
    <w:rsid w:val="00542BAD"/>
    <w:rsid w:val="005434CA"/>
    <w:rsid w:val="00544B11"/>
    <w:rsid w:val="00551BCF"/>
    <w:rsid w:val="005538BF"/>
    <w:rsid w:val="0056360A"/>
    <w:rsid w:val="00564A22"/>
    <w:rsid w:val="00565B1E"/>
    <w:rsid w:val="005676DA"/>
    <w:rsid w:val="00567B3C"/>
    <w:rsid w:val="005707AB"/>
    <w:rsid w:val="00570AAE"/>
    <w:rsid w:val="00583345"/>
    <w:rsid w:val="00584A80"/>
    <w:rsid w:val="005863C2"/>
    <w:rsid w:val="00590087"/>
    <w:rsid w:val="005A11CB"/>
    <w:rsid w:val="005A44B1"/>
    <w:rsid w:val="005A635F"/>
    <w:rsid w:val="005A77C5"/>
    <w:rsid w:val="005A78A6"/>
    <w:rsid w:val="005B1C14"/>
    <w:rsid w:val="005B4AE8"/>
    <w:rsid w:val="005B7157"/>
    <w:rsid w:val="005C0135"/>
    <w:rsid w:val="005C1BB3"/>
    <w:rsid w:val="005C1EED"/>
    <w:rsid w:val="005C2DA0"/>
    <w:rsid w:val="005C33F5"/>
    <w:rsid w:val="005C3CF0"/>
    <w:rsid w:val="005C495E"/>
    <w:rsid w:val="005C7E46"/>
    <w:rsid w:val="005D2D1E"/>
    <w:rsid w:val="005D5362"/>
    <w:rsid w:val="005D643E"/>
    <w:rsid w:val="005E0E5B"/>
    <w:rsid w:val="005E48C1"/>
    <w:rsid w:val="005F0022"/>
    <w:rsid w:val="005F1DB4"/>
    <w:rsid w:val="005F2ABE"/>
    <w:rsid w:val="005F7CA2"/>
    <w:rsid w:val="00605935"/>
    <w:rsid w:val="00605E13"/>
    <w:rsid w:val="006069E4"/>
    <w:rsid w:val="00612228"/>
    <w:rsid w:val="006137CE"/>
    <w:rsid w:val="00620B6C"/>
    <w:rsid w:val="00621930"/>
    <w:rsid w:val="00627802"/>
    <w:rsid w:val="006279D9"/>
    <w:rsid w:val="00631A65"/>
    <w:rsid w:val="00631FB3"/>
    <w:rsid w:val="00641AA3"/>
    <w:rsid w:val="006433C7"/>
    <w:rsid w:val="00644A45"/>
    <w:rsid w:val="0064514B"/>
    <w:rsid w:val="00645B13"/>
    <w:rsid w:val="00650C7E"/>
    <w:rsid w:val="00654434"/>
    <w:rsid w:val="0066436F"/>
    <w:rsid w:val="00664CB8"/>
    <w:rsid w:val="00674B2D"/>
    <w:rsid w:val="00677ECF"/>
    <w:rsid w:val="00680CB2"/>
    <w:rsid w:val="006865AF"/>
    <w:rsid w:val="00686C0F"/>
    <w:rsid w:val="00686D69"/>
    <w:rsid w:val="00690005"/>
    <w:rsid w:val="0069008E"/>
    <w:rsid w:val="006A16C4"/>
    <w:rsid w:val="006A51E7"/>
    <w:rsid w:val="006A64A6"/>
    <w:rsid w:val="006B452C"/>
    <w:rsid w:val="006C7AAE"/>
    <w:rsid w:val="006D2363"/>
    <w:rsid w:val="006D2381"/>
    <w:rsid w:val="006D28AD"/>
    <w:rsid w:val="006D3A90"/>
    <w:rsid w:val="006D41F5"/>
    <w:rsid w:val="006D4F50"/>
    <w:rsid w:val="006D5EE3"/>
    <w:rsid w:val="006D6DB8"/>
    <w:rsid w:val="006E016C"/>
    <w:rsid w:val="006E33A0"/>
    <w:rsid w:val="006E5590"/>
    <w:rsid w:val="006E5CA9"/>
    <w:rsid w:val="006E69BA"/>
    <w:rsid w:val="006E6F22"/>
    <w:rsid w:val="006F1CBE"/>
    <w:rsid w:val="006F263C"/>
    <w:rsid w:val="006F6E4D"/>
    <w:rsid w:val="007017A4"/>
    <w:rsid w:val="00702036"/>
    <w:rsid w:val="0070304D"/>
    <w:rsid w:val="007104B0"/>
    <w:rsid w:val="007127B4"/>
    <w:rsid w:val="00712CDC"/>
    <w:rsid w:val="00713ED7"/>
    <w:rsid w:val="00731633"/>
    <w:rsid w:val="0073366C"/>
    <w:rsid w:val="00733DB1"/>
    <w:rsid w:val="00734561"/>
    <w:rsid w:val="0073477B"/>
    <w:rsid w:val="00741E6D"/>
    <w:rsid w:val="00743EF7"/>
    <w:rsid w:val="007514E9"/>
    <w:rsid w:val="0075216C"/>
    <w:rsid w:val="007530D3"/>
    <w:rsid w:val="00760A94"/>
    <w:rsid w:val="00760DA0"/>
    <w:rsid w:val="00761058"/>
    <w:rsid w:val="007615B2"/>
    <w:rsid w:val="007651B4"/>
    <w:rsid w:val="007652F5"/>
    <w:rsid w:val="00766682"/>
    <w:rsid w:val="0077007B"/>
    <w:rsid w:val="00774C68"/>
    <w:rsid w:val="007757BF"/>
    <w:rsid w:val="00775BB0"/>
    <w:rsid w:val="007779FF"/>
    <w:rsid w:val="00780950"/>
    <w:rsid w:val="00783601"/>
    <w:rsid w:val="00784425"/>
    <w:rsid w:val="007851EB"/>
    <w:rsid w:val="007859D1"/>
    <w:rsid w:val="007869EE"/>
    <w:rsid w:val="00793666"/>
    <w:rsid w:val="0079475C"/>
    <w:rsid w:val="00796384"/>
    <w:rsid w:val="007A06FD"/>
    <w:rsid w:val="007A2020"/>
    <w:rsid w:val="007B231C"/>
    <w:rsid w:val="007B3411"/>
    <w:rsid w:val="007B36D5"/>
    <w:rsid w:val="007B3931"/>
    <w:rsid w:val="007B4005"/>
    <w:rsid w:val="007B457D"/>
    <w:rsid w:val="007B5900"/>
    <w:rsid w:val="007B76D3"/>
    <w:rsid w:val="007B78AF"/>
    <w:rsid w:val="007C2753"/>
    <w:rsid w:val="007C35AB"/>
    <w:rsid w:val="007C371A"/>
    <w:rsid w:val="007C3B39"/>
    <w:rsid w:val="007C3DA2"/>
    <w:rsid w:val="007D4599"/>
    <w:rsid w:val="007D5141"/>
    <w:rsid w:val="007D7A41"/>
    <w:rsid w:val="007F25D1"/>
    <w:rsid w:val="007F70C5"/>
    <w:rsid w:val="007F7F0E"/>
    <w:rsid w:val="00801202"/>
    <w:rsid w:val="00801EC5"/>
    <w:rsid w:val="008040CE"/>
    <w:rsid w:val="00806F1B"/>
    <w:rsid w:val="008105C8"/>
    <w:rsid w:val="008134F5"/>
    <w:rsid w:val="008143B5"/>
    <w:rsid w:val="00814427"/>
    <w:rsid w:val="00814E7C"/>
    <w:rsid w:val="00821A8A"/>
    <w:rsid w:val="008222F1"/>
    <w:rsid w:val="008248DF"/>
    <w:rsid w:val="00825BC9"/>
    <w:rsid w:val="00826379"/>
    <w:rsid w:val="0083227A"/>
    <w:rsid w:val="00834BF2"/>
    <w:rsid w:val="008362B6"/>
    <w:rsid w:val="0083747E"/>
    <w:rsid w:val="00837813"/>
    <w:rsid w:val="008401CA"/>
    <w:rsid w:val="00841447"/>
    <w:rsid w:val="00841E24"/>
    <w:rsid w:val="0084383F"/>
    <w:rsid w:val="008459B9"/>
    <w:rsid w:val="00847234"/>
    <w:rsid w:val="008506D6"/>
    <w:rsid w:val="00850E9F"/>
    <w:rsid w:val="00854E1F"/>
    <w:rsid w:val="00856782"/>
    <w:rsid w:val="00856F64"/>
    <w:rsid w:val="008608B7"/>
    <w:rsid w:val="00863BF7"/>
    <w:rsid w:val="0086618E"/>
    <w:rsid w:val="00867987"/>
    <w:rsid w:val="00867E4D"/>
    <w:rsid w:val="00870DF5"/>
    <w:rsid w:val="00872482"/>
    <w:rsid w:val="00877AB6"/>
    <w:rsid w:val="00887013"/>
    <w:rsid w:val="00887DA5"/>
    <w:rsid w:val="00890C4F"/>
    <w:rsid w:val="00892536"/>
    <w:rsid w:val="00894EE1"/>
    <w:rsid w:val="0089724E"/>
    <w:rsid w:val="008A08E5"/>
    <w:rsid w:val="008B0A89"/>
    <w:rsid w:val="008B0EDE"/>
    <w:rsid w:val="008B7005"/>
    <w:rsid w:val="008C1B73"/>
    <w:rsid w:val="008C29FB"/>
    <w:rsid w:val="008C470F"/>
    <w:rsid w:val="008D00C1"/>
    <w:rsid w:val="008D04C4"/>
    <w:rsid w:val="008D0FE9"/>
    <w:rsid w:val="008D2046"/>
    <w:rsid w:val="008D5530"/>
    <w:rsid w:val="008D5F28"/>
    <w:rsid w:val="008D61C5"/>
    <w:rsid w:val="008D7293"/>
    <w:rsid w:val="008E3AA0"/>
    <w:rsid w:val="008E3D55"/>
    <w:rsid w:val="008E52E3"/>
    <w:rsid w:val="008F0EFE"/>
    <w:rsid w:val="008F214D"/>
    <w:rsid w:val="008F56D6"/>
    <w:rsid w:val="00900E63"/>
    <w:rsid w:val="0090295F"/>
    <w:rsid w:val="00905A0D"/>
    <w:rsid w:val="009060A1"/>
    <w:rsid w:val="009123E4"/>
    <w:rsid w:val="00913F53"/>
    <w:rsid w:val="00913FFE"/>
    <w:rsid w:val="00914BE5"/>
    <w:rsid w:val="00914BFB"/>
    <w:rsid w:val="00915969"/>
    <w:rsid w:val="009178B7"/>
    <w:rsid w:val="00920E50"/>
    <w:rsid w:val="009214DA"/>
    <w:rsid w:val="00921D12"/>
    <w:rsid w:val="00925C9A"/>
    <w:rsid w:val="00926B69"/>
    <w:rsid w:val="00926D9F"/>
    <w:rsid w:val="00936469"/>
    <w:rsid w:val="00936CE9"/>
    <w:rsid w:val="009430CD"/>
    <w:rsid w:val="00943773"/>
    <w:rsid w:val="00943F54"/>
    <w:rsid w:val="00962F8E"/>
    <w:rsid w:val="009700B9"/>
    <w:rsid w:val="009710E6"/>
    <w:rsid w:val="00971231"/>
    <w:rsid w:val="009721D5"/>
    <w:rsid w:val="009820F4"/>
    <w:rsid w:val="00990AC2"/>
    <w:rsid w:val="009918F3"/>
    <w:rsid w:val="00993FE0"/>
    <w:rsid w:val="00995E5F"/>
    <w:rsid w:val="009965D0"/>
    <w:rsid w:val="009A143D"/>
    <w:rsid w:val="009A1E8D"/>
    <w:rsid w:val="009A2BAA"/>
    <w:rsid w:val="009B4E8D"/>
    <w:rsid w:val="009C5251"/>
    <w:rsid w:val="009C56D0"/>
    <w:rsid w:val="009C57D3"/>
    <w:rsid w:val="009C7C65"/>
    <w:rsid w:val="009D10DA"/>
    <w:rsid w:val="009D56C3"/>
    <w:rsid w:val="009D7FE8"/>
    <w:rsid w:val="009E0CBA"/>
    <w:rsid w:val="009E187E"/>
    <w:rsid w:val="009E44DC"/>
    <w:rsid w:val="009F2C07"/>
    <w:rsid w:val="009F2C2E"/>
    <w:rsid w:val="00A0020B"/>
    <w:rsid w:val="00A022BD"/>
    <w:rsid w:val="00A0364A"/>
    <w:rsid w:val="00A03AD4"/>
    <w:rsid w:val="00A03F7F"/>
    <w:rsid w:val="00A06398"/>
    <w:rsid w:val="00A1123A"/>
    <w:rsid w:val="00A12B39"/>
    <w:rsid w:val="00A12EA6"/>
    <w:rsid w:val="00A137A7"/>
    <w:rsid w:val="00A15E49"/>
    <w:rsid w:val="00A16633"/>
    <w:rsid w:val="00A1735F"/>
    <w:rsid w:val="00A23E1B"/>
    <w:rsid w:val="00A32A7A"/>
    <w:rsid w:val="00A365E6"/>
    <w:rsid w:val="00A411FE"/>
    <w:rsid w:val="00A425DF"/>
    <w:rsid w:val="00A43BC9"/>
    <w:rsid w:val="00A45BFB"/>
    <w:rsid w:val="00A47342"/>
    <w:rsid w:val="00A47EF0"/>
    <w:rsid w:val="00A5084A"/>
    <w:rsid w:val="00A524B1"/>
    <w:rsid w:val="00A5255D"/>
    <w:rsid w:val="00A541C4"/>
    <w:rsid w:val="00A55D28"/>
    <w:rsid w:val="00A56194"/>
    <w:rsid w:val="00A603B5"/>
    <w:rsid w:val="00A609EF"/>
    <w:rsid w:val="00A611F2"/>
    <w:rsid w:val="00A6396B"/>
    <w:rsid w:val="00A63A2E"/>
    <w:rsid w:val="00A70FCA"/>
    <w:rsid w:val="00A73A91"/>
    <w:rsid w:val="00A764F3"/>
    <w:rsid w:val="00A8375A"/>
    <w:rsid w:val="00A84B35"/>
    <w:rsid w:val="00A8602B"/>
    <w:rsid w:val="00A8665B"/>
    <w:rsid w:val="00A93DA3"/>
    <w:rsid w:val="00A96BAD"/>
    <w:rsid w:val="00AA0A3E"/>
    <w:rsid w:val="00AA17CE"/>
    <w:rsid w:val="00AA1F6E"/>
    <w:rsid w:val="00AA45AE"/>
    <w:rsid w:val="00AA76BB"/>
    <w:rsid w:val="00AB091D"/>
    <w:rsid w:val="00AB0A37"/>
    <w:rsid w:val="00AB71C6"/>
    <w:rsid w:val="00AC448A"/>
    <w:rsid w:val="00AC5123"/>
    <w:rsid w:val="00AD28E0"/>
    <w:rsid w:val="00AD4CC5"/>
    <w:rsid w:val="00AD78BC"/>
    <w:rsid w:val="00AE1D14"/>
    <w:rsid w:val="00AE48A6"/>
    <w:rsid w:val="00AE6AAD"/>
    <w:rsid w:val="00AF34D2"/>
    <w:rsid w:val="00AF3991"/>
    <w:rsid w:val="00AF3C3A"/>
    <w:rsid w:val="00AF4F3B"/>
    <w:rsid w:val="00AF60A9"/>
    <w:rsid w:val="00B02E3D"/>
    <w:rsid w:val="00B115C6"/>
    <w:rsid w:val="00B11E8F"/>
    <w:rsid w:val="00B1203F"/>
    <w:rsid w:val="00B14601"/>
    <w:rsid w:val="00B15C82"/>
    <w:rsid w:val="00B16091"/>
    <w:rsid w:val="00B20AFE"/>
    <w:rsid w:val="00B2257E"/>
    <w:rsid w:val="00B262E9"/>
    <w:rsid w:val="00B26C6B"/>
    <w:rsid w:val="00B31BD2"/>
    <w:rsid w:val="00B36A00"/>
    <w:rsid w:val="00B41C20"/>
    <w:rsid w:val="00B432F0"/>
    <w:rsid w:val="00B43BA0"/>
    <w:rsid w:val="00B46113"/>
    <w:rsid w:val="00B5245F"/>
    <w:rsid w:val="00B5424D"/>
    <w:rsid w:val="00B73870"/>
    <w:rsid w:val="00B75C24"/>
    <w:rsid w:val="00B91BD9"/>
    <w:rsid w:val="00B9297C"/>
    <w:rsid w:val="00B9540D"/>
    <w:rsid w:val="00B95B7C"/>
    <w:rsid w:val="00B97064"/>
    <w:rsid w:val="00BA0EDC"/>
    <w:rsid w:val="00BA3C49"/>
    <w:rsid w:val="00BA4265"/>
    <w:rsid w:val="00BA42B8"/>
    <w:rsid w:val="00BB395B"/>
    <w:rsid w:val="00BB4400"/>
    <w:rsid w:val="00BB7555"/>
    <w:rsid w:val="00BB7F21"/>
    <w:rsid w:val="00BC3B8D"/>
    <w:rsid w:val="00BC4ECD"/>
    <w:rsid w:val="00BC7A27"/>
    <w:rsid w:val="00BD4655"/>
    <w:rsid w:val="00BD4D33"/>
    <w:rsid w:val="00BD5460"/>
    <w:rsid w:val="00BD59CF"/>
    <w:rsid w:val="00BE2625"/>
    <w:rsid w:val="00BE3E71"/>
    <w:rsid w:val="00BF1D07"/>
    <w:rsid w:val="00BF61D8"/>
    <w:rsid w:val="00C02084"/>
    <w:rsid w:val="00C03B07"/>
    <w:rsid w:val="00C041E3"/>
    <w:rsid w:val="00C10C92"/>
    <w:rsid w:val="00C141F4"/>
    <w:rsid w:val="00C15F16"/>
    <w:rsid w:val="00C162D9"/>
    <w:rsid w:val="00C21637"/>
    <w:rsid w:val="00C21818"/>
    <w:rsid w:val="00C24B45"/>
    <w:rsid w:val="00C26789"/>
    <w:rsid w:val="00C26E54"/>
    <w:rsid w:val="00C27CA1"/>
    <w:rsid w:val="00C31029"/>
    <w:rsid w:val="00C31DF1"/>
    <w:rsid w:val="00C32448"/>
    <w:rsid w:val="00C34549"/>
    <w:rsid w:val="00C36841"/>
    <w:rsid w:val="00C36F37"/>
    <w:rsid w:val="00C41560"/>
    <w:rsid w:val="00C43003"/>
    <w:rsid w:val="00C450EB"/>
    <w:rsid w:val="00C45D72"/>
    <w:rsid w:val="00C46EC9"/>
    <w:rsid w:val="00C50975"/>
    <w:rsid w:val="00C51318"/>
    <w:rsid w:val="00C52D7B"/>
    <w:rsid w:val="00C53689"/>
    <w:rsid w:val="00C56B8F"/>
    <w:rsid w:val="00C60FD9"/>
    <w:rsid w:val="00C62A42"/>
    <w:rsid w:val="00C641D2"/>
    <w:rsid w:val="00C65A0B"/>
    <w:rsid w:val="00C66477"/>
    <w:rsid w:val="00C67BDF"/>
    <w:rsid w:val="00C71BB8"/>
    <w:rsid w:val="00C72222"/>
    <w:rsid w:val="00C75C0F"/>
    <w:rsid w:val="00C7619A"/>
    <w:rsid w:val="00C83930"/>
    <w:rsid w:val="00C85D50"/>
    <w:rsid w:val="00C8769E"/>
    <w:rsid w:val="00C92357"/>
    <w:rsid w:val="00CA0DCD"/>
    <w:rsid w:val="00CA2489"/>
    <w:rsid w:val="00CA5FDE"/>
    <w:rsid w:val="00CB29F5"/>
    <w:rsid w:val="00CB4320"/>
    <w:rsid w:val="00CB4A89"/>
    <w:rsid w:val="00CB74D2"/>
    <w:rsid w:val="00CC288E"/>
    <w:rsid w:val="00CC2997"/>
    <w:rsid w:val="00CD10B1"/>
    <w:rsid w:val="00CD275C"/>
    <w:rsid w:val="00CD72A5"/>
    <w:rsid w:val="00CE31E7"/>
    <w:rsid w:val="00CF2334"/>
    <w:rsid w:val="00CF3785"/>
    <w:rsid w:val="00CF509A"/>
    <w:rsid w:val="00CF629A"/>
    <w:rsid w:val="00D017D4"/>
    <w:rsid w:val="00D02241"/>
    <w:rsid w:val="00D2011B"/>
    <w:rsid w:val="00D203C9"/>
    <w:rsid w:val="00D21896"/>
    <w:rsid w:val="00D229C2"/>
    <w:rsid w:val="00D22F9D"/>
    <w:rsid w:val="00D26072"/>
    <w:rsid w:val="00D32055"/>
    <w:rsid w:val="00D32D0E"/>
    <w:rsid w:val="00D373FC"/>
    <w:rsid w:val="00D3752C"/>
    <w:rsid w:val="00D40541"/>
    <w:rsid w:val="00D419F2"/>
    <w:rsid w:val="00D43D3F"/>
    <w:rsid w:val="00D45D9A"/>
    <w:rsid w:val="00D47DE9"/>
    <w:rsid w:val="00D51779"/>
    <w:rsid w:val="00D52641"/>
    <w:rsid w:val="00D557DE"/>
    <w:rsid w:val="00D57A76"/>
    <w:rsid w:val="00D57E64"/>
    <w:rsid w:val="00D612EA"/>
    <w:rsid w:val="00D615B2"/>
    <w:rsid w:val="00D62B00"/>
    <w:rsid w:val="00D64419"/>
    <w:rsid w:val="00D64A0F"/>
    <w:rsid w:val="00D65158"/>
    <w:rsid w:val="00D73C26"/>
    <w:rsid w:val="00D75C0A"/>
    <w:rsid w:val="00D7663B"/>
    <w:rsid w:val="00D8199A"/>
    <w:rsid w:val="00D82827"/>
    <w:rsid w:val="00D82CD8"/>
    <w:rsid w:val="00D83BB5"/>
    <w:rsid w:val="00D85340"/>
    <w:rsid w:val="00D9084E"/>
    <w:rsid w:val="00D91561"/>
    <w:rsid w:val="00D927C8"/>
    <w:rsid w:val="00D97DA6"/>
    <w:rsid w:val="00DA5EF3"/>
    <w:rsid w:val="00DA7939"/>
    <w:rsid w:val="00DB71D1"/>
    <w:rsid w:val="00DC15DD"/>
    <w:rsid w:val="00DC1827"/>
    <w:rsid w:val="00DC22A3"/>
    <w:rsid w:val="00DC4027"/>
    <w:rsid w:val="00DD09D5"/>
    <w:rsid w:val="00DD309D"/>
    <w:rsid w:val="00DD31D8"/>
    <w:rsid w:val="00DD5B5A"/>
    <w:rsid w:val="00DD70F9"/>
    <w:rsid w:val="00DE3E41"/>
    <w:rsid w:val="00DE6CDF"/>
    <w:rsid w:val="00DE6FAC"/>
    <w:rsid w:val="00DF13DD"/>
    <w:rsid w:val="00DF1C0B"/>
    <w:rsid w:val="00DF6CEA"/>
    <w:rsid w:val="00E0105C"/>
    <w:rsid w:val="00E02E73"/>
    <w:rsid w:val="00E053B5"/>
    <w:rsid w:val="00E06AF4"/>
    <w:rsid w:val="00E10BAC"/>
    <w:rsid w:val="00E25F4A"/>
    <w:rsid w:val="00E3290A"/>
    <w:rsid w:val="00E336DB"/>
    <w:rsid w:val="00E35EA5"/>
    <w:rsid w:val="00E36204"/>
    <w:rsid w:val="00E416C7"/>
    <w:rsid w:val="00E42349"/>
    <w:rsid w:val="00E42D4E"/>
    <w:rsid w:val="00E452BF"/>
    <w:rsid w:val="00E4676B"/>
    <w:rsid w:val="00E4791C"/>
    <w:rsid w:val="00E51224"/>
    <w:rsid w:val="00E5172C"/>
    <w:rsid w:val="00E53538"/>
    <w:rsid w:val="00E54398"/>
    <w:rsid w:val="00E55900"/>
    <w:rsid w:val="00E568D1"/>
    <w:rsid w:val="00E6111B"/>
    <w:rsid w:val="00E635A0"/>
    <w:rsid w:val="00E642C6"/>
    <w:rsid w:val="00E64CF9"/>
    <w:rsid w:val="00E6645C"/>
    <w:rsid w:val="00E66BDB"/>
    <w:rsid w:val="00E66E17"/>
    <w:rsid w:val="00E67674"/>
    <w:rsid w:val="00E71A31"/>
    <w:rsid w:val="00E72CD7"/>
    <w:rsid w:val="00E7641E"/>
    <w:rsid w:val="00E77299"/>
    <w:rsid w:val="00E80CC8"/>
    <w:rsid w:val="00E85741"/>
    <w:rsid w:val="00E8629E"/>
    <w:rsid w:val="00E9090E"/>
    <w:rsid w:val="00E9125A"/>
    <w:rsid w:val="00E9173E"/>
    <w:rsid w:val="00E942D7"/>
    <w:rsid w:val="00E94627"/>
    <w:rsid w:val="00E95837"/>
    <w:rsid w:val="00E95C47"/>
    <w:rsid w:val="00EA0243"/>
    <w:rsid w:val="00EA21B1"/>
    <w:rsid w:val="00EA7937"/>
    <w:rsid w:val="00EC03F9"/>
    <w:rsid w:val="00EC4600"/>
    <w:rsid w:val="00EC4B72"/>
    <w:rsid w:val="00ED1E65"/>
    <w:rsid w:val="00ED4049"/>
    <w:rsid w:val="00ED4579"/>
    <w:rsid w:val="00EE10B4"/>
    <w:rsid w:val="00EE28CC"/>
    <w:rsid w:val="00EE33F3"/>
    <w:rsid w:val="00EE3888"/>
    <w:rsid w:val="00EF1B58"/>
    <w:rsid w:val="00EF430F"/>
    <w:rsid w:val="00F01C3E"/>
    <w:rsid w:val="00F01FE5"/>
    <w:rsid w:val="00F1677A"/>
    <w:rsid w:val="00F17DB2"/>
    <w:rsid w:val="00F17F4E"/>
    <w:rsid w:val="00F22D6F"/>
    <w:rsid w:val="00F251AE"/>
    <w:rsid w:val="00F30540"/>
    <w:rsid w:val="00F34FC5"/>
    <w:rsid w:val="00F3516B"/>
    <w:rsid w:val="00F368C5"/>
    <w:rsid w:val="00F40D18"/>
    <w:rsid w:val="00F41E4F"/>
    <w:rsid w:val="00F42345"/>
    <w:rsid w:val="00F42A7F"/>
    <w:rsid w:val="00F4380A"/>
    <w:rsid w:val="00F472D7"/>
    <w:rsid w:val="00F47423"/>
    <w:rsid w:val="00F547F3"/>
    <w:rsid w:val="00F60412"/>
    <w:rsid w:val="00F613BE"/>
    <w:rsid w:val="00F67A0B"/>
    <w:rsid w:val="00F7422B"/>
    <w:rsid w:val="00F76A54"/>
    <w:rsid w:val="00F77A0D"/>
    <w:rsid w:val="00F8013B"/>
    <w:rsid w:val="00F842CF"/>
    <w:rsid w:val="00F84349"/>
    <w:rsid w:val="00F919D0"/>
    <w:rsid w:val="00F91D0F"/>
    <w:rsid w:val="00F9486A"/>
    <w:rsid w:val="00F9588E"/>
    <w:rsid w:val="00FA060C"/>
    <w:rsid w:val="00FA1B64"/>
    <w:rsid w:val="00FB0744"/>
    <w:rsid w:val="00FB0F40"/>
    <w:rsid w:val="00FB1C99"/>
    <w:rsid w:val="00FB57F8"/>
    <w:rsid w:val="00FB5E66"/>
    <w:rsid w:val="00FB6A1C"/>
    <w:rsid w:val="00FC44E4"/>
    <w:rsid w:val="00FD017A"/>
    <w:rsid w:val="00FD262B"/>
    <w:rsid w:val="00FD310B"/>
    <w:rsid w:val="00FD403C"/>
    <w:rsid w:val="00FE1FB5"/>
    <w:rsid w:val="00FE28E5"/>
    <w:rsid w:val="00FF0682"/>
    <w:rsid w:val="00FF1876"/>
    <w:rsid w:val="00FF4724"/>
    <w:rsid w:val="00FF5329"/>
    <w:rsid w:val="00FF5EC5"/>
    <w:rsid w:val="00FF654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3D028C"/>
  <w15:chartTrackingRefBased/>
  <w15:docId w15:val="{F3EDA701-5943-43D8-9B95-DFB6FEA80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paragraph" w:styleId="1">
    <w:name w:val="heading 1"/>
    <w:basedOn w:val="a"/>
    <w:next w:val="a"/>
    <w:link w:val="10"/>
    <w:uiPriority w:val="9"/>
    <w:qFormat/>
    <w:rsid w:val="00A55D2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A55D2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A55D28"/>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A55D28"/>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A55D28"/>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A55D2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A55D2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A55D2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A55D2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A55D28"/>
    <w:rPr>
      <w:rFonts w:asciiTheme="majorHAnsi" w:eastAsiaTheme="majorEastAsia" w:hAnsiTheme="majorHAnsi" w:cstheme="majorBidi"/>
      <w:color w:val="2F5496" w:themeColor="accent1" w:themeShade="BF"/>
      <w:sz w:val="40"/>
      <w:szCs w:val="40"/>
    </w:rPr>
  </w:style>
  <w:style w:type="character" w:customStyle="1" w:styleId="20">
    <w:name w:val="כותרת 2 תו"/>
    <w:basedOn w:val="a0"/>
    <w:link w:val="2"/>
    <w:uiPriority w:val="9"/>
    <w:semiHidden/>
    <w:rsid w:val="00A55D28"/>
    <w:rPr>
      <w:rFonts w:asciiTheme="majorHAnsi" w:eastAsiaTheme="majorEastAsia" w:hAnsiTheme="majorHAnsi" w:cstheme="majorBidi"/>
      <w:color w:val="2F5496" w:themeColor="accent1" w:themeShade="BF"/>
      <w:sz w:val="32"/>
      <w:szCs w:val="32"/>
    </w:rPr>
  </w:style>
  <w:style w:type="character" w:customStyle="1" w:styleId="30">
    <w:name w:val="כותרת 3 תו"/>
    <w:basedOn w:val="a0"/>
    <w:link w:val="3"/>
    <w:uiPriority w:val="9"/>
    <w:semiHidden/>
    <w:rsid w:val="00A55D28"/>
    <w:rPr>
      <w:rFonts w:eastAsiaTheme="majorEastAsia" w:cstheme="majorBidi"/>
      <w:color w:val="2F5496" w:themeColor="accent1" w:themeShade="BF"/>
      <w:sz w:val="28"/>
      <w:szCs w:val="28"/>
    </w:rPr>
  </w:style>
  <w:style w:type="character" w:customStyle="1" w:styleId="40">
    <w:name w:val="כותרת 4 תו"/>
    <w:basedOn w:val="a0"/>
    <w:link w:val="4"/>
    <w:uiPriority w:val="9"/>
    <w:semiHidden/>
    <w:rsid w:val="00A55D28"/>
    <w:rPr>
      <w:rFonts w:eastAsiaTheme="majorEastAsia" w:cstheme="majorBidi"/>
      <w:i/>
      <w:iCs/>
      <w:color w:val="2F5496" w:themeColor="accent1" w:themeShade="BF"/>
    </w:rPr>
  </w:style>
  <w:style w:type="character" w:customStyle="1" w:styleId="50">
    <w:name w:val="כותרת 5 תו"/>
    <w:basedOn w:val="a0"/>
    <w:link w:val="5"/>
    <w:uiPriority w:val="9"/>
    <w:semiHidden/>
    <w:rsid w:val="00A55D28"/>
    <w:rPr>
      <w:rFonts w:eastAsiaTheme="majorEastAsia" w:cstheme="majorBidi"/>
      <w:color w:val="2F5496" w:themeColor="accent1" w:themeShade="BF"/>
    </w:rPr>
  </w:style>
  <w:style w:type="character" w:customStyle="1" w:styleId="60">
    <w:name w:val="כותרת 6 תו"/>
    <w:basedOn w:val="a0"/>
    <w:link w:val="6"/>
    <w:uiPriority w:val="9"/>
    <w:semiHidden/>
    <w:rsid w:val="00A55D28"/>
    <w:rPr>
      <w:rFonts w:eastAsiaTheme="majorEastAsia" w:cstheme="majorBidi"/>
      <w:i/>
      <w:iCs/>
      <w:color w:val="595959" w:themeColor="text1" w:themeTint="A6"/>
    </w:rPr>
  </w:style>
  <w:style w:type="character" w:customStyle="1" w:styleId="70">
    <w:name w:val="כותרת 7 תו"/>
    <w:basedOn w:val="a0"/>
    <w:link w:val="7"/>
    <w:uiPriority w:val="9"/>
    <w:semiHidden/>
    <w:rsid w:val="00A55D28"/>
    <w:rPr>
      <w:rFonts w:eastAsiaTheme="majorEastAsia" w:cstheme="majorBidi"/>
      <w:color w:val="595959" w:themeColor="text1" w:themeTint="A6"/>
    </w:rPr>
  </w:style>
  <w:style w:type="character" w:customStyle="1" w:styleId="80">
    <w:name w:val="כותרת 8 תו"/>
    <w:basedOn w:val="a0"/>
    <w:link w:val="8"/>
    <w:uiPriority w:val="9"/>
    <w:semiHidden/>
    <w:rsid w:val="00A55D28"/>
    <w:rPr>
      <w:rFonts w:eastAsiaTheme="majorEastAsia" w:cstheme="majorBidi"/>
      <w:i/>
      <w:iCs/>
      <w:color w:val="272727" w:themeColor="text1" w:themeTint="D8"/>
    </w:rPr>
  </w:style>
  <w:style w:type="character" w:customStyle="1" w:styleId="90">
    <w:name w:val="כותרת 9 תו"/>
    <w:basedOn w:val="a0"/>
    <w:link w:val="9"/>
    <w:uiPriority w:val="9"/>
    <w:semiHidden/>
    <w:rsid w:val="00A55D28"/>
    <w:rPr>
      <w:rFonts w:eastAsiaTheme="majorEastAsia" w:cstheme="majorBidi"/>
      <w:color w:val="272727" w:themeColor="text1" w:themeTint="D8"/>
    </w:rPr>
  </w:style>
  <w:style w:type="paragraph" w:styleId="a3">
    <w:name w:val="Title"/>
    <w:basedOn w:val="a"/>
    <w:next w:val="a"/>
    <w:link w:val="a4"/>
    <w:uiPriority w:val="10"/>
    <w:qFormat/>
    <w:rsid w:val="00A55D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כותרת טקסט תו"/>
    <w:basedOn w:val="a0"/>
    <w:link w:val="a3"/>
    <w:uiPriority w:val="10"/>
    <w:rsid w:val="00A55D2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55D28"/>
    <w:pPr>
      <w:numPr>
        <w:ilvl w:val="1"/>
      </w:numPr>
    </w:pPr>
    <w:rPr>
      <w:rFonts w:eastAsiaTheme="majorEastAsia" w:cstheme="majorBidi"/>
      <w:color w:val="595959" w:themeColor="text1" w:themeTint="A6"/>
      <w:spacing w:val="15"/>
      <w:sz w:val="28"/>
      <w:szCs w:val="28"/>
    </w:rPr>
  </w:style>
  <w:style w:type="character" w:customStyle="1" w:styleId="a6">
    <w:name w:val="כותרת משנה תו"/>
    <w:basedOn w:val="a0"/>
    <w:link w:val="a5"/>
    <w:uiPriority w:val="11"/>
    <w:rsid w:val="00A55D28"/>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A55D28"/>
    <w:pPr>
      <w:spacing w:before="160"/>
      <w:jc w:val="center"/>
    </w:pPr>
    <w:rPr>
      <w:i/>
      <w:iCs/>
      <w:color w:val="404040" w:themeColor="text1" w:themeTint="BF"/>
    </w:rPr>
  </w:style>
  <w:style w:type="character" w:customStyle="1" w:styleId="a8">
    <w:name w:val="ציטוט תו"/>
    <w:basedOn w:val="a0"/>
    <w:link w:val="a7"/>
    <w:uiPriority w:val="29"/>
    <w:rsid w:val="00A55D28"/>
    <w:rPr>
      <w:i/>
      <w:iCs/>
      <w:color w:val="404040" w:themeColor="text1" w:themeTint="BF"/>
    </w:rPr>
  </w:style>
  <w:style w:type="paragraph" w:styleId="a9">
    <w:name w:val="List Paragraph"/>
    <w:basedOn w:val="a"/>
    <w:uiPriority w:val="34"/>
    <w:qFormat/>
    <w:rsid w:val="00A55D28"/>
    <w:pPr>
      <w:ind w:left="720"/>
      <w:contextualSpacing/>
    </w:pPr>
  </w:style>
  <w:style w:type="character" w:styleId="aa">
    <w:name w:val="Intense Emphasis"/>
    <w:basedOn w:val="a0"/>
    <w:uiPriority w:val="21"/>
    <w:qFormat/>
    <w:rsid w:val="00A55D28"/>
    <w:rPr>
      <w:i/>
      <w:iCs/>
      <w:color w:val="2F5496" w:themeColor="accent1" w:themeShade="BF"/>
    </w:rPr>
  </w:style>
  <w:style w:type="paragraph" w:styleId="ab">
    <w:name w:val="Intense Quote"/>
    <w:basedOn w:val="a"/>
    <w:next w:val="a"/>
    <w:link w:val="ac"/>
    <w:uiPriority w:val="30"/>
    <w:qFormat/>
    <w:rsid w:val="00A55D2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ציטוט חזק תו"/>
    <w:basedOn w:val="a0"/>
    <w:link w:val="ab"/>
    <w:uiPriority w:val="30"/>
    <w:rsid w:val="00A55D28"/>
    <w:rPr>
      <w:i/>
      <w:iCs/>
      <w:color w:val="2F5496" w:themeColor="accent1" w:themeShade="BF"/>
    </w:rPr>
  </w:style>
  <w:style w:type="character" w:styleId="ad">
    <w:name w:val="Intense Reference"/>
    <w:basedOn w:val="a0"/>
    <w:uiPriority w:val="32"/>
    <w:qFormat/>
    <w:rsid w:val="00A55D28"/>
    <w:rPr>
      <w:b/>
      <w:bCs/>
      <w:smallCaps/>
      <w:color w:val="2F5496" w:themeColor="accent1" w:themeShade="BF"/>
      <w:spacing w:val="5"/>
    </w:rPr>
  </w:style>
  <w:style w:type="paragraph" w:customStyle="1" w:styleId="11">
    <w:name w:val="רגיל1"/>
    <w:rsid w:val="00A55D28"/>
    <w:pPr>
      <w:spacing w:after="0" w:line="240" w:lineRule="auto"/>
    </w:pPr>
    <w:rPr>
      <w:rFonts w:ascii="Times New Roman" w:eastAsia="Times New Roman" w:hAnsi="Times New Roman" w:cs="David"/>
      <w:kern w:val="0"/>
      <w:sz w:val="28"/>
      <w:szCs w:val="28"/>
      <w14:ligatures w14:val="none"/>
    </w:rPr>
  </w:style>
  <w:style w:type="paragraph" w:customStyle="1" w:styleId="21">
    <w:name w:val="כותרת 21"/>
    <w:basedOn w:val="a"/>
    <w:next w:val="11"/>
    <w:rsid w:val="00A55D28"/>
    <w:pPr>
      <w:keepNext/>
      <w:bidi w:val="0"/>
      <w:spacing w:before="100" w:beforeAutospacing="1" w:after="100" w:afterAutospacing="1" w:line="360" w:lineRule="auto"/>
      <w:ind w:left="-58" w:right="-58" w:hanging="11"/>
      <w:outlineLvl w:val="1"/>
    </w:pPr>
    <w:rPr>
      <w:rFonts w:ascii="Times New Roman" w:eastAsia="Times New Roman" w:hAnsi="Times New Roman" w:cs="David"/>
      <w:kern w:val="0"/>
      <w:sz w:val="28"/>
      <w:szCs w:val="28"/>
      <w14:ligatures w14:val="none"/>
    </w:rPr>
  </w:style>
  <w:style w:type="paragraph" w:styleId="ae">
    <w:name w:val="footnote text"/>
    <w:basedOn w:val="a"/>
    <w:link w:val="af"/>
    <w:uiPriority w:val="99"/>
    <w:semiHidden/>
    <w:unhideWhenUsed/>
    <w:rsid w:val="00702036"/>
    <w:pPr>
      <w:spacing w:after="0" w:line="240" w:lineRule="auto"/>
    </w:pPr>
    <w:rPr>
      <w:sz w:val="20"/>
      <w:szCs w:val="20"/>
    </w:rPr>
  </w:style>
  <w:style w:type="character" w:customStyle="1" w:styleId="af">
    <w:name w:val="טקסט הערת שוליים תו"/>
    <w:basedOn w:val="a0"/>
    <w:link w:val="ae"/>
    <w:uiPriority w:val="99"/>
    <w:semiHidden/>
    <w:rsid w:val="00702036"/>
    <w:rPr>
      <w:sz w:val="20"/>
      <w:szCs w:val="20"/>
    </w:rPr>
  </w:style>
  <w:style w:type="character" w:styleId="af0">
    <w:name w:val="footnote reference"/>
    <w:basedOn w:val="a0"/>
    <w:uiPriority w:val="99"/>
    <w:semiHidden/>
    <w:unhideWhenUsed/>
    <w:rsid w:val="00702036"/>
    <w:rPr>
      <w:vertAlign w:val="superscript"/>
    </w:rPr>
  </w:style>
  <w:style w:type="character" w:styleId="Hyperlink">
    <w:name w:val="Hyperlink"/>
    <w:basedOn w:val="a0"/>
    <w:uiPriority w:val="99"/>
    <w:unhideWhenUsed/>
    <w:rsid w:val="00887013"/>
    <w:rPr>
      <w:color w:val="0563C1" w:themeColor="hyperlink"/>
      <w:u w:val="single"/>
    </w:rPr>
  </w:style>
  <w:style w:type="character" w:styleId="af1">
    <w:name w:val="Unresolved Mention"/>
    <w:basedOn w:val="a0"/>
    <w:uiPriority w:val="99"/>
    <w:semiHidden/>
    <w:unhideWhenUsed/>
    <w:rsid w:val="00887013"/>
    <w:rPr>
      <w:color w:val="605E5C"/>
      <w:shd w:val="clear" w:color="auto" w:fill="E1DFDD"/>
    </w:rPr>
  </w:style>
  <w:style w:type="paragraph" w:styleId="af2">
    <w:name w:val="Balloon Text"/>
    <w:basedOn w:val="a"/>
    <w:link w:val="af3"/>
    <w:uiPriority w:val="99"/>
    <w:semiHidden/>
    <w:unhideWhenUsed/>
    <w:rsid w:val="00D02241"/>
    <w:pPr>
      <w:spacing w:after="0" w:line="240" w:lineRule="auto"/>
    </w:pPr>
    <w:rPr>
      <w:rFonts w:ascii="Tahoma" w:hAnsi="Tahoma" w:cs="Tahoma"/>
      <w:sz w:val="18"/>
      <w:szCs w:val="18"/>
    </w:rPr>
  </w:style>
  <w:style w:type="character" w:customStyle="1" w:styleId="af3">
    <w:name w:val="טקסט בלונים תו"/>
    <w:basedOn w:val="a0"/>
    <w:link w:val="af2"/>
    <w:uiPriority w:val="99"/>
    <w:semiHidden/>
    <w:rsid w:val="00D02241"/>
    <w:rPr>
      <w:rFonts w:ascii="Tahoma" w:hAnsi="Tahoma" w:cs="Tahoma"/>
      <w:sz w:val="18"/>
      <w:szCs w:val="18"/>
    </w:rPr>
  </w:style>
  <w:style w:type="character" w:styleId="FollowedHyperlink">
    <w:name w:val="FollowedHyperlink"/>
    <w:basedOn w:val="a0"/>
    <w:uiPriority w:val="99"/>
    <w:semiHidden/>
    <w:unhideWhenUsed/>
    <w:rsid w:val="000D6441"/>
    <w:rPr>
      <w:color w:val="954F72" w:themeColor="followedHyperlink"/>
      <w:u w:val="single"/>
    </w:rPr>
  </w:style>
  <w:style w:type="paragraph" w:customStyle="1" w:styleId="listparagraph">
    <w:name w:val="listparagraph"/>
    <w:basedOn w:val="a"/>
    <w:rsid w:val="00345327"/>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af4">
    <w:name w:val="Strong"/>
    <w:basedOn w:val="a0"/>
    <w:uiPriority w:val="22"/>
    <w:qFormat/>
    <w:rsid w:val="00275410"/>
    <w:rPr>
      <w:b/>
      <w:bCs/>
    </w:rPr>
  </w:style>
  <w:style w:type="paragraph" w:customStyle="1" w:styleId="af5">
    <w:name w:val="a"/>
    <w:basedOn w:val="a"/>
    <w:rsid w:val="00275171"/>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af6">
    <w:name w:val="Book Title"/>
    <w:basedOn w:val="a0"/>
    <w:uiPriority w:val="33"/>
    <w:qFormat/>
    <w:rsid w:val="007B457D"/>
    <w:rPr>
      <w:b/>
      <w:bCs/>
      <w:i/>
      <w:iCs/>
      <w:spacing w:val="5"/>
    </w:rPr>
  </w:style>
  <w:style w:type="paragraph" w:styleId="NormalWeb">
    <w:name w:val="Normal (Web)"/>
    <w:basedOn w:val="a"/>
    <w:uiPriority w:val="99"/>
    <w:unhideWhenUsed/>
    <w:rsid w:val="00A8665B"/>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af7">
    <w:name w:val="Emphasis"/>
    <w:basedOn w:val="a0"/>
    <w:uiPriority w:val="20"/>
    <w:qFormat/>
    <w:rsid w:val="00A03F7F"/>
    <w:rPr>
      <w:i/>
      <w:iCs/>
    </w:rPr>
  </w:style>
  <w:style w:type="paragraph" w:styleId="af8">
    <w:name w:val="Revision"/>
    <w:hidden/>
    <w:uiPriority w:val="99"/>
    <w:semiHidden/>
    <w:rsid w:val="00CD10B1"/>
    <w:pPr>
      <w:spacing w:after="0" w:line="240" w:lineRule="auto"/>
    </w:pPr>
  </w:style>
  <w:style w:type="character" w:styleId="af9">
    <w:name w:val="annotation reference"/>
    <w:basedOn w:val="a0"/>
    <w:uiPriority w:val="99"/>
    <w:semiHidden/>
    <w:unhideWhenUsed/>
    <w:rsid w:val="00877AB6"/>
    <w:rPr>
      <w:sz w:val="16"/>
      <w:szCs w:val="16"/>
    </w:rPr>
  </w:style>
  <w:style w:type="paragraph" w:styleId="afa">
    <w:name w:val="annotation text"/>
    <w:basedOn w:val="a"/>
    <w:link w:val="afb"/>
    <w:uiPriority w:val="99"/>
    <w:semiHidden/>
    <w:unhideWhenUsed/>
    <w:rsid w:val="00877AB6"/>
    <w:pPr>
      <w:spacing w:line="240" w:lineRule="auto"/>
    </w:pPr>
    <w:rPr>
      <w:sz w:val="20"/>
      <w:szCs w:val="20"/>
    </w:rPr>
  </w:style>
  <w:style w:type="character" w:customStyle="1" w:styleId="afb">
    <w:name w:val="טקסט הערה תו"/>
    <w:basedOn w:val="a0"/>
    <w:link w:val="afa"/>
    <w:uiPriority w:val="99"/>
    <w:semiHidden/>
    <w:rsid w:val="00877AB6"/>
    <w:rPr>
      <w:sz w:val="20"/>
      <w:szCs w:val="20"/>
    </w:rPr>
  </w:style>
  <w:style w:type="paragraph" w:styleId="afc">
    <w:name w:val="annotation subject"/>
    <w:basedOn w:val="afa"/>
    <w:next w:val="afa"/>
    <w:link w:val="afd"/>
    <w:uiPriority w:val="99"/>
    <w:semiHidden/>
    <w:unhideWhenUsed/>
    <w:rsid w:val="00877AB6"/>
    <w:rPr>
      <w:b/>
      <w:bCs/>
    </w:rPr>
  </w:style>
  <w:style w:type="character" w:customStyle="1" w:styleId="afd">
    <w:name w:val="נושא הערה תו"/>
    <w:basedOn w:val="afb"/>
    <w:link w:val="afc"/>
    <w:uiPriority w:val="99"/>
    <w:semiHidden/>
    <w:rsid w:val="00877AB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284198">
      <w:bodyDiv w:val="1"/>
      <w:marLeft w:val="0"/>
      <w:marRight w:val="0"/>
      <w:marTop w:val="0"/>
      <w:marBottom w:val="0"/>
      <w:divBdr>
        <w:top w:val="none" w:sz="0" w:space="0" w:color="auto"/>
        <w:left w:val="none" w:sz="0" w:space="0" w:color="auto"/>
        <w:bottom w:val="none" w:sz="0" w:space="0" w:color="auto"/>
        <w:right w:val="none" w:sz="0" w:space="0" w:color="auto"/>
      </w:divBdr>
    </w:div>
    <w:div w:id="270168601">
      <w:bodyDiv w:val="1"/>
      <w:marLeft w:val="0"/>
      <w:marRight w:val="0"/>
      <w:marTop w:val="0"/>
      <w:marBottom w:val="0"/>
      <w:divBdr>
        <w:top w:val="none" w:sz="0" w:space="0" w:color="auto"/>
        <w:left w:val="none" w:sz="0" w:space="0" w:color="auto"/>
        <w:bottom w:val="none" w:sz="0" w:space="0" w:color="auto"/>
        <w:right w:val="none" w:sz="0" w:space="0" w:color="auto"/>
      </w:divBdr>
    </w:div>
    <w:div w:id="394276988">
      <w:bodyDiv w:val="1"/>
      <w:marLeft w:val="0"/>
      <w:marRight w:val="0"/>
      <w:marTop w:val="0"/>
      <w:marBottom w:val="0"/>
      <w:divBdr>
        <w:top w:val="none" w:sz="0" w:space="0" w:color="auto"/>
        <w:left w:val="none" w:sz="0" w:space="0" w:color="auto"/>
        <w:bottom w:val="none" w:sz="0" w:space="0" w:color="auto"/>
        <w:right w:val="none" w:sz="0" w:space="0" w:color="auto"/>
      </w:divBdr>
    </w:div>
    <w:div w:id="472917388">
      <w:bodyDiv w:val="1"/>
      <w:marLeft w:val="0"/>
      <w:marRight w:val="0"/>
      <w:marTop w:val="0"/>
      <w:marBottom w:val="0"/>
      <w:divBdr>
        <w:top w:val="none" w:sz="0" w:space="0" w:color="auto"/>
        <w:left w:val="none" w:sz="0" w:space="0" w:color="auto"/>
        <w:bottom w:val="none" w:sz="0" w:space="0" w:color="auto"/>
        <w:right w:val="none" w:sz="0" w:space="0" w:color="auto"/>
      </w:divBdr>
    </w:div>
    <w:div w:id="648554657">
      <w:bodyDiv w:val="1"/>
      <w:marLeft w:val="0"/>
      <w:marRight w:val="0"/>
      <w:marTop w:val="0"/>
      <w:marBottom w:val="0"/>
      <w:divBdr>
        <w:top w:val="none" w:sz="0" w:space="0" w:color="auto"/>
        <w:left w:val="none" w:sz="0" w:space="0" w:color="auto"/>
        <w:bottom w:val="none" w:sz="0" w:space="0" w:color="auto"/>
        <w:right w:val="none" w:sz="0" w:space="0" w:color="auto"/>
      </w:divBdr>
    </w:div>
    <w:div w:id="863515550">
      <w:bodyDiv w:val="1"/>
      <w:marLeft w:val="0"/>
      <w:marRight w:val="0"/>
      <w:marTop w:val="0"/>
      <w:marBottom w:val="0"/>
      <w:divBdr>
        <w:top w:val="none" w:sz="0" w:space="0" w:color="auto"/>
        <w:left w:val="none" w:sz="0" w:space="0" w:color="auto"/>
        <w:bottom w:val="none" w:sz="0" w:space="0" w:color="auto"/>
        <w:right w:val="none" w:sz="0" w:space="0" w:color="auto"/>
      </w:divBdr>
    </w:div>
    <w:div w:id="947085578">
      <w:bodyDiv w:val="1"/>
      <w:marLeft w:val="0"/>
      <w:marRight w:val="0"/>
      <w:marTop w:val="0"/>
      <w:marBottom w:val="0"/>
      <w:divBdr>
        <w:top w:val="none" w:sz="0" w:space="0" w:color="auto"/>
        <w:left w:val="none" w:sz="0" w:space="0" w:color="auto"/>
        <w:bottom w:val="none" w:sz="0" w:space="0" w:color="auto"/>
        <w:right w:val="none" w:sz="0" w:space="0" w:color="auto"/>
      </w:divBdr>
    </w:div>
    <w:div w:id="1002392971">
      <w:bodyDiv w:val="1"/>
      <w:marLeft w:val="0"/>
      <w:marRight w:val="0"/>
      <w:marTop w:val="0"/>
      <w:marBottom w:val="0"/>
      <w:divBdr>
        <w:top w:val="none" w:sz="0" w:space="0" w:color="auto"/>
        <w:left w:val="none" w:sz="0" w:space="0" w:color="auto"/>
        <w:bottom w:val="none" w:sz="0" w:space="0" w:color="auto"/>
        <w:right w:val="none" w:sz="0" w:space="0" w:color="auto"/>
      </w:divBdr>
    </w:div>
    <w:div w:id="1035695124">
      <w:bodyDiv w:val="1"/>
      <w:marLeft w:val="0"/>
      <w:marRight w:val="0"/>
      <w:marTop w:val="0"/>
      <w:marBottom w:val="0"/>
      <w:divBdr>
        <w:top w:val="none" w:sz="0" w:space="0" w:color="auto"/>
        <w:left w:val="none" w:sz="0" w:space="0" w:color="auto"/>
        <w:bottom w:val="none" w:sz="0" w:space="0" w:color="auto"/>
        <w:right w:val="none" w:sz="0" w:space="0" w:color="auto"/>
      </w:divBdr>
    </w:div>
    <w:div w:id="1054621760">
      <w:bodyDiv w:val="1"/>
      <w:marLeft w:val="0"/>
      <w:marRight w:val="0"/>
      <w:marTop w:val="0"/>
      <w:marBottom w:val="0"/>
      <w:divBdr>
        <w:top w:val="none" w:sz="0" w:space="0" w:color="auto"/>
        <w:left w:val="none" w:sz="0" w:space="0" w:color="auto"/>
        <w:bottom w:val="none" w:sz="0" w:space="0" w:color="auto"/>
        <w:right w:val="none" w:sz="0" w:space="0" w:color="auto"/>
      </w:divBdr>
    </w:div>
    <w:div w:id="1063598274">
      <w:bodyDiv w:val="1"/>
      <w:marLeft w:val="0"/>
      <w:marRight w:val="0"/>
      <w:marTop w:val="0"/>
      <w:marBottom w:val="0"/>
      <w:divBdr>
        <w:top w:val="none" w:sz="0" w:space="0" w:color="auto"/>
        <w:left w:val="none" w:sz="0" w:space="0" w:color="auto"/>
        <w:bottom w:val="none" w:sz="0" w:space="0" w:color="auto"/>
        <w:right w:val="none" w:sz="0" w:space="0" w:color="auto"/>
      </w:divBdr>
    </w:div>
    <w:div w:id="1123038314">
      <w:bodyDiv w:val="1"/>
      <w:marLeft w:val="0"/>
      <w:marRight w:val="0"/>
      <w:marTop w:val="0"/>
      <w:marBottom w:val="0"/>
      <w:divBdr>
        <w:top w:val="none" w:sz="0" w:space="0" w:color="auto"/>
        <w:left w:val="none" w:sz="0" w:space="0" w:color="auto"/>
        <w:bottom w:val="none" w:sz="0" w:space="0" w:color="auto"/>
        <w:right w:val="none" w:sz="0" w:space="0" w:color="auto"/>
      </w:divBdr>
    </w:div>
    <w:div w:id="1193373650">
      <w:bodyDiv w:val="1"/>
      <w:marLeft w:val="0"/>
      <w:marRight w:val="0"/>
      <w:marTop w:val="0"/>
      <w:marBottom w:val="0"/>
      <w:divBdr>
        <w:top w:val="none" w:sz="0" w:space="0" w:color="auto"/>
        <w:left w:val="none" w:sz="0" w:space="0" w:color="auto"/>
        <w:bottom w:val="none" w:sz="0" w:space="0" w:color="auto"/>
        <w:right w:val="none" w:sz="0" w:space="0" w:color="auto"/>
      </w:divBdr>
    </w:div>
    <w:div w:id="1247152909">
      <w:bodyDiv w:val="1"/>
      <w:marLeft w:val="0"/>
      <w:marRight w:val="0"/>
      <w:marTop w:val="0"/>
      <w:marBottom w:val="0"/>
      <w:divBdr>
        <w:top w:val="none" w:sz="0" w:space="0" w:color="auto"/>
        <w:left w:val="none" w:sz="0" w:space="0" w:color="auto"/>
        <w:bottom w:val="none" w:sz="0" w:space="0" w:color="auto"/>
        <w:right w:val="none" w:sz="0" w:space="0" w:color="auto"/>
      </w:divBdr>
    </w:div>
    <w:div w:id="1344210507">
      <w:bodyDiv w:val="1"/>
      <w:marLeft w:val="0"/>
      <w:marRight w:val="0"/>
      <w:marTop w:val="0"/>
      <w:marBottom w:val="0"/>
      <w:divBdr>
        <w:top w:val="none" w:sz="0" w:space="0" w:color="auto"/>
        <w:left w:val="none" w:sz="0" w:space="0" w:color="auto"/>
        <w:bottom w:val="none" w:sz="0" w:space="0" w:color="auto"/>
        <w:right w:val="none" w:sz="0" w:space="0" w:color="auto"/>
      </w:divBdr>
    </w:div>
    <w:div w:id="1749184115">
      <w:bodyDiv w:val="1"/>
      <w:marLeft w:val="0"/>
      <w:marRight w:val="0"/>
      <w:marTop w:val="0"/>
      <w:marBottom w:val="0"/>
      <w:divBdr>
        <w:top w:val="none" w:sz="0" w:space="0" w:color="auto"/>
        <w:left w:val="none" w:sz="0" w:space="0" w:color="auto"/>
        <w:bottom w:val="none" w:sz="0" w:space="0" w:color="auto"/>
        <w:right w:val="none" w:sz="0" w:space="0" w:color="auto"/>
      </w:divBdr>
    </w:div>
    <w:div w:id="1812865964">
      <w:bodyDiv w:val="1"/>
      <w:marLeft w:val="0"/>
      <w:marRight w:val="0"/>
      <w:marTop w:val="0"/>
      <w:marBottom w:val="0"/>
      <w:divBdr>
        <w:top w:val="none" w:sz="0" w:space="0" w:color="auto"/>
        <w:left w:val="none" w:sz="0" w:space="0" w:color="auto"/>
        <w:bottom w:val="none" w:sz="0" w:space="0" w:color="auto"/>
        <w:right w:val="none" w:sz="0" w:space="0" w:color="auto"/>
      </w:divBdr>
    </w:div>
    <w:div w:id="1906912928">
      <w:bodyDiv w:val="1"/>
      <w:marLeft w:val="0"/>
      <w:marRight w:val="0"/>
      <w:marTop w:val="0"/>
      <w:marBottom w:val="0"/>
      <w:divBdr>
        <w:top w:val="none" w:sz="0" w:space="0" w:color="auto"/>
        <w:left w:val="none" w:sz="0" w:space="0" w:color="auto"/>
        <w:bottom w:val="none" w:sz="0" w:space="0" w:color="auto"/>
        <w:right w:val="none" w:sz="0" w:space="0" w:color="auto"/>
      </w:divBdr>
    </w:div>
    <w:div w:id="1907061251">
      <w:bodyDiv w:val="1"/>
      <w:marLeft w:val="0"/>
      <w:marRight w:val="0"/>
      <w:marTop w:val="0"/>
      <w:marBottom w:val="0"/>
      <w:divBdr>
        <w:top w:val="none" w:sz="0" w:space="0" w:color="auto"/>
        <w:left w:val="none" w:sz="0" w:space="0" w:color="auto"/>
        <w:bottom w:val="none" w:sz="0" w:space="0" w:color="auto"/>
        <w:right w:val="none" w:sz="0" w:space="0" w:color="auto"/>
      </w:divBdr>
    </w:div>
    <w:div w:id="2030328980">
      <w:bodyDiv w:val="1"/>
      <w:marLeft w:val="0"/>
      <w:marRight w:val="0"/>
      <w:marTop w:val="0"/>
      <w:marBottom w:val="0"/>
      <w:divBdr>
        <w:top w:val="none" w:sz="0" w:space="0" w:color="auto"/>
        <w:left w:val="none" w:sz="0" w:space="0" w:color="auto"/>
        <w:bottom w:val="none" w:sz="0" w:space="0" w:color="auto"/>
        <w:right w:val="none" w:sz="0" w:space="0" w:color="auto"/>
      </w:divBdr>
    </w:div>
    <w:div w:id="2064669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evo.co.il/law/91073"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nevo.co.il/law/91073"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www.nevo.co.il/case/34877739"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www.nevo.co.il/law/72813" TargetMode="External"/><Relationship Id="rId20" Type="http://schemas.openxmlformats.org/officeDocument/2006/relationships/hyperlink" Target="http://www.nevo.co.il/law/9107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png"/><Relationship Id="rId37"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www.nevo.co.il/case/21474843" TargetMode="External"/><Relationship Id="rId23" Type="http://schemas.openxmlformats.org/officeDocument/2006/relationships/hyperlink" Target="http://www.nevo.co.il/case/11204064" TargetMode="External"/><Relationship Id="rId10" Type="http://schemas.openxmlformats.org/officeDocument/2006/relationships/image" Target="media/image3.png"/><Relationship Id="rId19" Type="http://schemas.openxmlformats.org/officeDocument/2006/relationships/hyperlink" Target="http://www.nevo.co.il/law/91073/196a"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nevo.co.il/law/91073" TargetMode="External"/><Relationship Id="rId22" Type="http://schemas.openxmlformats.org/officeDocument/2006/relationships/hyperlink" Target="http://www.nevo.co.il/case/26341754" TargetMode="External"/><Relationship Id="rId27"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161A5-6FA3-4511-AE44-26CDEBD35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2637</TotalTime>
  <Pages>26</Pages>
  <Words>8707</Words>
  <Characters>41065</Characters>
  <Application>Microsoft Office Word</Application>
  <DocSecurity>0</DocSecurity>
  <Lines>342</Lines>
  <Paragraphs>99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49673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efrat itskovitch</dc:creator>
  <cp:keywords/>
  <dc:description/>
  <cp:lastModifiedBy>שחר דדון</cp:lastModifiedBy>
  <cp:revision>642</cp:revision>
  <cp:lastPrinted>2026-01-08T11:18:00Z</cp:lastPrinted>
  <dcterms:created xsi:type="dcterms:W3CDTF">2025-12-23T21:26:00Z</dcterms:created>
  <dcterms:modified xsi:type="dcterms:W3CDTF">2026-01-08T11:18:00Z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9fb9681f-4e1f-4df1-bd3a-67715516b339</vt:lpwstr>
  </property>
</Properties>
</file>