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785FCE" w14:textId="77777777" w:rsidR="00C03A9B" w:rsidRDefault="00C03A9B" w:rsidP="00C03A9B">
      <w:pPr>
        <w:autoSpaceDE w:val="0"/>
        <w:autoSpaceDN w:val="0"/>
        <w:adjustRightInd w:val="0"/>
        <w:spacing w:after="0" w:line="240" w:lineRule="auto"/>
        <w:rPr>
          <w:rFonts w:ascii="Tms Rmn" w:hAnsi="Tms Rmn"/>
          <w:sz w:val="24"/>
          <w:szCs w:val="24"/>
        </w:rPr>
      </w:pPr>
    </w:p>
    <w:p w14:paraId="5B003455" w14:textId="77777777" w:rsidR="00C03A9B" w:rsidRDefault="00C03A9B" w:rsidP="00C03A9B">
      <w:pPr>
        <w:tabs>
          <w:tab w:val="left" w:pos="4153"/>
          <w:tab w:val="left" w:pos="8306"/>
        </w:tabs>
        <w:autoSpaceDE w:val="0"/>
        <w:autoSpaceDN w:val="0"/>
        <w:adjustRightInd w:val="0"/>
        <w:spacing w:after="0" w:line="240" w:lineRule="auto"/>
        <w:jc w:val="center"/>
        <w:rPr>
          <w:rFonts w:ascii="David" w:hAnsi="Tms Rmn" w:cs="David"/>
          <w:b/>
          <w:bCs/>
          <w:color w:val="000000"/>
          <w:sz w:val="28"/>
          <w:szCs w:val="28"/>
        </w:rPr>
      </w:pPr>
      <w:r>
        <w:rPr>
          <w:rFonts w:ascii="David" w:hAnsi="Tms Rmn" w:cs="David" w:hint="cs"/>
          <w:b/>
          <w:bCs/>
          <w:color w:val="000000"/>
          <w:sz w:val="28"/>
          <w:szCs w:val="28"/>
          <w:rtl/>
        </w:rPr>
        <w:t>מדינת</w:t>
      </w:r>
      <w:r>
        <w:rPr>
          <w:rFonts w:ascii="David" w:hAnsi="Tms Rmn" w:cs="David"/>
          <w:b/>
          <w:bCs/>
          <w:color w:val="000000"/>
          <w:sz w:val="28"/>
          <w:szCs w:val="28"/>
        </w:rPr>
        <w:t xml:space="preserve"> </w:t>
      </w:r>
      <w:r>
        <w:rPr>
          <w:rFonts w:ascii="David" w:hAnsi="Tms Rmn" w:cs="David" w:hint="cs"/>
          <w:b/>
          <w:bCs/>
          <w:color w:val="000000"/>
          <w:sz w:val="28"/>
          <w:szCs w:val="28"/>
          <w:rtl/>
        </w:rPr>
        <w:t>ישראל</w:t>
      </w:r>
    </w:p>
    <w:p w14:paraId="31E47A32" w14:textId="77777777" w:rsidR="00C03A9B" w:rsidRDefault="00C03A9B" w:rsidP="009479AF">
      <w:pPr>
        <w:tabs>
          <w:tab w:val="left" w:pos="4153"/>
          <w:tab w:val="left" w:pos="8306"/>
        </w:tabs>
        <w:autoSpaceDE w:val="0"/>
        <w:autoSpaceDN w:val="0"/>
        <w:adjustRightInd w:val="0"/>
        <w:spacing w:after="0" w:line="240" w:lineRule="auto"/>
        <w:jc w:val="center"/>
        <w:rPr>
          <w:rFonts w:ascii="David" w:hAnsi="Tms Rmn" w:cs="David"/>
          <w:b/>
          <w:bCs/>
          <w:color w:val="000000"/>
          <w:sz w:val="28"/>
          <w:szCs w:val="28"/>
        </w:rPr>
      </w:pPr>
      <w:r>
        <w:rPr>
          <w:rFonts w:ascii="David" w:hAnsi="Tms Rmn" w:cs="David" w:hint="cs"/>
          <w:b/>
          <w:bCs/>
          <w:color w:val="000000"/>
          <w:sz w:val="28"/>
          <w:szCs w:val="28"/>
          <w:rtl/>
        </w:rPr>
        <w:t>מחוז</w:t>
      </w:r>
      <w:r>
        <w:rPr>
          <w:rFonts w:ascii="David" w:hAnsi="Tms Rmn" w:cs="David"/>
          <w:b/>
          <w:bCs/>
          <w:color w:val="000000"/>
          <w:sz w:val="28"/>
          <w:szCs w:val="28"/>
        </w:rPr>
        <w:t xml:space="preserve"> </w:t>
      </w:r>
      <w:sdt>
        <w:sdtPr>
          <w:rPr>
            <w:rFonts w:ascii="David" w:hAnsi="Tms Rmn" w:cs="David"/>
            <w:b/>
            <w:bCs/>
            <w:color w:val="000000"/>
            <w:sz w:val="28"/>
            <w:szCs w:val="28"/>
            <w:rtl/>
          </w:rPr>
          <w:id w:val="-1937044745"/>
          <w:placeholder>
            <w:docPart w:val="DefaultPlaceholder_1081868574"/>
          </w:placeholder>
          <w:text/>
        </w:sdtPr>
        <w:sdtEndPr/>
        <w:sdtContent>
          <w:r>
            <w:rPr>
              <w:rFonts w:ascii="David" w:hAnsi="Tms Rmn" w:cs="David" w:hint="cs"/>
              <w:b/>
              <w:bCs/>
              <w:color w:val="000000"/>
              <w:sz w:val="28"/>
              <w:szCs w:val="28"/>
              <w:rtl/>
            </w:rPr>
            <w:t>מרכז</w:t>
          </w:r>
        </w:sdtContent>
      </w:sdt>
    </w:p>
    <w:p w14:paraId="2530976C" w14:textId="77777777" w:rsidR="00C03A9B" w:rsidRDefault="00C03A9B" w:rsidP="00C03A9B">
      <w:pPr>
        <w:tabs>
          <w:tab w:val="left" w:pos="4153"/>
          <w:tab w:val="left" w:pos="8306"/>
        </w:tabs>
        <w:autoSpaceDE w:val="0"/>
        <w:autoSpaceDN w:val="0"/>
        <w:adjustRightInd w:val="0"/>
        <w:spacing w:after="0" w:line="240" w:lineRule="auto"/>
        <w:jc w:val="center"/>
        <w:rPr>
          <w:rFonts w:ascii="David" w:hAnsi="Tms Rmn" w:cs="David"/>
          <w:b/>
          <w:bCs/>
          <w:color w:val="000000"/>
          <w:sz w:val="28"/>
          <w:szCs w:val="28"/>
        </w:rPr>
      </w:pPr>
      <w:r>
        <w:rPr>
          <w:rFonts w:ascii="David" w:hAnsi="Tms Rmn" w:cs="David" w:hint="cs"/>
          <w:b/>
          <w:bCs/>
          <w:color w:val="000000"/>
          <w:sz w:val="28"/>
          <w:szCs w:val="28"/>
          <w:rtl/>
        </w:rPr>
        <w:t>ועדת</w:t>
      </w:r>
      <w:r>
        <w:rPr>
          <w:rFonts w:ascii="David" w:hAnsi="Tms Rmn" w:cs="David"/>
          <w:b/>
          <w:bCs/>
          <w:color w:val="000000"/>
          <w:sz w:val="28"/>
          <w:szCs w:val="28"/>
        </w:rPr>
        <w:t xml:space="preserve"> </w:t>
      </w:r>
      <w:r>
        <w:rPr>
          <w:rFonts w:ascii="David" w:hAnsi="Tms Rmn" w:cs="David" w:hint="cs"/>
          <w:b/>
          <w:bCs/>
          <w:color w:val="000000"/>
          <w:sz w:val="28"/>
          <w:szCs w:val="28"/>
          <w:rtl/>
        </w:rPr>
        <w:t>ערר</w:t>
      </w:r>
      <w:r>
        <w:rPr>
          <w:rFonts w:ascii="David" w:hAnsi="Tms Rmn" w:cs="David"/>
          <w:b/>
          <w:bCs/>
          <w:color w:val="000000"/>
          <w:sz w:val="28"/>
          <w:szCs w:val="28"/>
        </w:rPr>
        <w:t xml:space="preserve"> </w:t>
      </w:r>
      <w:r>
        <w:rPr>
          <w:rFonts w:ascii="David" w:hAnsi="Tms Rmn" w:cs="David" w:hint="cs"/>
          <w:b/>
          <w:bCs/>
          <w:color w:val="000000"/>
          <w:sz w:val="28"/>
          <w:szCs w:val="28"/>
          <w:rtl/>
        </w:rPr>
        <w:t>מחוזית לפיצויים והיטל השבחה</w:t>
      </w:r>
    </w:p>
    <w:p w14:paraId="542DDA1B" w14:textId="77777777" w:rsidR="00C03A9B" w:rsidRDefault="00770D04" w:rsidP="00F55A55">
      <w:pPr>
        <w:spacing w:after="0" w:line="240" w:lineRule="auto"/>
        <w:ind w:left="2160" w:firstLine="720"/>
        <w:rPr>
          <w:rFonts w:ascii="Times New Roman" w:eastAsia="Times New Roman" w:hAnsi="Times New Roman" w:cs="David"/>
          <w:sz w:val="24"/>
          <w:szCs w:val="20"/>
          <w:rtl/>
          <w:lang w:eastAsia="he-IL"/>
        </w:rPr>
      </w:pPr>
      <w:r>
        <w:rPr>
          <w:rFonts w:ascii="David" w:hAnsi="Tms Rmn" w:cs="David" w:hint="cs"/>
          <w:b/>
          <w:bCs/>
          <w:color w:val="000000"/>
          <w:sz w:val="28"/>
          <w:szCs w:val="28"/>
          <w:rtl/>
        </w:rPr>
        <w:t xml:space="preserve"> </w:t>
      </w:r>
    </w:p>
    <w:p w14:paraId="7E152FC5" w14:textId="77777777" w:rsidR="00C03A9B" w:rsidRDefault="00C03A9B" w:rsidP="00D32A80">
      <w:pPr>
        <w:spacing w:line="360" w:lineRule="auto"/>
        <w:jc w:val="center"/>
        <w:rPr>
          <w:rFonts w:cs="David"/>
          <w:b/>
          <w:bCs/>
          <w:sz w:val="28"/>
          <w:szCs w:val="28"/>
          <w:rtl/>
        </w:rPr>
      </w:pPr>
      <w:r>
        <w:rPr>
          <w:rFonts w:cs="David" w:hint="cs"/>
          <w:b/>
          <w:bCs/>
          <w:sz w:val="28"/>
          <w:szCs w:val="28"/>
          <w:rtl/>
        </w:rPr>
        <w:t>__________________________________________________________</w:t>
      </w:r>
    </w:p>
    <w:p w14:paraId="0DD6A356" w14:textId="77777777" w:rsidR="005963B3" w:rsidRPr="00F72B55" w:rsidRDefault="005963B3" w:rsidP="00991D54">
      <w:pPr>
        <w:spacing w:after="120" w:line="360" w:lineRule="auto"/>
        <w:jc w:val="both"/>
        <w:rPr>
          <w:rFonts w:cs="David"/>
          <w:b/>
          <w:bCs/>
          <w:sz w:val="26"/>
          <w:szCs w:val="26"/>
          <w:rtl/>
        </w:rPr>
      </w:pPr>
      <w:r>
        <w:rPr>
          <w:rFonts w:cs="David" w:hint="cs"/>
          <w:b/>
          <w:bCs/>
          <w:sz w:val="26"/>
          <w:szCs w:val="26"/>
          <w:u w:val="single"/>
          <w:rtl/>
        </w:rPr>
        <w:t>בפני הוועדה</w:t>
      </w:r>
      <w:r>
        <w:rPr>
          <w:rFonts w:cs="David" w:hint="cs"/>
          <w:b/>
          <w:bCs/>
          <w:sz w:val="26"/>
          <w:szCs w:val="26"/>
          <w:rtl/>
        </w:rPr>
        <w:t>:</w:t>
      </w:r>
      <w:r>
        <w:rPr>
          <w:rFonts w:cs="David" w:hint="cs"/>
          <w:sz w:val="26"/>
          <w:szCs w:val="26"/>
          <w:rtl/>
        </w:rPr>
        <w:tab/>
      </w:r>
      <w:r>
        <w:rPr>
          <w:rFonts w:cs="David" w:hint="cs"/>
          <w:b/>
          <w:bCs/>
          <w:sz w:val="26"/>
          <w:szCs w:val="26"/>
          <w:rtl/>
        </w:rPr>
        <w:t>יו"ר:</w:t>
      </w:r>
      <w:r>
        <w:rPr>
          <w:rFonts w:cs="David" w:hint="cs"/>
          <w:b/>
          <w:bCs/>
          <w:sz w:val="26"/>
          <w:szCs w:val="26"/>
          <w:rtl/>
        </w:rPr>
        <w:tab/>
      </w:r>
      <w:r>
        <w:rPr>
          <w:rFonts w:cs="David" w:hint="cs"/>
          <w:b/>
          <w:bCs/>
          <w:sz w:val="26"/>
          <w:szCs w:val="26"/>
          <w:rtl/>
        </w:rPr>
        <w:tab/>
      </w:r>
      <w:r>
        <w:rPr>
          <w:rFonts w:cs="David" w:hint="cs"/>
          <w:b/>
          <w:bCs/>
          <w:sz w:val="26"/>
          <w:szCs w:val="26"/>
          <w:rtl/>
        </w:rPr>
        <w:tab/>
        <w:t>עו"ד מאיה אשכנזי</w:t>
      </w:r>
      <w:r>
        <w:rPr>
          <w:rFonts w:cs="David" w:hint="cs"/>
          <w:b/>
          <w:bCs/>
          <w:sz w:val="26"/>
          <w:szCs w:val="26"/>
          <w:rtl/>
        </w:rPr>
        <w:tab/>
      </w:r>
      <w:r>
        <w:rPr>
          <w:rFonts w:cs="David" w:hint="cs"/>
          <w:b/>
          <w:bCs/>
          <w:sz w:val="26"/>
          <w:szCs w:val="26"/>
          <w:rtl/>
        </w:rPr>
        <w:tab/>
      </w:r>
    </w:p>
    <w:p w14:paraId="7E44DD00" w14:textId="77777777" w:rsidR="005963B3" w:rsidRPr="00F72B55" w:rsidRDefault="005963B3" w:rsidP="00FA0B90">
      <w:pPr>
        <w:spacing w:after="120" w:line="360" w:lineRule="auto"/>
        <w:ind w:left="3600" w:hanging="2160"/>
        <w:jc w:val="both"/>
        <w:rPr>
          <w:rFonts w:cs="David"/>
          <w:b/>
          <w:bCs/>
          <w:sz w:val="26"/>
          <w:szCs w:val="26"/>
          <w:rtl/>
        </w:rPr>
      </w:pPr>
      <w:r>
        <w:rPr>
          <w:rFonts w:cs="David" w:hint="cs"/>
          <w:b/>
          <w:bCs/>
          <w:sz w:val="26"/>
          <w:szCs w:val="26"/>
          <w:rtl/>
        </w:rPr>
        <w:t>חברת הועדה:</w:t>
      </w:r>
      <w:r>
        <w:rPr>
          <w:rFonts w:cs="David" w:hint="cs"/>
          <w:b/>
          <w:bCs/>
          <w:sz w:val="26"/>
          <w:szCs w:val="26"/>
          <w:rtl/>
        </w:rPr>
        <w:tab/>
        <w:t>גב' נאוה סירקיס, שמאית מקרקעין</w:t>
      </w:r>
    </w:p>
    <w:p w14:paraId="32DF4322" w14:textId="77777777" w:rsidR="00FB5064" w:rsidRPr="00F72B55" w:rsidRDefault="005963B3" w:rsidP="00011C3C">
      <w:pPr>
        <w:spacing w:line="240" w:lineRule="auto"/>
        <w:ind w:left="720" w:firstLine="720"/>
        <w:jc w:val="both"/>
        <w:rPr>
          <w:rFonts w:cs="David"/>
          <w:sz w:val="26"/>
          <w:szCs w:val="26"/>
          <w:rtl/>
        </w:rPr>
      </w:pPr>
      <w:r>
        <w:rPr>
          <w:rFonts w:cs="David" w:hint="cs"/>
          <w:b/>
          <w:bCs/>
          <w:sz w:val="26"/>
          <w:szCs w:val="26"/>
          <w:rtl/>
        </w:rPr>
        <w:t>נציגת מתכננת המחוז: גב' אביטל דדון</w:t>
      </w:r>
    </w:p>
    <w:p w14:paraId="3A1F4C30" w14:textId="77777777" w:rsidR="003D074E" w:rsidRPr="00F72B55" w:rsidRDefault="003D074E" w:rsidP="00D273C7">
      <w:pPr>
        <w:spacing w:line="240" w:lineRule="auto"/>
        <w:rPr>
          <w:rFonts w:cs="David"/>
          <w:b/>
          <w:bCs/>
          <w:sz w:val="26"/>
          <w:szCs w:val="26"/>
          <w:rtl/>
        </w:rPr>
      </w:pPr>
    </w:p>
    <w:p w14:paraId="5DBAA94C" w14:textId="77777777" w:rsidR="002C1A78" w:rsidRPr="00964819" w:rsidRDefault="006B5673" w:rsidP="00011C3C">
      <w:pPr>
        <w:ind w:left="1440" w:hanging="1440"/>
        <w:rPr>
          <w:rFonts w:ascii="David" w:hAnsi="David" w:cs="David"/>
          <w:b/>
          <w:bCs/>
          <w:sz w:val="26"/>
          <w:szCs w:val="26"/>
          <w:rtl/>
        </w:rPr>
      </w:pPr>
      <w:r w:rsidRPr="00964819">
        <w:rPr>
          <w:rFonts w:ascii="David" w:hAnsi="David" w:cs="David"/>
          <w:b/>
          <w:bCs/>
          <w:sz w:val="26"/>
          <w:szCs w:val="26"/>
          <w:rtl/>
        </w:rPr>
        <w:t>העוררים:</w:t>
      </w:r>
      <w:r w:rsidRPr="00964819">
        <w:rPr>
          <w:rFonts w:ascii="David" w:hAnsi="David" w:cs="David"/>
          <w:b/>
          <w:bCs/>
          <w:sz w:val="26"/>
          <w:szCs w:val="26"/>
          <w:rtl/>
        </w:rPr>
        <w:tab/>
        <w:t>1. אפי</w:t>
      </w:r>
      <w:r w:rsidRPr="00964819">
        <w:rPr>
          <w:rFonts w:ascii="David" w:hAnsi="David" w:cs="David"/>
          <w:b/>
          <w:bCs/>
          <w:sz w:val="26"/>
          <w:szCs w:val="26"/>
        </w:rPr>
        <w:t xml:space="preserve"> </w:t>
      </w:r>
      <w:r w:rsidRPr="00964819">
        <w:rPr>
          <w:rFonts w:ascii="David" w:hAnsi="David" w:cs="David"/>
          <w:b/>
          <w:bCs/>
          <w:sz w:val="26"/>
          <w:szCs w:val="26"/>
          <w:rtl/>
        </w:rPr>
        <w:t>קפיטל</w:t>
      </w:r>
      <w:r w:rsidRPr="00964819">
        <w:rPr>
          <w:rFonts w:ascii="David" w:hAnsi="David" w:cs="David"/>
          <w:b/>
          <w:bCs/>
          <w:sz w:val="26"/>
          <w:szCs w:val="26"/>
        </w:rPr>
        <w:t xml:space="preserve"> </w:t>
      </w:r>
      <w:r w:rsidRPr="00964819">
        <w:rPr>
          <w:rFonts w:ascii="David" w:hAnsi="David" w:cs="David"/>
          <w:b/>
          <w:bCs/>
          <w:sz w:val="26"/>
          <w:szCs w:val="26"/>
          <w:rtl/>
        </w:rPr>
        <w:t>אחזקות</w:t>
      </w:r>
      <w:r w:rsidRPr="00964819">
        <w:rPr>
          <w:rFonts w:ascii="David" w:hAnsi="David" w:cs="David"/>
          <w:b/>
          <w:bCs/>
          <w:sz w:val="26"/>
          <w:szCs w:val="26"/>
        </w:rPr>
        <w:t xml:space="preserve"> </w:t>
      </w:r>
      <w:r w:rsidRPr="00964819">
        <w:rPr>
          <w:rFonts w:ascii="David" w:hAnsi="David" w:cs="David"/>
          <w:b/>
          <w:bCs/>
          <w:sz w:val="26"/>
          <w:szCs w:val="26"/>
          <w:rtl/>
        </w:rPr>
        <w:t>בע</w:t>
      </w:r>
      <w:r w:rsidRPr="00964819">
        <w:rPr>
          <w:rFonts w:ascii="David" w:hAnsi="David" w:cs="David"/>
          <w:b/>
          <w:bCs/>
          <w:sz w:val="26"/>
          <w:szCs w:val="26"/>
        </w:rPr>
        <w:t>"</w:t>
      </w:r>
      <w:r w:rsidRPr="00964819">
        <w:rPr>
          <w:rFonts w:ascii="David" w:hAnsi="David" w:cs="David"/>
          <w:b/>
          <w:bCs/>
          <w:sz w:val="26"/>
          <w:szCs w:val="26"/>
          <w:rtl/>
        </w:rPr>
        <w:t>מ</w:t>
      </w:r>
    </w:p>
    <w:p w14:paraId="5CFDBCF9" w14:textId="77777777" w:rsidR="006B5673" w:rsidRPr="00964819" w:rsidRDefault="00B362F4" w:rsidP="00D273C7">
      <w:pPr>
        <w:spacing w:line="240" w:lineRule="auto"/>
        <w:rPr>
          <w:rFonts w:ascii="David" w:hAnsi="David" w:cs="David"/>
          <w:i/>
          <w:iCs/>
          <w:sz w:val="26"/>
          <w:szCs w:val="26"/>
          <w:rtl/>
        </w:rPr>
      </w:pPr>
      <w:r w:rsidRPr="00964819">
        <w:rPr>
          <w:rFonts w:ascii="David" w:hAnsi="David" w:cs="David"/>
          <w:i/>
          <w:iCs/>
          <w:sz w:val="26"/>
          <w:szCs w:val="26"/>
          <w:rtl/>
        </w:rPr>
        <w:tab/>
      </w:r>
      <w:r w:rsidRPr="00964819">
        <w:rPr>
          <w:rFonts w:ascii="David" w:hAnsi="David" w:cs="David"/>
          <w:b/>
          <w:bCs/>
          <w:i/>
          <w:iCs/>
          <w:sz w:val="26"/>
          <w:szCs w:val="26"/>
          <w:rtl/>
        </w:rPr>
        <w:tab/>
      </w:r>
      <w:r w:rsidRPr="00964819">
        <w:rPr>
          <w:rFonts w:ascii="David" w:hAnsi="David" w:cs="David"/>
          <w:i/>
          <w:iCs/>
          <w:sz w:val="26"/>
          <w:szCs w:val="26"/>
          <w:rtl/>
        </w:rPr>
        <w:t>ע"י ב"כ עו"ד שי</w:t>
      </w:r>
      <w:r w:rsidRPr="00964819">
        <w:rPr>
          <w:rFonts w:ascii="David" w:hAnsi="David" w:cs="David"/>
          <w:i/>
          <w:iCs/>
          <w:sz w:val="26"/>
          <w:szCs w:val="26"/>
        </w:rPr>
        <w:t xml:space="preserve"> </w:t>
      </w:r>
      <w:r w:rsidRPr="00964819">
        <w:rPr>
          <w:rFonts w:ascii="David" w:hAnsi="David" w:cs="David"/>
          <w:i/>
          <w:iCs/>
          <w:sz w:val="26"/>
          <w:szCs w:val="26"/>
          <w:rtl/>
        </w:rPr>
        <w:t>דנן</w:t>
      </w:r>
    </w:p>
    <w:p w14:paraId="0D4779AC" w14:textId="77777777" w:rsidR="009A4911" w:rsidRPr="00964819" w:rsidRDefault="009A4911" w:rsidP="00354E67">
      <w:pPr>
        <w:spacing w:line="240" w:lineRule="auto"/>
        <w:rPr>
          <w:rFonts w:ascii="David" w:hAnsi="David" w:cs="David"/>
          <w:i/>
          <w:iCs/>
          <w:sz w:val="26"/>
          <w:szCs w:val="26"/>
          <w:rtl/>
        </w:rPr>
      </w:pPr>
      <w:r w:rsidRPr="00964819">
        <w:rPr>
          <w:rFonts w:ascii="David" w:hAnsi="David" w:cs="David"/>
          <w:i/>
          <w:iCs/>
          <w:sz w:val="26"/>
          <w:szCs w:val="26"/>
          <w:rtl/>
        </w:rPr>
        <w:tab/>
      </w:r>
      <w:r w:rsidRPr="00964819">
        <w:rPr>
          <w:rFonts w:ascii="David" w:hAnsi="David" w:cs="David"/>
          <w:i/>
          <w:iCs/>
          <w:sz w:val="26"/>
          <w:szCs w:val="26"/>
          <w:rtl/>
        </w:rPr>
        <w:tab/>
        <w:t>וע"י השמאי מר יעקב</w:t>
      </w:r>
      <w:r w:rsidRPr="00964819">
        <w:rPr>
          <w:rFonts w:ascii="David" w:hAnsi="David" w:cs="David"/>
          <w:i/>
          <w:iCs/>
          <w:sz w:val="26"/>
          <w:szCs w:val="26"/>
        </w:rPr>
        <w:t xml:space="preserve"> </w:t>
      </w:r>
      <w:r w:rsidRPr="00964819">
        <w:rPr>
          <w:rFonts w:ascii="David" w:hAnsi="David" w:cs="David"/>
          <w:i/>
          <w:iCs/>
          <w:sz w:val="26"/>
          <w:szCs w:val="26"/>
          <w:rtl/>
        </w:rPr>
        <w:t>בירנבאום</w:t>
      </w:r>
    </w:p>
    <w:p w14:paraId="0A136D77" w14:textId="77777777" w:rsidR="00991D54" w:rsidRPr="00964819" w:rsidRDefault="00991D54" w:rsidP="00D273C7">
      <w:pPr>
        <w:spacing w:line="240" w:lineRule="auto"/>
        <w:rPr>
          <w:rFonts w:ascii="David" w:hAnsi="David" w:cs="David"/>
          <w:b/>
          <w:bCs/>
          <w:sz w:val="26"/>
          <w:szCs w:val="26"/>
          <w:rtl/>
        </w:rPr>
      </w:pPr>
      <w:r w:rsidRPr="00964819">
        <w:rPr>
          <w:rFonts w:ascii="David" w:hAnsi="David" w:cs="David"/>
          <w:b/>
          <w:bCs/>
          <w:sz w:val="26"/>
          <w:szCs w:val="26"/>
          <w:rtl/>
        </w:rPr>
        <w:tab/>
      </w:r>
      <w:r w:rsidRPr="00964819">
        <w:rPr>
          <w:rFonts w:ascii="David" w:hAnsi="David" w:cs="David"/>
          <w:b/>
          <w:bCs/>
          <w:sz w:val="26"/>
          <w:szCs w:val="26"/>
          <w:rtl/>
        </w:rPr>
        <w:tab/>
        <w:t>2. סלעית</w:t>
      </w:r>
      <w:r w:rsidRPr="00964819">
        <w:rPr>
          <w:rFonts w:ascii="David" w:hAnsi="David" w:cs="David"/>
          <w:b/>
          <w:bCs/>
          <w:sz w:val="26"/>
          <w:szCs w:val="26"/>
        </w:rPr>
        <w:t xml:space="preserve"> </w:t>
      </w:r>
      <w:r w:rsidRPr="00964819">
        <w:rPr>
          <w:rFonts w:ascii="David" w:hAnsi="David" w:cs="David"/>
          <w:b/>
          <w:bCs/>
          <w:sz w:val="26"/>
          <w:szCs w:val="26"/>
          <w:rtl/>
        </w:rPr>
        <w:t>א</w:t>
      </w:r>
      <w:r w:rsidRPr="00964819">
        <w:rPr>
          <w:rFonts w:ascii="David" w:hAnsi="David" w:cs="David"/>
          <w:b/>
          <w:bCs/>
          <w:sz w:val="26"/>
          <w:szCs w:val="26"/>
        </w:rPr>
        <w:t>.</w:t>
      </w:r>
      <w:r w:rsidRPr="00964819">
        <w:rPr>
          <w:rFonts w:ascii="David" w:hAnsi="David" w:cs="David"/>
          <w:b/>
          <w:bCs/>
          <w:sz w:val="26"/>
          <w:szCs w:val="26"/>
          <w:rtl/>
        </w:rPr>
        <w:t>י</w:t>
      </w:r>
      <w:r w:rsidRPr="00964819">
        <w:rPr>
          <w:rFonts w:ascii="David" w:hAnsi="David" w:cs="David"/>
          <w:b/>
          <w:bCs/>
          <w:sz w:val="26"/>
          <w:szCs w:val="26"/>
        </w:rPr>
        <w:t>.</w:t>
      </w:r>
      <w:r w:rsidRPr="00964819">
        <w:rPr>
          <w:rFonts w:ascii="David" w:hAnsi="David" w:cs="David"/>
          <w:b/>
          <w:bCs/>
          <w:sz w:val="26"/>
          <w:szCs w:val="26"/>
          <w:rtl/>
        </w:rPr>
        <w:t>ש</w:t>
      </w:r>
      <w:r w:rsidRPr="00964819">
        <w:rPr>
          <w:rFonts w:ascii="David" w:hAnsi="David" w:cs="David"/>
          <w:b/>
          <w:bCs/>
          <w:sz w:val="26"/>
          <w:szCs w:val="26"/>
        </w:rPr>
        <w:t xml:space="preserve"> </w:t>
      </w:r>
      <w:r w:rsidRPr="00964819">
        <w:rPr>
          <w:rFonts w:ascii="David" w:hAnsi="David" w:cs="David"/>
          <w:b/>
          <w:bCs/>
          <w:sz w:val="26"/>
          <w:szCs w:val="26"/>
          <w:rtl/>
        </w:rPr>
        <w:t>בע</w:t>
      </w:r>
      <w:r w:rsidRPr="00964819">
        <w:rPr>
          <w:rFonts w:ascii="David" w:hAnsi="David" w:cs="David"/>
          <w:b/>
          <w:bCs/>
          <w:sz w:val="26"/>
          <w:szCs w:val="26"/>
        </w:rPr>
        <w:t>"</w:t>
      </w:r>
      <w:r w:rsidRPr="00964819">
        <w:rPr>
          <w:rFonts w:ascii="David" w:hAnsi="David" w:cs="David"/>
          <w:b/>
          <w:bCs/>
          <w:sz w:val="26"/>
          <w:szCs w:val="26"/>
          <w:rtl/>
        </w:rPr>
        <w:t>מ</w:t>
      </w:r>
    </w:p>
    <w:p w14:paraId="265B27A1" w14:textId="77777777" w:rsidR="00991D54" w:rsidRPr="00964819" w:rsidRDefault="00991D54" w:rsidP="00991D54">
      <w:pPr>
        <w:spacing w:line="240" w:lineRule="auto"/>
        <w:rPr>
          <w:rFonts w:ascii="David" w:hAnsi="David" w:cs="David"/>
          <w:i/>
          <w:iCs/>
          <w:sz w:val="26"/>
          <w:szCs w:val="26"/>
          <w:rtl/>
        </w:rPr>
      </w:pPr>
      <w:r w:rsidRPr="00964819">
        <w:rPr>
          <w:rFonts w:ascii="David" w:hAnsi="David" w:cs="David"/>
          <w:i/>
          <w:iCs/>
          <w:sz w:val="26"/>
          <w:szCs w:val="26"/>
          <w:rtl/>
        </w:rPr>
        <w:tab/>
      </w:r>
      <w:r w:rsidRPr="00964819">
        <w:rPr>
          <w:rFonts w:ascii="David" w:hAnsi="David" w:cs="David"/>
          <w:b/>
          <w:bCs/>
          <w:i/>
          <w:iCs/>
          <w:sz w:val="26"/>
          <w:szCs w:val="26"/>
          <w:rtl/>
        </w:rPr>
        <w:tab/>
      </w:r>
      <w:r w:rsidRPr="00964819">
        <w:rPr>
          <w:rFonts w:ascii="David" w:hAnsi="David" w:cs="David"/>
          <w:i/>
          <w:iCs/>
          <w:sz w:val="26"/>
          <w:szCs w:val="26"/>
          <w:rtl/>
        </w:rPr>
        <w:t>ע"י ב"כ עו"ד שי</w:t>
      </w:r>
      <w:r w:rsidRPr="00964819">
        <w:rPr>
          <w:rFonts w:ascii="David" w:hAnsi="David" w:cs="David"/>
          <w:i/>
          <w:iCs/>
          <w:sz w:val="26"/>
          <w:szCs w:val="26"/>
        </w:rPr>
        <w:t xml:space="preserve"> </w:t>
      </w:r>
      <w:r w:rsidRPr="00964819">
        <w:rPr>
          <w:rFonts w:ascii="David" w:hAnsi="David" w:cs="David"/>
          <w:i/>
          <w:iCs/>
          <w:sz w:val="26"/>
          <w:szCs w:val="26"/>
          <w:rtl/>
        </w:rPr>
        <w:t>דנן</w:t>
      </w:r>
    </w:p>
    <w:p w14:paraId="120C0436" w14:textId="77777777" w:rsidR="009A4911" w:rsidRPr="00964819" w:rsidRDefault="009A4911" w:rsidP="00991D54">
      <w:pPr>
        <w:spacing w:line="240" w:lineRule="auto"/>
        <w:rPr>
          <w:rFonts w:ascii="David" w:hAnsi="David" w:cs="David"/>
          <w:i/>
          <w:iCs/>
          <w:sz w:val="26"/>
          <w:szCs w:val="26"/>
          <w:rtl/>
        </w:rPr>
      </w:pPr>
    </w:p>
    <w:p w14:paraId="720A5259" w14:textId="77777777" w:rsidR="00C66618" w:rsidRPr="00964819" w:rsidRDefault="00C66618" w:rsidP="00D273C7">
      <w:pPr>
        <w:spacing w:line="240" w:lineRule="auto"/>
        <w:rPr>
          <w:rFonts w:ascii="David" w:hAnsi="David" w:cs="David"/>
          <w:b/>
          <w:bCs/>
          <w:sz w:val="26"/>
          <w:szCs w:val="26"/>
          <w:rtl/>
        </w:rPr>
      </w:pPr>
      <w:r w:rsidRPr="00964819">
        <w:rPr>
          <w:rFonts w:ascii="David" w:hAnsi="David" w:cs="David"/>
          <w:b/>
          <w:bCs/>
          <w:sz w:val="26"/>
          <w:szCs w:val="26"/>
          <w:rtl/>
        </w:rPr>
        <w:t xml:space="preserve">                                            -נגד-</w:t>
      </w:r>
    </w:p>
    <w:p w14:paraId="11060C28" w14:textId="77777777" w:rsidR="00674401" w:rsidRPr="00964819" w:rsidRDefault="00674401" w:rsidP="00D273C7">
      <w:pPr>
        <w:spacing w:line="240" w:lineRule="auto"/>
        <w:rPr>
          <w:rFonts w:ascii="David" w:hAnsi="David" w:cs="David"/>
          <w:b/>
          <w:bCs/>
          <w:sz w:val="26"/>
          <w:szCs w:val="26"/>
          <w:rtl/>
        </w:rPr>
      </w:pPr>
    </w:p>
    <w:p w14:paraId="300D1CB2" w14:textId="77777777" w:rsidR="00D273C7" w:rsidRPr="00964819" w:rsidRDefault="00991D54" w:rsidP="00991D54">
      <w:pPr>
        <w:rPr>
          <w:rFonts w:ascii="David" w:hAnsi="David" w:cs="David"/>
          <w:sz w:val="26"/>
          <w:szCs w:val="26"/>
          <w:rtl/>
        </w:rPr>
      </w:pPr>
      <w:r w:rsidRPr="00964819">
        <w:rPr>
          <w:rFonts w:ascii="David" w:hAnsi="David" w:cs="David"/>
          <w:b/>
          <w:bCs/>
          <w:sz w:val="26"/>
          <w:szCs w:val="26"/>
          <w:rtl/>
        </w:rPr>
        <w:t>המשיבים:</w:t>
      </w:r>
      <w:r w:rsidRPr="00964819">
        <w:rPr>
          <w:rFonts w:ascii="David" w:hAnsi="David" w:cs="David"/>
          <w:sz w:val="26"/>
          <w:szCs w:val="26"/>
          <w:rtl/>
        </w:rPr>
        <w:tab/>
      </w:r>
      <w:r w:rsidRPr="00964819">
        <w:rPr>
          <w:rFonts w:ascii="David" w:hAnsi="David" w:cs="David"/>
          <w:b/>
          <w:bCs/>
          <w:sz w:val="26"/>
          <w:szCs w:val="26"/>
          <w:rtl/>
        </w:rPr>
        <w:t>1. הוועדה המקומית לתכנון ולבנייה שרונים</w:t>
      </w:r>
    </w:p>
    <w:p w14:paraId="02129B0E" w14:textId="77777777" w:rsidR="00991D54" w:rsidRPr="00964819" w:rsidRDefault="00991D54" w:rsidP="00991D54">
      <w:pPr>
        <w:spacing w:line="240" w:lineRule="auto"/>
        <w:rPr>
          <w:rFonts w:ascii="David" w:hAnsi="David" w:cs="David"/>
          <w:i/>
          <w:iCs/>
          <w:sz w:val="26"/>
          <w:szCs w:val="26"/>
          <w:rtl/>
        </w:rPr>
      </w:pPr>
      <w:r w:rsidRPr="00964819">
        <w:rPr>
          <w:rFonts w:ascii="David" w:hAnsi="David" w:cs="David"/>
          <w:i/>
          <w:iCs/>
          <w:sz w:val="26"/>
          <w:szCs w:val="26"/>
          <w:rtl/>
        </w:rPr>
        <w:tab/>
      </w:r>
      <w:r w:rsidRPr="00964819">
        <w:rPr>
          <w:rFonts w:ascii="David" w:hAnsi="David" w:cs="David"/>
          <w:b/>
          <w:bCs/>
          <w:i/>
          <w:iCs/>
          <w:sz w:val="26"/>
          <w:szCs w:val="26"/>
          <w:rtl/>
        </w:rPr>
        <w:tab/>
      </w:r>
      <w:r w:rsidRPr="00964819">
        <w:rPr>
          <w:rFonts w:ascii="David" w:hAnsi="David" w:cs="David"/>
          <w:i/>
          <w:iCs/>
          <w:sz w:val="26"/>
          <w:szCs w:val="26"/>
          <w:rtl/>
        </w:rPr>
        <w:t>ע"י ב"כ עו"ד עדי</w:t>
      </w:r>
      <w:r w:rsidRPr="00964819">
        <w:rPr>
          <w:rFonts w:ascii="David" w:hAnsi="David" w:cs="David"/>
          <w:i/>
          <w:iCs/>
          <w:sz w:val="26"/>
          <w:szCs w:val="26"/>
        </w:rPr>
        <w:t xml:space="preserve"> </w:t>
      </w:r>
      <w:r w:rsidRPr="00964819">
        <w:rPr>
          <w:rFonts w:ascii="David" w:hAnsi="David" w:cs="David"/>
          <w:i/>
          <w:iCs/>
          <w:sz w:val="26"/>
          <w:szCs w:val="26"/>
          <w:rtl/>
        </w:rPr>
        <w:t>עדני</w:t>
      </w:r>
    </w:p>
    <w:p w14:paraId="1ED31904" w14:textId="77777777" w:rsidR="009A4911" w:rsidRPr="00964819" w:rsidRDefault="009A4911" w:rsidP="009A4911">
      <w:pPr>
        <w:spacing w:line="240" w:lineRule="auto"/>
        <w:rPr>
          <w:rFonts w:ascii="David" w:hAnsi="David" w:cs="David"/>
          <w:i/>
          <w:iCs/>
          <w:sz w:val="26"/>
          <w:szCs w:val="26"/>
          <w:rtl/>
        </w:rPr>
      </w:pPr>
      <w:r w:rsidRPr="00964819">
        <w:rPr>
          <w:rFonts w:ascii="David" w:hAnsi="David" w:cs="David"/>
          <w:i/>
          <w:iCs/>
          <w:sz w:val="26"/>
          <w:szCs w:val="26"/>
          <w:rtl/>
        </w:rPr>
        <w:tab/>
      </w:r>
      <w:r w:rsidRPr="00964819">
        <w:rPr>
          <w:rFonts w:ascii="David" w:hAnsi="David" w:cs="David"/>
          <w:i/>
          <w:iCs/>
          <w:sz w:val="26"/>
          <w:szCs w:val="26"/>
          <w:rtl/>
        </w:rPr>
        <w:tab/>
        <w:t>וע"י השמאי מר גדעון</w:t>
      </w:r>
      <w:r w:rsidRPr="00964819">
        <w:rPr>
          <w:rFonts w:ascii="David" w:hAnsi="David" w:cs="David"/>
          <w:i/>
          <w:iCs/>
          <w:sz w:val="26"/>
          <w:szCs w:val="26"/>
        </w:rPr>
        <w:t xml:space="preserve"> </w:t>
      </w:r>
      <w:r w:rsidRPr="00964819">
        <w:rPr>
          <w:rFonts w:ascii="David" w:hAnsi="David" w:cs="David"/>
          <w:i/>
          <w:iCs/>
          <w:sz w:val="26"/>
          <w:szCs w:val="26"/>
          <w:rtl/>
        </w:rPr>
        <w:t>קרול</w:t>
      </w:r>
    </w:p>
    <w:p w14:paraId="23737963" w14:textId="77777777" w:rsidR="00BF31C0" w:rsidRPr="00964819" w:rsidRDefault="00BF31C0" w:rsidP="00BF31C0">
      <w:pPr>
        <w:ind w:left="1440" w:hanging="1440"/>
        <w:rPr>
          <w:rFonts w:ascii="David" w:hAnsi="David" w:cs="David"/>
          <w:sz w:val="26"/>
          <w:szCs w:val="26"/>
        </w:rPr>
      </w:pPr>
    </w:p>
    <w:p w14:paraId="200487A9" w14:textId="77777777" w:rsidR="00BF31C0" w:rsidRPr="00F72B55" w:rsidRDefault="00BF31C0" w:rsidP="00BF31C0">
      <w:pPr>
        <w:rPr>
          <w:rFonts w:cs="David"/>
          <w:b/>
          <w:bCs/>
          <w:sz w:val="26"/>
          <w:szCs w:val="26"/>
          <w:rtl/>
        </w:rPr>
      </w:pPr>
      <w:r>
        <w:rPr>
          <w:rFonts w:cs="David" w:hint="cs"/>
          <w:b/>
          <w:bCs/>
          <w:sz w:val="26"/>
          <w:szCs w:val="26"/>
          <w:rtl/>
        </w:rPr>
        <w:t xml:space="preserve">כתובת הנכס: אליכין  </w:t>
      </w:r>
    </w:p>
    <w:p w14:paraId="68D516D0" w14:textId="77777777" w:rsidR="00BF31C0" w:rsidRPr="00F72B55" w:rsidRDefault="00BF31C0" w:rsidP="00BF31C0">
      <w:pPr>
        <w:rPr>
          <w:rFonts w:cs="David"/>
          <w:b/>
          <w:bCs/>
          <w:sz w:val="26"/>
          <w:szCs w:val="26"/>
          <w:rtl/>
        </w:rPr>
      </w:pPr>
      <w:r>
        <w:rPr>
          <w:rFonts w:cs="David" w:hint="cs"/>
          <w:b/>
          <w:bCs/>
          <w:sz w:val="26"/>
          <w:szCs w:val="26"/>
          <w:rtl/>
        </w:rPr>
        <w:t>גוש וחלקה: גוש 10039, חלקות (חלק) 12, 16, 26</w:t>
      </w:r>
    </w:p>
    <w:p w14:paraId="51D92126" w14:textId="77777777" w:rsidR="00BF31C0" w:rsidRPr="00F72B55" w:rsidRDefault="00BF31C0" w:rsidP="00BF31C0">
      <w:pPr>
        <w:rPr>
          <w:rFonts w:cs="David"/>
          <w:b/>
          <w:bCs/>
          <w:sz w:val="26"/>
          <w:szCs w:val="26"/>
          <w:rtl/>
        </w:rPr>
      </w:pPr>
      <w:r>
        <w:rPr>
          <w:rFonts w:cs="David" w:hint="cs"/>
          <w:b/>
          <w:bCs/>
          <w:sz w:val="26"/>
          <w:szCs w:val="26"/>
          <w:rtl/>
        </w:rPr>
        <w:t>תאריך הדיון: 24.6.2025</w:t>
      </w:r>
    </w:p>
    <w:p w14:paraId="11D984C0" w14:textId="77777777" w:rsidR="00BF31C0" w:rsidRDefault="00BF31C0" w:rsidP="00F46766">
      <w:pPr>
        <w:spacing w:line="360" w:lineRule="auto"/>
        <w:jc w:val="center"/>
        <w:rPr>
          <w:rFonts w:cs="David"/>
          <w:szCs w:val="24"/>
          <w:rtl/>
        </w:rPr>
      </w:pPr>
    </w:p>
    <w:p w14:paraId="60C67A56" w14:textId="77777777" w:rsidR="00325716" w:rsidRPr="00F46766" w:rsidRDefault="00C66618" w:rsidP="00F46766">
      <w:pPr>
        <w:spacing w:line="360" w:lineRule="auto"/>
        <w:jc w:val="center"/>
        <w:rPr>
          <w:rFonts w:cs="David"/>
          <w:b/>
          <w:bCs/>
          <w:sz w:val="32"/>
          <w:szCs w:val="32"/>
          <w:u w:val="single"/>
          <w:rtl/>
        </w:rPr>
      </w:pPr>
      <w:r>
        <w:rPr>
          <w:rFonts w:cs="David" w:hint="cs"/>
          <w:b/>
          <w:bCs/>
          <w:sz w:val="32"/>
          <w:szCs w:val="32"/>
          <w:u w:val="single"/>
          <w:rtl/>
        </w:rPr>
        <w:t>החלטה</w:t>
      </w:r>
    </w:p>
    <w:p w14:paraId="3950251C" w14:textId="77777777" w:rsidR="00C24698" w:rsidRDefault="003937E2">
      <w:pPr>
        <w:spacing w:after="120" w:line="360" w:lineRule="auto"/>
        <w:ind w:firstLine="43"/>
        <w:jc w:val="both"/>
        <w:rPr>
          <w:rFonts w:cs="David"/>
          <w:b/>
          <w:bCs/>
          <w:sz w:val="26"/>
          <w:szCs w:val="26"/>
          <w:u w:val="single"/>
        </w:rPr>
      </w:pPr>
      <w:r>
        <w:rPr>
          <w:rFonts w:cs="David"/>
          <w:b/>
          <w:bCs/>
          <w:sz w:val="26"/>
          <w:szCs w:val="26"/>
          <w:u w:val="single"/>
          <w:rtl/>
        </w:rPr>
        <w:t>רקע כללי</w:t>
      </w:r>
    </w:p>
    <w:p w14:paraId="52AC8447" w14:textId="77777777" w:rsidR="000D313D" w:rsidRDefault="000D313D" w:rsidP="000D313D">
      <w:pPr>
        <w:pStyle w:val="af1"/>
        <w:numPr>
          <w:ilvl w:val="0"/>
          <w:numId w:val="1"/>
        </w:numPr>
        <w:spacing w:after="120" w:line="360" w:lineRule="auto"/>
        <w:ind w:left="470" w:right="-142" w:hanging="425"/>
        <w:contextualSpacing w:val="0"/>
        <w:jc w:val="both"/>
        <w:rPr>
          <w:rFonts w:cs="David"/>
          <w:sz w:val="24"/>
          <w:szCs w:val="24"/>
        </w:rPr>
      </w:pPr>
      <w:r>
        <w:rPr>
          <w:rFonts w:cs="David" w:hint="cs"/>
          <w:sz w:val="24"/>
          <w:szCs w:val="24"/>
          <w:rtl/>
        </w:rPr>
        <w:t>בפנינו עררים שהוגשו על ארבע שומות מכריעות שערכו כב' השמאים המכריעים מר גיל הרצברג ומר מרדכי דדון (להלן: "</w:t>
      </w:r>
      <w:r w:rsidRPr="000D313D">
        <w:rPr>
          <w:rFonts w:cs="David" w:hint="cs"/>
          <w:b/>
          <w:bCs/>
          <w:sz w:val="24"/>
          <w:szCs w:val="24"/>
          <w:rtl/>
        </w:rPr>
        <w:t>השמאים המכריעים</w:t>
      </w:r>
      <w:r>
        <w:rPr>
          <w:rFonts w:cs="David" w:hint="cs"/>
          <w:sz w:val="24"/>
          <w:szCs w:val="24"/>
          <w:rtl/>
        </w:rPr>
        <w:t>"</w:t>
      </w:r>
      <w:r w:rsidR="00EF278B">
        <w:rPr>
          <w:rFonts w:cs="David" w:hint="cs"/>
          <w:sz w:val="24"/>
          <w:szCs w:val="24"/>
          <w:rtl/>
        </w:rPr>
        <w:t>, "</w:t>
      </w:r>
      <w:r w:rsidR="00EF278B" w:rsidRPr="00EF278B">
        <w:rPr>
          <w:rFonts w:cs="David" w:hint="cs"/>
          <w:b/>
          <w:bCs/>
          <w:sz w:val="24"/>
          <w:szCs w:val="24"/>
          <w:rtl/>
        </w:rPr>
        <w:t>הרצברג</w:t>
      </w:r>
      <w:r w:rsidR="00EF278B">
        <w:rPr>
          <w:rFonts w:cs="David" w:hint="cs"/>
          <w:sz w:val="24"/>
          <w:szCs w:val="24"/>
          <w:rtl/>
        </w:rPr>
        <w:t>" ו"</w:t>
      </w:r>
      <w:r w:rsidR="00EF278B" w:rsidRPr="00EF278B">
        <w:rPr>
          <w:rFonts w:cs="David" w:hint="cs"/>
          <w:b/>
          <w:bCs/>
          <w:sz w:val="24"/>
          <w:szCs w:val="24"/>
          <w:rtl/>
        </w:rPr>
        <w:t>דדון</w:t>
      </w:r>
      <w:r w:rsidR="00EF278B">
        <w:rPr>
          <w:rFonts w:cs="David" w:hint="cs"/>
          <w:sz w:val="24"/>
          <w:szCs w:val="24"/>
          <w:rtl/>
        </w:rPr>
        <w:t>", בהתאמה</w:t>
      </w:r>
      <w:r>
        <w:rPr>
          <w:rFonts w:cs="David" w:hint="cs"/>
          <w:sz w:val="24"/>
          <w:szCs w:val="24"/>
          <w:rtl/>
        </w:rPr>
        <w:t xml:space="preserve">), </w:t>
      </w:r>
      <w:r>
        <w:rPr>
          <w:rFonts w:cs="David"/>
          <w:sz w:val="24"/>
          <w:szCs w:val="24"/>
          <w:rtl/>
        </w:rPr>
        <w:t>אשר מונו בהתאם לסעיף 14(ב)(2) לתוספת השלישית לחוק התכנון והבנייה, התשכ"ה - 1965 (להלן: "</w:t>
      </w:r>
      <w:r w:rsidRPr="000D313D">
        <w:rPr>
          <w:rFonts w:cs="David"/>
          <w:b/>
          <w:bCs/>
          <w:sz w:val="24"/>
          <w:szCs w:val="24"/>
          <w:rtl/>
        </w:rPr>
        <w:t>החוק</w:t>
      </w:r>
      <w:r>
        <w:rPr>
          <w:rFonts w:cs="David"/>
          <w:sz w:val="24"/>
          <w:szCs w:val="24"/>
          <w:rtl/>
        </w:rPr>
        <w:t xml:space="preserve">"), להכריע </w:t>
      </w:r>
      <w:r>
        <w:rPr>
          <w:rFonts w:cs="David"/>
          <w:sz w:val="24"/>
          <w:szCs w:val="24"/>
          <w:rtl/>
        </w:rPr>
        <w:lastRenderedPageBreak/>
        <w:t>במחלוק</w:t>
      </w:r>
      <w:r>
        <w:rPr>
          <w:rFonts w:cs="David" w:hint="cs"/>
          <w:sz w:val="24"/>
          <w:szCs w:val="24"/>
          <w:rtl/>
        </w:rPr>
        <w:t>ו</w:t>
      </w:r>
      <w:r>
        <w:rPr>
          <w:rFonts w:cs="David"/>
          <w:sz w:val="24"/>
          <w:szCs w:val="24"/>
          <w:rtl/>
        </w:rPr>
        <w:t>ת בנוגע ל</w:t>
      </w:r>
      <w:r>
        <w:rPr>
          <w:rFonts w:cs="David" w:hint="cs"/>
          <w:sz w:val="24"/>
          <w:szCs w:val="24"/>
          <w:rtl/>
        </w:rPr>
        <w:t xml:space="preserve">חיובי </w:t>
      </w:r>
      <w:r>
        <w:rPr>
          <w:rFonts w:cs="David"/>
          <w:sz w:val="24"/>
          <w:szCs w:val="24"/>
          <w:rtl/>
        </w:rPr>
        <w:t xml:space="preserve">היטל ההשבחה </w:t>
      </w:r>
      <w:r>
        <w:rPr>
          <w:rFonts w:cs="David" w:hint="cs"/>
          <w:sz w:val="24"/>
          <w:szCs w:val="24"/>
          <w:rtl/>
        </w:rPr>
        <w:t xml:space="preserve">החלים על </w:t>
      </w:r>
      <w:r>
        <w:rPr>
          <w:rFonts w:cs="David"/>
          <w:sz w:val="24"/>
          <w:szCs w:val="24"/>
          <w:rtl/>
        </w:rPr>
        <w:t>המקרקעין הידועים כגוש 10039 חלקות (חלק) 12, 16, 26 באליכין (להלן: "</w:t>
      </w:r>
      <w:r w:rsidRPr="000D313D">
        <w:rPr>
          <w:rFonts w:cs="David"/>
          <w:b/>
          <w:bCs/>
          <w:sz w:val="24"/>
          <w:szCs w:val="24"/>
          <w:rtl/>
        </w:rPr>
        <w:t>המקרקעין</w:t>
      </w:r>
      <w:r>
        <w:rPr>
          <w:rFonts w:cs="David"/>
          <w:sz w:val="24"/>
          <w:szCs w:val="24"/>
          <w:rtl/>
        </w:rPr>
        <w:t>"</w:t>
      </w:r>
      <w:r>
        <w:rPr>
          <w:rFonts w:cs="David" w:hint="cs"/>
          <w:sz w:val="24"/>
          <w:szCs w:val="24"/>
          <w:rtl/>
        </w:rPr>
        <w:t>):</w:t>
      </w:r>
    </w:p>
    <w:p w14:paraId="3F5B8138" w14:textId="77777777" w:rsidR="000D313D" w:rsidRDefault="000D313D" w:rsidP="000D313D">
      <w:pPr>
        <w:pStyle w:val="af1"/>
        <w:spacing w:after="120" w:line="360" w:lineRule="auto"/>
        <w:ind w:left="470" w:right="-142"/>
        <w:contextualSpacing w:val="0"/>
        <w:jc w:val="both"/>
        <w:rPr>
          <w:rFonts w:cs="David"/>
          <w:sz w:val="24"/>
          <w:szCs w:val="24"/>
          <w:rtl/>
        </w:rPr>
      </w:pPr>
      <w:r>
        <w:rPr>
          <w:rFonts w:cs="David"/>
          <w:sz w:val="24"/>
          <w:szCs w:val="24"/>
          <w:rtl/>
        </w:rPr>
        <w:t xml:space="preserve">ערר </w:t>
      </w:r>
      <w:r>
        <w:rPr>
          <w:rFonts w:cs="David" w:hint="cs"/>
          <w:sz w:val="24"/>
          <w:szCs w:val="24"/>
          <w:rtl/>
        </w:rPr>
        <w:t>8071/1221 הוגש על ידי חברת אפי קפיטל אחזקות בע"מ (להלן: "</w:t>
      </w:r>
      <w:r w:rsidRPr="000D313D">
        <w:rPr>
          <w:rFonts w:cs="David" w:hint="cs"/>
          <w:b/>
          <w:bCs/>
          <w:sz w:val="24"/>
          <w:szCs w:val="24"/>
          <w:rtl/>
        </w:rPr>
        <w:t>אפי קפיטל</w:t>
      </w:r>
      <w:r>
        <w:rPr>
          <w:rFonts w:cs="David" w:hint="cs"/>
          <w:sz w:val="24"/>
          <w:szCs w:val="24"/>
          <w:rtl/>
        </w:rPr>
        <w:t>")</w:t>
      </w:r>
      <w:r>
        <w:rPr>
          <w:rFonts w:cs="David"/>
          <w:sz w:val="24"/>
          <w:szCs w:val="24"/>
        </w:rPr>
        <w:t xml:space="preserve"> </w:t>
      </w:r>
      <w:r>
        <w:rPr>
          <w:rFonts w:cs="David" w:hint="cs"/>
          <w:sz w:val="24"/>
          <w:szCs w:val="24"/>
          <w:rtl/>
        </w:rPr>
        <w:t>ביחס ל</w:t>
      </w:r>
      <w:r>
        <w:rPr>
          <w:rFonts w:cs="David"/>
          <w:sz w:val="24"/>
          <w:szCs w:val="24"/>
          <w:rtl/>
        </w:rPr>
        <w:t xml:space="preserve">שומה מכרעת </w:t>
      </w:r>
      <w:r>
        <w:rPr>
          <w:rFonts w:cs="David" w:hint="cs"/>
          <w:sz w:val="24"/>
          <w:szCs w:val="24"/>
          <w:rtl/>
        </w:rPr>
        <w:t>שערך מר גיל הרצברג ב</w:t>
      </w:r>
      <w:r>
        <w:rPr>
          <w:rFonts w:cs="David"/>
          <w:sz w:val="24"/>
          <w:szCs w:val="24"/>
          <w:rtl/>
        </w:rPr>
        <w:t>יום</w:t>
      </w:r>
      <w:r>
        <w:rPr>
          <w:rFonts w:cs="David" w:hint="cs"/>
          <w:sz w:val="24"/>
          <w:szCs w:val="24"/>
          <w:rtl/>
        </w:rPr>
        <w:t xml:space="preserve"> 16.8.2021 (להלן: "</w:t>
      </w:r>
      <w:r w:rsidRPr="000D313D">
        <w:rPr>
          <w:rFonts w:cs="David" w:hint="cs"/>
          <w:b/>
          <w:bCs/>
          <w:sz w:val="24"/>
          <w:szCs w:val="24"/>
          <w:rtl/>
        </w:rPr>
        <w:t>שומ</w:t>
      </w:r>
      <w:r w:rsidR="00451D91">
        <w:rPr>
          <w:rFonts w:cs="David" w:hint="cs"/>
          <w:b/>
          <w:bCs/>
          <w:sz w:val="24"/>
          <w:szCs w:val="24"/>
          <w:rtl/>
        </w:rPr>
        <w:t>ה מכר</w:t>
      </w:r>
      <w:r w:rsidR="00DC29C5">
        <w:rPr>
          <w:rFonts w:cs="David" w:hint="cs"/>
          <w:b/>
          <w:bCs/>
          <w:sz w:val="24"/>
          <w:szCs w:val="24"/>
          <w:rtl/>
        </w:rPr>
        <w:t xml:space="preserve">עת </w:t>
      </w:r>
      <w:r w:rsidRPr="000D313D">
        <w:rPr>
          <w:rFonts w:cs="David" w:hint="cs"/>
          <w:b/>
          <w:bCs/>
          <w:sz w:val="24"/>
          <w:szCs w:val="24"/>
          <w:rtl/>
        </w:rPr>
        <w:t xml:space="preserve">אפי קפיטל </w:t>
      </w:r>
      <w:r w:rsidR="00EF278B">
        <w:rPr>
          <w:rFonts w:cs="David" w:hint="cs"/>
          <w:b/>
          <w:bCs/>
          <w:sz w:val="24"/>
          <w:szCs w:val="24"/>
          <w:rtl/>
        </w:rPr>
        <w:t>2021</w:t>
      </w:r>
      <w:r>
        <w:rPr>
          <w:rFonts w:cs="David" w:hint="cs"/>
          <w:sz w:val="24"/>
          <w:szCs w:val="24"/>
          <w:rtl/>
        </w:rPr>
        <w:t>");</w:t>
      </w:r>
    </w:p>
    <w:p w14:paraId="34790AA0" w14:textId="77777777" w:rsidR="000D313D" w:rsidRDefault="000D313D" w:rsidP="000D313D">
      <w:pPr>
        <w:pStyle w:val="af1"/>
        <w:spacing w:after="120" w:line="360" w:lineRule="auto"/>
        <w:ind w:left="470" w:right="-142"/>
        <w:contextualSpacing w:val="0"/>
        <w:jc w:val="both"/>
        <w:rPr>
          <w:rFonts w:cs="David"/>
          <w:sz w:val="24"/>
          <w:szCs w:val="24"/>
          <w:rtl/>
        </w:rPr>
      </w:pPr>
      <w:r>
        <w:rPr>
          <w:rFonts w:cs="David"/>
          <w:sz w:val="24"/>
          <w:szCs w:val="24"/>
          <w:rtl/>
        </w:rPr>
        <w:t xml:space="preserve">ערר </w:t>
      </w:r>
      <w:r>
        <w:rPr>
          <w:rFonts w:cs="David" w:hint="cs"/>
          <w:sz w:val="24"/>
          <w:szCs w:val="24"/>
          <w:rtl/>
        </w:rPr>
        <w:t>8072/1221 הוגש על ידי חברת סלעית א.י.ש בע"מ (להלן: "</w:t>
      </w:r>
      <w:r>
        <w:rPr>
          <w:rFonts w:cs="David" w:hint="cs"/>
          <w:b/>
          <w:bCs/>
          <w:sz w:val="24"/>
          <w:szCs w:val="24"/>
          <w:rtl/>
        </w:rPr>
        <w:t>סלעית</w:t>
      </w:r>
      <w:r>
        <w:rPr>
          <w:rFonts w:cs="David" w:hint="cs"/>
          <w:sz w:val="24"/>
          <w:szCs w:val="24"/>
          <w:rtl/>
        </w:rPr>
        <w:t>")</w:t>
      </w:r>
      <w:r>
        <w:rPr>
          <w:rFonts w:cs="David"/>
          <w:sz w:val="24"/>
          <w:szCs w:val="24"/>
        </w:rPr>
        <w:t xml:space="preserve"> </w:t>
      </w:r>
      <w:r>
        <w:rPr>
          <w:rFonts w:cs="David" w:hint="cs"/>
          <w:sz w:val="24"/>
          <w:szCs w:val="24"/>
          <w:rtl/>
        </w:rPr>
        <w:t>ביחס ל</w:t>
      </w:r>
      <w:r>
        <w:rPr>
          <w:rFonts w:cs="David"/>
          <w:sz w:val="24"/>
          <w:szCs w:val="24"/>
          <w:rtl/>
        </w:rPr>
        <w:t xml:space="preserve">שומה מכרעת </w:t>
      </w:r>
      <w:r>
        <w:rPr>
          <w:rFonts w:cs="David" w:hint="cs"/>
          <w:sz w:val="24"/>
          <w:szCs w:val="24"/>
          <w:rtl/>
        </w:rPr>
        <w:t>שערך מר גיל הרצברג ב</w:t>
      </w:r>
      <w:r>
        <w:rPr>
          <w:rFonts w:cs="David"/>
          <w:sz w:val="24"/>
          <w:szCs w:val="24"/>
          <w:rtl/>
        </w:rPr>
        <w:t>יום</w:t>
      </w:r>
      <w:r>
        <w:rPr>
          <w:rFonts w:cs="David" w:hint="cs"/>
          <w:sz w:val="24"/>
          <w:szCs w:val="24"/>
          <w:rtl/>
        </w:rPr>
        <w:t xml:space="preserve"> 16.8.2021 (להלן: "</w:t>
      </w:r>
      <w:r w:rsidRPr="000D313D">
        <w:rPr>
          <w:rFonts w:cs="David" w:hint="cs"/>
          <w:b/>
          <w:bCs/>
          <w:sz w:val="24"/>
          <w:szCs w:val="24"/>
          <w:rtl/>
        </w:rPr>
        <w:t>שומ</w:t>
      </w:r>
      <w:r w:rsidR="00DC29C5">
        <w:rPr>
          <w:rFonts w:cs="David" w:hint="cs"/>
          <w:b/>
          <w:bCs/>
          <w:sz w:val="24"/>
          <w:szCs w:val="24"/>
          <w:rtl/>
        </w:rPr>
        <w:t>ה מכרעת</w:t>
      </w:r>
      <w:r w:rsidRPr="000D313D">
        <w:rPr>
          <w:rFonts w:cs="David" w:hint="cs"/>
          <w:b/>
          <w:bCs/>
          <w:sz w:val="24"/>
          <w:szCs w:val="24"/>
          <w:rtl/>
        </w:rPr>
        <w:t xml:space="preserve"> סלעית </w:t>
      </w:r>
      <w:r>
        <w:rPr>
          <w:rFonts w:cs="David" w:hint="cs"/>
          <w:b/>
          <w:bCs/>
          <w:sz w:val="24"/>
          <w:szCs w:val="24"/>
          <w:rtl/>
        </w:rPr>
        <w:t>2021</w:t>
      </w:r>
      <w:r>
        <w:rPr>
          <w:rFonts w:cs="David" w:hint="cs"/>
          <w:sz w:val="24"/>
          <w:szCs w:val="24"/>
          <w:rtl/>
        </w:rPr>
        <w:t>");</w:t>
      </w:r>
    </w:p>
    <w:p w14:paraId="22996854" w14:textId="77777777" w:rsidR="000D313D" w:rsidRDefault="000D313D" w:rsidP="000D313D">
      <w:pPr>
        <w:pStyle w:val="af1"/>
        <w:spacing w:after="120" w:line="360" w:lineRule="auto"/>
        <w:ind w:left="470" w:right="-142"/>
        <w:contextualSpacing w:val="0"/>
        <w:jc w:val="both"/>
        <w:rPr>
          <w:rFonts w:cs="David"/>
          <w:sz w:val="24"/>
          <w:szCs w:val="24"/>
          <w:rtl/>
        </w:rPr>
      </w:pPr>
      <w:r>
        <w:rPr>
          <w:rFonts w:cs="David" w:hint="cs"/>
          <w:sz w:val="24"/>
          <w:szCs w:val="24"/>
          <w:rtl/>
        </w:rPr>
        <w:t>ערר 8075/1123 הוגש על ידי אפי קפיטל ביחס ל</w:t>
      </w:r>
      <w:r>
        <w:rPr>
          <w:rFonts w:cs="David"/>
          <w:sz w:val="24"/>
          <w:szCs w:val="24"/>
          <w:rtl/>
        </w:rPr>
        <w:t xml:space="preserve">שומה מכרעת </w:t>
      </w:r>
      <w:r>
        <w:rPr>
          <w:rFonts w:cs="David" w:hint="cs"/>
          <w:sz w:val="24"/>
          <w:szCs w:val="24"/>
          <w:rtl/>
        </w:rPr>
        <w:t>שערך מר מרדכי דדון ב</w:t>
      </w:r>
      <w:r>
        <w:rPr>
          <w:rFonts w:cs="David"/>
          <w:sz w:val="24"/>
          <w:szCs w:val="24"/>
          <w:rtl/>
        </w:rPr>
        <w:t>יום</w:t>
      </w:r>
      <w:r>
        <w:rPr>
          <w:rFonts w:cs="David" w:hint="cs"/>
          <w:sz w:val="24"/>
          <w:szCs w:val="24"/>
          <w:rtl/>
        </w:rPr>
        <w:t xml:space="preserve"> 26.8.2023 (להלן: "</w:t>
      </w:r>
      <w:r w:rsidRPr="000D313D">
        <w:rPr>
          <w:rFonts w:cs="David" w:hint="cs"/>
          <w:b/>
          <w:bCs/>
          <w:sz w:val="24"/>
          <w:szCs w:val="24"/>
          <w:rtl/>
        </w:rPr>
        <w:t>שומ</w:t>
      </w:r>
      <w:r w:rsidR="00DC29C5">
        <w:rPr>
          <w:rFonts w:cs="David" w:hint="cs"/>
          <w:b/>
          <w:bCs/>
          <w:sz w:val="24"/>
          <w:szCs w:val="24"/>
          <w:rtl/>
        </w:rPr>
        <w:t>ה מכרעת</w:t>
      </w:r>
      <w:r w:rsidRPr="000D313D">
        <w:rPr>
          <w:rFonts w:cs="David" w:hint="cs"/>
          <w:b/>
          <w:bCs/>
          <w:sz w:val="24"/>
          <w:szCs w:val="24"/>
          <w:rtl/>
        </w:rPr>
        <w:t xml:space="preserve"> אפי קפיטל </w:t>
      </w:r>
      <w:r w:rsidR="00EF278B" w:rsidRPr="00EF278B">
        <w:rPr>
          <w:rFonts w:cs="David" w:hint="cs"/>
          <w:b/>
          <w:bCs/>
          <w:sz w:val="24"/>
          <w:szCs w:val="24"/>
          <w:rtl/>
        </w:rPr>
        <w:t>2023</w:t>
      </w:r>
      <w:r>
        <w:rPr>
          <w:rFonts w:cs="David" w:hint="cs"/>
          <w:sz w:val="24"/>
          <w:szCs w:val="24"/>
          <w:rtl/>
        </w:rPr>
        <w:t>");</w:t>
      </w:r>
    </w:p>
    <w:p w14:paraId="72442DF0" w14:textId="77777777" w:rsidR="000D313D" w:rsidRDefault="000D313D" w:rsidP="000D313D">
      <w:pPr>
        <w:pStyle w:val="af1"/>
        <w:spacing w:after="120" w:line="360" w:lineRule="auto"/>
        <w:ind w:left="470" w:right="-142"/>
        <w:contextualSpacing w:val="0"/>
        <w:jc w:val="both"/>
        <w:rPr>
          <w:rFonts w:cs="David"/>
          <w:sz w:val="24"/>
          <w:szCs w:val="24"/>
          <w:rtl/>
        </w:rPr>
      </w:pPr>
      <w:r>
        <w:rPr>
          <w:rFonts w:cs="David" w:hint="cs"/>
          <w:sz w:val="24"/>
          <w:szCs w:val="24"/>
          <w:rtl/>
        </w:rPr>
        <w:t>ערר 8076/1123 הוגש על ידי סלעית ביחס ל</w:t>
      </w:r>
      <w:r>
        <w:rPr>
          <w:rFonts w:cs="David"/>
          <w:sz w:val="24"/>
          <w:szCs w:val="24"/>
          <w:rtl/>
        </w:rPr>
        <w:t xml:space="preserve">שומה מכרעת </w:t>
      </w:r>
      <w:r>
        <w:rPr>
          <w:rFonts w:cs="David" w:hint="cs"/>
          <w:sz w:val="24"/>
          <w:szCs w:val="24"/>
          <w:rtl/>
        </w:rPr>
        <w:t>שערך מר גיל הרצברג ב</w:t>
      </w:r>
      <w:r>
        <w:rPr>
          <w:rFonts w:cs="David"/>
          <w:sz w:val="24"/>
          <w:szCs w:val="24"/>
          <w:rtl/>
        </w:rPr>
        <w:t>יום</w:t>
      </w:r>
      <w:r>
        <w:rPr>
          <w:rFonts w:cs="David" w:hint="cs"/>
          <w:sz w:val="24"/>
          <w:szCs w:val="24"/>
          <w:rtl/>
        </w:rPr>
        <w:t xml:space="preserve"> 16.7.2023 (להלן: "</w:t>
      </w:r>
      <w:r w:rsidRPr="000D313D">
        <w:rPr>
          <w:rFonts w:cs="David" w:hint="cs"/>
          <w:b/>
          <w:bCs/>
          <w:sz w:val="24"/>
          <w:szCs w:val="24"/>
          <w:rtl/>
        </w:rPr>
        <w:t>שומ</w:t>
      </w:r>
      <w:r w:rsidR="00DC29C5">
        <w:rPr>
          <w:rFonts w:cs="David" w:hint="cs"/>
          <w:b/>
          <w:bCs/>
          <w:sz w:val="24"/>
          <w:szCs w:val="24"/>
          <w:rtl/>
        </w:rPr>
        <w:t>ה מכרעת</w:t>
      </w:r>
      <w:r w:rsidRPr="000D313D">
        <w:rPr>
          <w:rFonts w:cs="David" w:hint="cs"/>
          <w:b/>
          <w:bCs/>
          <w:sz w:val="24"/>
          <w:szCs w:val="24"/>
          <w:rtl/>
        </w:rPr>
        <w:t xml:space="preserve"> סלעית</w:t>
      </w:r>
      <w:r>
        <w:rPr>
          <w:rFonts w:cs="David" w:hint="cs"/>
          <w:b/>
          <w:bCs/>
          <w:sz w:val="24"/>
          <w:szCs w:val="24"/>
          <w:rtl/>
        </w:rPr>
        <w:t xml:space="preserve"> 2023</w:t>
      </w:r>
      <w:r>
        <w:rPr>
          <w:rFonts w:cs="David" w:hint="cs"/>
          <w:sz w:val="24"/>
          <w:szCs w:val="24"/>
          <w:rtl/>
        </w:rPr>
        <w:t>");</w:t>
      </w:r>
    </w:p>
    <w:p w14:paraId="3CA33EB5" w14:textId="77777777" w:rsidR="00C24698" w:rsidRDefault="003937E2">
      <w:pPr>
        <w:pStyle w:val="af1"/>
        <w:numPr>
          <w:ilvl w:val="0"/>
          <w:numId w:val="1"/>
        </w:numPr>
        <w:spacing w:after="120" w:line="360" w:lineRule="auto"/>
        <w:ind w:left="470" w:right="-142" w:hanging="425"/>
        <w:contextualSpacing w:val="0"/>
        <w:jc w:val="both"/>
        <w:rPr>
          <w:rFonts w:cs="David"/>
          <w:sz w:val="24"/>
          <w:szCs w:val="24"/>
        </w:rPr>
      </w:pPr>
      <w:r>
        <w:rPr>
          <w:rFonts w:cs="David"/>
          <w:sz w:val="24"/>
          <w:szCs w:val="24"/>
          <w:rtl/>
        </w:rPr>
        <w:t xml:space="preserve">שומות היטל ההשבחה נערכו מטעם הוועדה המקומית לתכנון ולבנייה </w:t>
      </w:r>
      <w:r w:rsidR="000D313D">
        <w:rPr>
          <w:rFonts w:cs="David"/>
          <w:sz w:val="24"/>
          <w:szCs w:val="24"/>
          <w:rtl/>
        </w:rPr>
        <w:t>–</w:t>
      </w:r>
      <w:r w:rsidR="000D313D">
        <w:rPr>
          <w:rFonts w:cs="David" w:hint="cs"/>
          <w:sz w:val="24"/>
          <w:szCs w:val="24"/>
          <w:rtl/>
        </w:rPr>
        <w:t xml:space="preserve"> </w:t>
      </w:r>
      <w:r>
        <w:rPr>
          <w:rFonts w:cs="David"/>
          <w:sz w:val="24"/>
          <w:szCs w:val="24"/>
          <w:rtl/>
        </w:rPr>
        <w:t>שרונים</w:t>
      </w:r>
      <w:r w:rsidR="000D313D">
        <w:rPr>
          <w:rFonts w:cs="David" w:hint="cs"/>
          <w:sz w:val="24"/>
          <w:szCs w:val="24"/>
          <w:rtl/>
        </w:rPr>
        <w:t xml:space="preserve"> (להלן: "</w:t>
      </w:r>
      <w:r w:rsidR="000D313D" w:rsidRPr="000D313D">
        <w:rPr>
          <w:rFonts w:cs="David" w:hint="cs"/>
          <w:b/>
          <w:bCs/>
          <w:sz w:val="24"/>
          <w:szCs w:val="24"/>
          <w:rtl/>
        </w:rPr>
        <w:t>הוועדה המקומית</w:t>
      </w:r>
      <w:r w:rsidR="000D313D">
        <w:rPr>
          <w:rFonts w:cs="David" w:hint="cs"/>
          <w:sz w:val="24"/>
          <w:szCs w:val="24"/>
          <w:rtl/>
        </w:rPr>
        <w:t>")</w:t>
      </w:r>
      <w:r>
        <w:rPr>
          <w:rFonts w:cs="David"/>
          <w:sz w:val="24"/>
          <w:szCs w:val="24"/>
          <w:rtl/>
        </w:rPr>
        <w:t xml:space="preserve"> בעקבות מימוש</w:t>
      </w:r>
      <w:r w:rsidR="00CB4E81">
        <w:rPr>
          <w:rFonts w:cs="David" w:hint="cs"/>
          <w:sz w:val="24"/>
          <w:szCs w:val="24"/>
          <w:rtl/>
        </w:rPr>
        <w:t>י</w:t>
      </w:r>
      <w:r>
        <w:rPr>
          <w:rFonts w:cs="David"/>
          <w:sz w:val="24"/>
          <w:szCs w:val="24"/>
          <w:rtl/>
        </w:rPr>
        <w:t xml:space="preserve"> זכויות בדרך של מכר, והן מתייחסות להשבחה שנוצרה כתוצאה מאישור </w:t>
      </w:r>
      <w:r w:rsidR="00CB4E81">
        <w:rPr>
          <w:rFonts w:cs="David" w:hint="cs"/>
          <w:sz w:val="24"/>
          <w:szCs w:val="24"/>
          <w:rtl/>
        </w:rPr>
        <w:t xml:space="preserve">תוכנית </w:t>
      </w:r>
      <w:r>
        <w:rPr>
          <w:rFonts w:cs="David"/>
          <w:sz w:val="24"/>
          <w:szCs w:val="24"/>
          <w:rtl/>
        </w:rPr>
        <w:t>הצ/59/1-6</w:t>
      </w:r>
      <w:r w:rsidR="00CB4E81">
        <w:rPr>
          <w:rFonts w:cs="David" w:hint="cs"/>
          <w:sz w:val="24"/>
          <w:szCs w:val="24"/>
          <w:rtl/>
        </w:rPr>
        <w:t xml:space="preserve">, שהינה תוכנית איחוד וחלוקה ללא הסכמה, </w:t>
      </w:r>
      <w:r>
        <w:rPr>
          <w:rFonts w:cs="David"/>
          <w:sz w:val="24"/>
          <w:szCs w:val="24"/>
          <w:rtl/>
        </w:rPr>
        <w:t xml:space="preserve">שפורסמה למתן תוקף </w:t>
      </w:r>
      <w:r w:rsidR="00CB4E81">
        <w:rPr>
          <w:rFonts w:cs="David" w:hint="cs"/>
          <w:sz w:val="24"/>
          <w:szCs w:val="24"/>
          <w:rtl/>
        </w:rPr>
        <w:t xml:space="preserve">ברשומות </w:t>
      </w:r>
      <w:r>
        <w:rPr>
          <w:rFonts w:cs="David"/>
          <w:sz w:val="24"/>
          <w:szCs w:val="24"/>
          <w:rtl/>
        </w:rPr>
        <w:t xml:space="preserve">ביום </w:t>
      </w:r>
      <w:r w:rsidR="00CB4E81">
        <w:rPr>
          <w:rFonts w:cs="David" w:hint="cs"/>
          <w:sz w:val="24"/>
          <w:szCs w:val="24"/>
          <w:rtl/>
        </w:rPr>
        <w:t>19.6.2018</w:t>
      </w:r>
      <w:r>
        <w:rPr>
          <w:rFonts w:cs="David"/>
          <w:sz w:val="24"/>
          <w:szCs w:val="24"/>
          <w:rtl/>
        </w:rPr>
        <w:t xml:space="preserve"> </w:t>
      </w:r>
      <w:r w:rsidR="00CB4E81">
        <w:rPr>
          <w:rFonts w:cs="David" w:hint="cs"/>
          <w:sz w:val="24"/>
          <w:szCs w:val="24"/>
          <w:rtl/>
        </w:rPr>
        <w:t xml:space="preserve">ובעיתונים ביום 29.6.2018 </w:t>
      </w:r>
      <w:r>
        <w:rPr>
          <w:rFonts w:cs="David"/>
          <w:sz w:val="24"/>
          <w:szCs w:val="24"/>
          <w:rtl/>
        </w:rPr>
        <w:t>(להלן: "</w:t>
      </w:r>
      <w:r w:rsidRPr="00CB4E81">
        <w:rPr>
          <w:rFonts w:cs="David"/>
          <w:b/>
          <w:bCs/>
          <w:sz w:val="24"/>
          <w:szCs w:val="24"/>
          <w:rtl/>
        </w:rPr>
        <w:t>הת</w:t>
      </w:r>
      <w:r w:rsidR="00CB4E81" w:rsidRPr="00CB4E81">
        <w:rPr>
          <w:rFonts w:cs="David" w:hint="cs"/>
          <w:b/>
          <w:bCs/>
          <w:sz w:val="24"/>
          <w:szCs w:val="24"/>
          <w:rtl/>
        </w:rPr>
        <w:t>ו</w:t>
      </w:r>
      <w:r w:rsidRPr="00CB4E81">
        <w:rPr>
          <w:rFonts w:cs="David"/>
          <w:b/>
          <w:bCs/>
          <w:sz w:val="24"/>
          <w:szCs w:val="24"/>
          <w:rtl/>
        </w:rPr>
        <w:t>כנית המשביחה</w:t>
      </w:r>
      <w:r>
        <w:rPr>
          <w:rFonts w:cs="David"/>
          <w:sz w:val="24"/>
          <w:szCs w:val="24"/>
          <w:rtl/>
        </w:rPr>
        <w:t>").</w:t>
      </w:r>
      <w:r w:rsidR="00CB4E81">
        <w:rPr>
          <w:rFonts w:cs="David" w:hint="cs"/>
          <w:sz w:val="24"/>
          <w:szCs w:val="24"/>
          <w:rtl/>
        </w:rPr>
        <w:t xml:space="preserve"> </w:t>
      </w:r>
    </w:p>
    <w:p w14:paraId="5DA97C98" w14:textId="77777777" w:rsidR="00CB4E81" w:rsidRPr="0081115D" w:rsidRDefault="00396121" w:rsidP="00253F7C">
      <w:pPr>
        <w:pStyle w:val="af1"/>
        <w:numPr>
          <w:ilvl w:val="0"/>
          <w:numId w:val="1"/>
        </w:numPr>
        <w:spacing w:after="120" w:line="360" w:lineRule="auto"/>
        <w:ind w:left="470" w:right="-142" w:hanging="425"/>
        <w:contextualSpacing w:val="0"/>
        <w:jc w:val="both"/>
        <w:rPr>
          <w:rFonts w:cs="David"/>
          <w:sz w:val="24"/>
          <w:szCs w:val="24"/>
        </w:rPr>
      </w:pPr>
      <w:r w:rsidRPr="0081115D">
        <w:rPr>
          <w:rFonts w:cs="David" w:hint="cs"/>
          <w:sz w:val="24"/>
          <w:szCs w:val="24"/>
          <w:rtl/>
        </w:rPr>
        <w:t>התוכנית המשביחה משתרעת על שטח של כ- 209 דונמים. על פי דברי ההסבר ל</w:t>
      </w:r>
      <w:r w:rsidR="00CB4E81" w:rsidRPr="0081115D">
        <w:rPr>
          <w:rFonts w:cs="David" w:hint="cs"/>
          <w:sz w:val="24"/>
          <w:szCs w:val="24"/>
          <w:rtl/>
        </w:rPr>
        <w:t>ה</w:t>
      </w:r>
      <w:r w:rsidRPr="0081115D">
        <w:rPr>
          <w:rFonts w:cs="David" w:hint="cs"/>
          <w:sz w:val="24"/>
          <w:szCs w:val="24"/>
          <w:rtl/>
        </w:rPr>
        <w:t>, היא</w:t>
      </w:r>
      <w:r w:rsidR="00CB4E81" w:rsidRPr="0081115D">
        <w:rPr>
          <w:rFonts w:cs="David" w:hint="cs"/>
          <w:sz w:val="24"/>
          <w:szCs w:val="24"/>
          <w:rtl/>
        </w:rPr>
        <w:t xml:space="preserve"> מ</w:t>
      </w:r>
      <w:r w:rsidRPr="0081115D">
        <w:rPr>
          <w:rFonts w:cs="David" w:hint="cs"/>
          <w:sz w:val="24"/>
          <w:szCs w:val="24"/>
          <w:rtl/>
        </w:rPr>
        <w:t>תייחסת</w:t>
      </w:r>
      <w:r w:rsidR="00CB4E81" w:rsidRPr="0081115D">
        <w:rPr>
          <w:rFonts w:cs="David" w:hint="cs"/>
          <w:sz w:val="24"/>
          <w:szCs w:val="24"/>
          <w:rtl/>
        </w:rPr>
        <w:t xml:space="preserve"> </w:t>
      </w:r>
      <w:r w:rsidRPr="0081115D">
        <w:rPr>
          <w:rFonts w:cs="David" w:hint="cs"/>
          <w:sz w:val="24"/>
          <w:szCs w:val="24"/>
          <w:rtl/>
        </w:rPr>
        <w:t>ל</w:t>
      </w:r>
      <w:r w:rsidR="00CB4E81" w:rsidRPr="0081115D">
        <w:rPr>
          <w:rFonts w:cs="David" w:hint="cs"/>
          <w:sz w:val="24"/>
          <w:szCs w:val="24"/>
          <w:rtl/>
        </w:rPr>
        <w:t xml:space="preserve">הקמת שכונת מגורים חדשה </w:t>
      </w:r>
      <w:r w:rsidRPr="0081115D">
        <w:rPr>
          <w:rFonts w:cs="David" w:hint="cs"/>
          <w:sz w:val="24"/>
          <w:szCs w:val="24"/>
          <w:rtl/>
        </w:rPr>
        <w:t xml:space="preserve">בשם: "שכונת האתרוגים", שתכלול </w:t>
      </w:r>
      <w:r w:rsidR="00CB4E81" w:rsidRPr="0081115D">
        <w:rPr>
          <w:rFonts w:cs="David" w:hint="cs"/>
          <w:sz w:val="24"/>
          <w:szCs w:val="24"/>
          <w:rtl/>
        </w:rPr>
        <w:t>450 יח"ד ומגרש מסחרי בשטח של כ- 14 דונמים</w:t>
      </w:r>
      <w:r w:rsidRPr="0081115D">
        <w:rPr>
          <w:rFonts w:cs="David" w:hint="cs"/>
          <w:sz w:val="24"/>
          <w:szCs w:val="24"/>
          <w:rtl/>
        </w:rPr>
        <w:t xml:space="preserve"> (להלן: "</w:t>
      </w:r>
      <w:r w:rsidRPr="0081115D">
        <w:rPr>
          <w:rFonts w:cs="David" w:hint="cs"/>
          <w:b/>
          <w:bCs/>
          <w:sz w:val="24"/>
          <w:szCs w:val="24"/>
          <w:rtl/>
        </w:rPr>
        <w:t>שכונת האתרוגים</w:t>
      </w:r>
      <w:r w:rsidRPr="0081115D">
        <w:rPr>
          <w:rFonts w:cs="David" w:hint="cs"/>
          <w:sz w:val="24"/>
          <w:szCs w:val="24"/>
          <w:rtl/>
        </w:rPr>
        <w:t>")</w:t>
      </w:r>
      <w:r w:rsidR="00CB4E81" w:rsidRPr="0081115D">
        <w:rPr>
          <w:rFonts w:cs="David" w:hint="cs"/>
          <w:sz w:val="24"/>
          <w:szCs w:val="24"/>
          <w:rtl/>
        </w:rPr>
        <w:t xml:space="preserve">. </w:t>
      </w:r>
    </w:p>
    <w:p w14:paraId="4A1DC110" w14:textId="0876736F" w:rsidR="00A11B0C" w:rsidRDefault="00A11B0C">
      <w:pPr>
        <w:pStyle w:val="af1"/>
        <w:numPr>
          <w:ilvl w:val="0"/>
          <w:numId w:val="1"/>
        </w:numPr>
        <w:spacing w:after="120" w:line="360" w:lineRule="auto"/>
        <w:ind w:left="470" w:right="-142" w:hanging="425"/>
        <w:contextualSpacing w:val="0"/>
        <w:jc w:val="both"/>
        <w:rPr>
          <w:rFonts w:cs="David"/>
          <w:sz w:val="24"/>
          <w:szCs w:val="24"/>
        </w:rPr>
      </w:pPr>
      <w:r>
        <w:rPr>
          <w:rFonts w:cs="David" w:hint="cs"/>
          <w:sz w:val="24"/>
          <w:szCs w:val="24"/>
          <w:rtl/>
        </w:rPr>
        <w:t xml:space="preserve">במצב הקודם </w:t>
      </w:r>
      <w:r w:rsidR="00253F7C">
        <w:rPr>
          <w:rFonts w:cs="David" w:hint="cs"/>
          <w:sz w:val="24"/>
          <w:szCs w:val="24"/>
          <w:rtl/>
        </w:rPr>
        <w:t xml:space="preserve">היה ייעוד המקרקעין חקלאי, </w:t>
      </w:r>
      <w:r w:rsidR="0022145B">
        <w:rPr>
          <w:rFonts w:cs="David" w:hint="cs"/>
          <w:sz w:val="24"/>
          <w:szCs w:val="24"/>
          <w:rtl/>
        </w:rPr>
        <w:t>כמפורט להלן</w:t>
      </w:r>
      <w:r w:rsidR="00253F7C">
        <w:rPr>
          <w:rFonts w:cs="David" w:hint="cs"/>
          <w:sz w:val="24"/>
          <w:szCs w:val="24"/>
          <w:rtl/>
        </w:rPr>
        <w:t>:</w:t>
      </w:r>
    </w:p>
    <w:p w14:paraId="72846797" w14:textId="77777777" w:rsidR="00253F7C" w:rsidRDefault="00253F7C" w:rsidP="00253F7C">
      <w:pPr>
        <w:pStyle w:val="af1"/>
        <w:spacing w:after="120" w:line="360" w:lineRule="auto"/>
        <w:ind w:left="470" w:right="-142"/>
        <w:contextualSpacing w:val="0"/>
        <w:jc w:val="both"/>
        <w:rPr>
          <w:rFonts w:cs="David"/>
          <w:sz w:val="24"/>
          <w:szCs w:val="24"/>
          <w:rtl/>
        </w:rPr>
      </w:pPr>
      <w:r>
        <w:rPr>
          <w:rFonts w:cs="David" w:hint="cs"/>
          <w:sz w:val="24"/>
          <w:szCs w:val="24"/>
          <w:rtl/>
        </w:rPr>
        <w:t>תוכנית 15/</w:t>
      </w:r>
      <w:r>
        <w:rPr>
          <w:rFonts w:cs="David"/>
          <w:sz w:val="24"/>
          <w:szCs w:val="24"/>
        </w:rPr>
        <w:t>SR</w:t>
      </w:r>
      <w:r>
        <w:rPr>
          <w:rFonts w:cs="David" w:hint="cs"/>
          <w:sz w:val="24"/>
          <w:szCs w:val="24"/>
          <w:rtl/>
        </w:rPr>
        <w:t xml:space="preserve"> שפורסמה למתן תוקף ביום 24.9.1942 סיווגה את המקרקעין בייעוד חקלאי.</w:t>
      </w:r>
    </w:p>
    <w:p w14:paraId="5C86F175" w14:textId="77777777" w:rsidR="00253F7C" w:rsidRDefault="00253F7C" w:rsidP="00253F7C">
      <w:pPr>
        <w:pStyle w:val="af1"/>
        <w:spacing w:after="120" w:line="360" w:lineRule="auto"/>
        <w:ind w:left="470" w:right="-142"/>
        <w:contextualSpacing w:val="0"/>
        <w:jc w:val="both"/>
        <w:rPr>
          <w:rFonts w:cs="David"/>
          <w:sz w:val="24"/>
          <w:szCs w:val="24"/>
          <w:rtl/>
        </w:rPr>
      </w:pPr>
      <w:r>
        <w:rPr>
          <w:rFonts w:cs="David" w:hint="cs"/>
          <w:sz w:val="24"/>
          <w:szCs w:val="24"/>
          <w:rtl/>
        </w:rPr>
        <w:t>המקרקעין נכללו בתחום אכרזה על קרקע חקלאית שפורסמה ביום 30.11.1987.</w:t>
      </w:r>
    </w:p>
    <w:p w14:paraId="3FE9FB08" w14:textId="77777777" w:rsidR="00253F7C" w:rsidRDefault="0081115D" w:rsidP="00253F7C">
      <w:pPr>
        <w:pStyle w:val="af1"/>
        <w:spacing w:after="120" w:line="360" w:lineRule="auto"/>
        <w:ind w:left="470" w:right="-142"/>
        <w:contextualSpacing w:val="0"/>
        <w:jc w:val="both"/>
        <w:rPr>
          <w:rFonts w:cs="David"/>
          <w:sz w:val="24"/>
          <w:szCs w:val="24"/>
          <w:rtl/>
        </w:rPr>
      </w:pPr>
      <w:r>
        <w:rPr>
          <w:rFonts w:cs="David" w:hint="cs"/>
          <w:sz w:val="24"/>
          <w:szCs w:val="24"/>
          <w:rtl/>
        </w:rPr>
        <w:t xml:space="preserve">המקרקעין לא נכללו </w:t>
      </w:r>
      <w:r w:rsidR="00253F7C">
        <w:rPr>
          <w:rFonts w:cs="David" w:hint="cs"/>
          <w:sz w:val="24"/>
          <w:szCs w:val="24"/>
          <w:rtl/>
        </w:rPr>
        <w:t>בתמ"מ 3/21 שפורסמה למתן תוקף ביום 12.11.2003</w:t>
      </w:r>
      <w:r>
        <w:rPr>
          <w:rFonts w:cs="David" w:hint="cs"/>
          <w:sz w:val="24"/>
          <w:szCs w:val="24"/>
          <w:rtl/>
        </w:rPr>
        <w:t>.</w:t>
      </w:r>
    </w:p>
    <w:p w14:paraId="0E504078" w14:textId="77777777" w:rsidR="00F402D9" w:rsidRDefault="00F402D9" w:rsidP="009338F3">
      <w:pPr>
        <w:pStyle w:val="af1"/>
        <w:numPr>
          <w:ilvl w:val="0"/>
          <w:numId w:val="1"/>
        </w:numPr>
        <w:spacing w:after="120" w:line="360" w:lineRule="auto"/>
        <w:ind w:left="470" w:right="-142" w:hanging="425"/>
        <w:contextualSpacing w:val="0"/>
        <w:jc w:val="both"/>
        <w:rPr>
          <w:rFonts w:cs="David"/>
          <w:sz w:val="24"/>
          <w:szCs w:val="24"/>
        </w:rPr>
      </w:pPr>
      <w:r>
        <w:rPr>
          <w:rFonts w:cs="David" w:hint="cs"/>
          <w:sz w:val="24"/>
          <w:szCs w:val="24"/>
          <w:rtl/>
        </w:rPr>
        <w:t xml:space="preserve">בנוסף, חלה על המקרקעין תוכנית אב ליישוב אליכין, שהוכנה בשנת 1997 ואומצה על ידי הוועדה המחוזית בשנת 2001. תוכנית אב אינה תוכנית סטטוטורית, </w:t>
      </w:r>
      <w:r w:rsidR="00B51BCB">
        <w:rPr>
          <w:rFonts w:cs="David" w:hint="cs"/>
          <w:sz w:val="24"/>
          <w:szCs w:val="24"/>
          <w:rtl/>
        </w:rPr>
        <w:t xml:space="preserve">ובמקרה זה </w:t>
      </w:r>
      <w:r>
        <w:rPr>
          <w:rFonts w:cs="David" w:hint="cs"/>
          <w:sz w:val="24"/>
          <w:szCs w:val="24"/>
          <w:rtl/>
        </w:rPr>
        <w:t xml:space="preserve">היא לא פורסמה ואינה מצויה בפנינו. עם זאת, </w:t>
      </w:r>
      <w:r w:rsidR="00EC27D8">
        <w:rPr>
          <w:rFonts w:cs="David" w:hint="cs"/>
          <w:sz w:val="24"/>
          <w:szCs w:val="24"/>
          <w:rtl/>
        </w:rPr>
        <w:t xml:space="preserve">ניתן למצוא התייחסויות לתוכנית </w:t>
      </w:r>
      <w:r w:rsidR="009338F3">
        <w:rPr>
          <w:rFonts w:cs="David" w:hint="cs"/>
          <w:sz w:val="24"/>
          <w:szCs w:val="24"/>
          <w:rtl/>
        </w:rPr>
        <w:t>האב</w:t>
      </w:r>
      <w:r w:rsidR="00EC27D8">
        <w:rPr>
          <w:rFonts w:cs="David" w:hint="cs"/>
          <w:sz w:val="24"/>
          <w:szCs w:val="24"/>
          <w:rtl/>
        </w:rPr>
        <w:t xml:space="preserve"> בשני </w:t>
      </w:r>
      <w:r w:rsidR="009338F3">
        <w:rPr>
          <w:rFonts w:cs="David" w:hint="cs"/>
          <w:sz w:val="24"/>
          <w:szCs w:val="24"/>
          <w:rtl/>
        </w:rPr>
        <w:t xml:space="preserve">המקורות הבאים, המתארים אותה כחוליה </w:t>
      </w:r>
      <w:r w:rsidR="00B51BCB">
        <w:rPr>
          <w:rFonts w:cs="David" w:hint="cs"/>
          <w:sz w:val="24"/>
          <w:szCs w:val="24"/>
          <w:rtl/>
        </w:rPr>
        <w:t xml:space="preserve">משמעותית </w:t>
      </w:r>
      <w:r w:rsidR="009338F3">
        <w:rPr>
          <w:rFonts w:cs="David" w:hint="cs"/>
          <w:sz w:val="24"/>
          <w:szCs w:val="24"/>
          <w:rtl/>
        </w:rPr>
        <w:t>בשרשרת התכנונית שהובילה לאישור התוכנית המשביחה</w:t>
      </w:r>
      <w:r w:rsidR="00EC27D8">
        <w:rPr>
          <w:rFonts w:cs="David" w:hint="cs"/>
          <w:sz w:val="24"/>
          <w:szCs w:val="24"/>
          <w:rtl/>
        </w:rPr>
        <w:t>:</w:t>
      </w:r>
    </w:p>
    <w:p w14:paraId="37C5F7E9" w14:textId="77777777" w:rsidR="009338F3" w:rsidRDefault="009338F3" w:rsidP="009338F3">
      <w:pPr>
        <w:pStyle w:val="a0"/>
        <w:ind w:left="1177" w:hanging="709"/>
        <w:contextualSpacing w:val="0"/>
      </w:pPr>
      <w:r>
        <w:rPr>
          <w:rFonts w:hint="cs"/>
          <w:rtl/>
        </w:rPr>
        <w:t xml:space="preserve">פרוטוקול ישיבת הוועדה המחוזית מס' 2004020 מיום 29.9.2004, שבה הוצגה התוכנית המשביחה כנגזרת של תוכנית האב שאומצה על ידי הוועדה המחוזית עוד ב- 1998. </w:t>
      </w:r>
    </w:p>
    <w:p w14:paraId="40C487F3" w14:textId="5975EA24" w:rsidR="00EC27D8" w:rsidRDefault="00FF755B" w:rsidP="009338F3">
      <w:pPr>
        <w:pStyle w:val="a0"/>
        <w:ind w:left="1177" w:hanging="709"/>
        <w:contextualSpacing w:val="0"/>
      </w:pPr>
      <w:proofErr w:type="spellStart"/>
      <w:r>
        <w:rPr>
          <w:rFonts w:hint="cs"/>
          <w:rtl/>
        </w:rPr>
        <w:t>תשריט</w:t>
      </w:r>
      <w:proofErr w:type="spellEnd"/>
      <w:r>
        <w:rPr>
          <w:rFonts w:hint="cs"/>
          <w:rtl/>
        </w:rPr>
        <w:t xml:space="preserve"> המצב המוצע של התוכנית המשביחה</w:t>
      </w:r>
      <w:r w:rsidR="009338F3">
        <w:rPr>
          <w:rFonts w:hint="cs"/>
          <w:rtl/>
        </w:rPr>
        <w:t xml:space="preserve">, שכלל את </w:t>
      </w:r>
      <w:proofErr w:type="spellStart"/>
      <w:r w:rsidR="009338F3">
        <w:rPr>
          <w:rFonts w:hint="cs"/>
          <w:rtl/>
        </w:rPr>
        <w:t>תשריט</w:t>
      </w:r>
      <w:proofErr w:type="spellEnd"/>
      <w:r w:rsidR="009338F3">
        <w:rPr>
          <w:rFonts w:hint="cs"/>
          <w:rtl/>
        </w:rPr>
        <w:t xml:space="preserve"> </w:t>
      </w:r>
      <w:proofErr w:type="spellStart"/>
      <w:r w:rsidR="009338F3">
        <w:rPr>
          <w:rFonts w:hint="cs"/>
          <w:rtl/>
        </w:rPr>
        <w:t>תוכנית</w:t>
      </w:r>
      <w:proofErr w:type="spellEnd"/>
      <w:r w:rsidR="009338F3">
        <w:rPr>
          <w:rFonts w:hint="cs"/>
          <w:rtl/>
        </w:rPr>
        <w:t xml:space="preserve"> האב</w:t>
      </w:r>
      <w:r w:rsidR="0022145B">
        <w:rPr>
          <w:rFonts w:hint="cs"/>
          <w:rtl/>
        </w:rPr>
        <w:t xml:space="preserve"> כדלקמן:</w:t>
      </w:r>
    </w:p>
    <w:p w14:paraId="4EA05B1B" w14:textId="77777777" w:rsidR="009338F3" w:rsidRDefault="009338F3" w:rsidP="009338F3">
      <w:pPr>
        <w:pStyle w:val="a0"/>
        <w:numPr>
          <w:ilvl w:val="0"/>
          <w:numId w:val="0"/>
        </w:numPr>
        <w:ind w:left="1177"/>
        <w:contextualSpacing w:val="0"/>
        <w:rPr>
          <w:rtl/>
        </w:rPr>
      </w:pPr>
    </w:p>
    <w:p w14:paraId="78D3EEE0" w14:textId="77777777" w:rsidR="009338F3" w:rsidRDefault="009338F3" w:rsidP="009338F3">
      <w:pPr>
        <w:pStyle w:val="a0"/>
        <w:numPr>
          <w:ilvl w:val="0"/>
          <w:numId w:val="0"/>
        </w:numPr>
        <w:ind w:left="1177"/>
        <w:contextualSpacing w:val="0"/>
        <w:jc w:val="center"/>
      </w:pPr>
      <w:r w:rsidRPr="00F22DDC">
        <w:rPr>
          <w:noProof/>
          <w:rtl/>
        </w:rPr>
        <w:lastRenderedPageBreak/>
        <w:drawing>
          <wp:inline distT="0" distB="0" distL="0" distR="0" wp14:anchorId="7F257754" wp14:editId="70DF357B">
            <wp:extent cx="3162300" cy="1920305"/>
            <wp:effectExtent l="0" t="0" r="0" b="3810"/>
            <wp:docPr id="936865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865973" name=""/>
                    <pic:cNvPicPr/>
                  </pic:nvPicPr>
                  <pic:blipFill>
                    <a:blip r:embed="rId8"/>
                    <a:stretch>
                      <a:fillRect/>
                    </a:stretch>
                  </pic:blipFill>
                  <pic:spPr>
                    <a:xfrm>
                      <a:off x="0" y="0"/>
                      <a:ext cx="3170187" cy="1925094"/>
                    </a:xfrm>
                    <a:prstGeom prst="rect">
                      <a:avLst/>
                    </a:prstGeom>
                  </pic:spPr>
                </pic:pic>
              </a:graphicData>
            </a:graphic>
          </wp:inline>
        </w:drawing>
      </w:r>
    </w:p>
    <w:p w14:paraId="757FFFEF" w14:textId="77777777" w:rsidR="00CB4E81" w:rsidRDefault="00D234D0">
      <w:pPr>
        <w:pStyle w:val="af1"/>
        <w:numPr>
          <w:ilvl w:val="0"/>
          <w:numId w:val="1"/>
        </w:numPr>
        <w:spacing w:after="120" w:line="360" w:lineRule="auto"/>
        <w:ind w:left="470" w:right="-142" w:hanging="425"/>
        <w:contextualSpacing w:val="0"/>
        <w:jc w:val="both"/>
        <w:rPr>
          <w:rFonts w:cs="David"/>
          <w:sz w:val="24"/>
          <w:szCs w:val="24"/>
        </w:rPr>
      </w:pPr>
      <w:r>
        <w:rPr>
          <w:rFonts w:cs="David" w:hint="cs"/>
          <w:sz w:val="24"/>
          <w:szCs w:val="24"/>
          <w:rtl/>
        </w:rPr>
        <w:t xml:space="preserve">מוקד </w:t>
      </w:r>
      <w:r w:rsidR="005000B6">
        <w:rPr>
          <w:rFonts w:cs="David" w:hint="cs"/>
          <w:sz w:val="24"/>
          <w:szCs w:val="24"/>
          <w:rtl/>
        </w:rPr>
        <w:t xml:space="preserve">המחלוקת בין הצדדים </w:t>
      </w:r>
      <w:r>
        <w:rPr>
          <w:rFonts w:cs="David" w:hint="cs"/>
          <w:sz w:val="24"/>
          <w:szCs w:val="24"/>
          <w:rtl/>
        </w:rPr>
        <w:t xml:space="preserve">הינו </w:t>
      </w:r>
      <w:r w:rsidR="00A11B0C">
        <w:rPr>
          <w:rFonts w:cs="David" w:hint="cs"/>
          <w:sz w:val="24"/>
          <w:szCs w:val="24"/>
          <w:rtl/>
        </w:rPr>
        <w:t xml:space="preserve">שווי </w:t>
      </w:r>
      <w:r>
        <w:rPr>
          <w:rFonts w:cs="David" w:hint="cs"/>
          <w:sz w:val="24"/>
          <w:szCs w:val="24"/>
          <w:rtl/>
        </w:rPr>
        <w:t>המקרקעין ב</w:t>
      </w:r>
      <w:r w:rsidR="00A11B0C">
        <w:rPr>
          <w:rFonts w:cs="David" w:hint="cs"/>
          <w:sz w:val="24"/>
          <w:szCs w:val="24"/>
          <w:rtl/>
        </w:rPr>
        <w:t>מצב הקו</w:t>
      </w:r>
      <w:r w:rsidR="0081115D">
        <w:rPr>
          <w:rFonts w:cs="David" w:hint="cs"/>
          <w:sz w:val="24"/>
          <w:szCs w:val="24"/>
          <w:rtl/>
        </w:rPr>
        <w:t>ד</w:t>
      </w:r>
      <w:r w:rsidR="00A11B0C">
        <w:rPr>
          <w:rFonts w:cs="David" w:hint="cs"/>
          <w:sz w:val="24"/>
          <w:szCs w:val="24"/>
          <w:rtl/>
        </w:rPr>
        <w:t>ם</w:t>
      </w:r>
      <w:r w:rsidR="0081115D">
        <w:rPr>
          <w:rFonts w:cs="David" w:hint="cs"/>
          <w:sz w:val="24"/>
          <w:szCs w:val="24"/>
          <w:rtl/>
        </w:rPr>
        <w:t xml:space="preserve">, </w:t>
      </w:r>
      <w:r>
        <w:rPr>
          <w:rFonts w:cs="David" w:hint="cs"/>
          <w:sz w:val="24"/>
          <w:szCs w:val="24"/>
          <w:rtl/>
        </w:rPr>
        <w:t>עת ייעודם היה</w:t>
      </w:r>
      <w:r w:rsidR="0081115D">
        <w:rPr>
          <w:rFonts w:cs="David" w:hint="cs"/>
          <w:sz w:val="24"/>
          <w:szCs w:val="24"/>
          <w:rtl/>
        </w:rPr>
        <w:t xml:space="preserve"> חקלאי. שומות הצדדים והשומות המכריעות התפלגו </w:t>
      </w:r>
      <w:r>
        <w:rPr>
          <w:rFonts w:cs="David" w:hint="cs"/>
          <w:sz w:val="24"/>
          <w:szCs w:val="24"/>
          <w:rtl/>
        </w:rPr>
        <w:t xml:space="preserve">בנושא זה </w:t>
      </w:r>
      <w:r w:rsidR="0081115D">
        <w:rPr>
          <w:rFonts w:cs="David" w:hint="cs"/>
          <w:sz w:val="24"/>
          <w:szCs w:val="24"/>
          <w:rtl/>
        </w:rPr>
        <w:t>כדלקמן:</w:t>
      </w:r>
    </w:p>
    <w:tbl>
      <w:tblPr>
        <w:tblStyle w:val="af3"/>
        <w:bidiVisual/>
        <w:tblW w:w="0" w:type="auto"/>
        <w:tblInd w:w="470" w:type="dxa"/>
        <w:tblLook w:val="04A0" w:firstRow="1" w:lastRow="0" w:firstColumn="1" w:lastColumn="0" w:noHBand="0" w:noVBand="1"/>
      </w:tblPr>
      <w:tblGrid>
        <w:gridCol w:w="2969"/>
        <w:gridCol w:w="1559"/>
        <w:gridCol w:w="1843"/>
        <w:gridCol w:w="1839"/>
      </w:tblGrid>
      <w:tr w:rsidR="00A93BD3" w14:paraId="74765691" w14:textId="77777777" w:rsidTr="00DC29C5">
        <w:tc>
          <w:tcPr>
            <w:tcW w:w="2969" w:type="dxa"/>
            <w:vAlign w:val="center"/>
          </w:tcPr>
          <w:p w14:paraId="4A8A57B4" w14:textId="77777777" w:rsidR="00A93BD3" w:rsidRDefault="00A93BD3" w:rsidP="009A14C6">
            <w:pPr>
              <w:pStyle w:val="af1"/>
              <w:ind w:left="0" w:right="-142"/>
              <w:contextualSpacing w:val="0"/>
              <w:rPr>
                <w:rFonts w:cs="David"/>
                <w:sz w:val="24"/>
                <w:szCs w:val="24"/>
                <w:rtl/>
              </w:rPr>
            </w:pPr>
          </w:p>
        </w:tc>
        <w:tc>
          <w:tcPr>
            <w:tcW w:w="5241" w:type="dxa"/>
            <w:gridSpan w:val="3"/>
            <w:vAlign w:val="center"/>
          </w:tcPr>
          <w:p w14:paraId="3853732D" w14:textId="77777777" w:rsidR="00A93BD3" w:rsidRPr="00A93BD3" w:rsidRDefault="00A93BD3" w:rsidP="009A14C6">
            <w:pPr>
              <w:pStyle w:val="af1"/>
              <w:ind w:left="0" w:right="-142"/>
              <w:contextualSpacing w:val="0"/>
              <w:jc w:val="center"/>
              <w:rPr>
                <w:rFonts w:cs="David"/>
                <w:b/>
                <w:bCs/>
                <w:sz w:val="24"/>
                <w:szCs w:val="24"/>
                <w:rtl/>
              </w:rPr>
            </w:pPr>
            <w:r w:rsidRPr="00A93BD3">
              <w:rPr>
                <w:rFonts w:cs="David" w:hint="cs"/>
                <w:b/>
                <w:bCs/>
                <w:sz w:val="24"/>
                <w:szCs w:val="24"/>
                <w:rtl/>
              </w:rPr>
              <w:t>שווי המקרקעין בייעוד חקלאי במצב הקודם</w:t>
            </w:r>
            <w:r w:rsidR="00D65048">
              <w:rPr>
                <w:rFonts w:cs="David" w:hint="cs"/>
                <w:b/>
                <w:bCs/>
                <w:sz w:val="24"/>
                <w:szCs w:val="24"/>
                <w:rtl/>
              </w:rPr>
              <w:t xml:space="preserve"> בש"ח</w:t>
            </w:r>
          </w:p>
        </w:tc>
      </w:tr>
      <w:tr w:rsidR="00A93BD3" w14:paraId="6B1C004B" w14:textId="77777777" w:rsidTr="00DC29C5">
        <w:tc>
          <w:tcPr>
            <w:tcW w:w="2969" w:type="dxa"/>
            <w:vAlign w:val="center"/>
          </w:tcPr>
          <w:p w14:paraId="7AE3F4FB" w14:textId="77777777" w:rsidR="00A93BD3" w:rsidRDefault="00A93BD3" w:rsidP="009A14C6">
            <w:pPr>
              <w:pStyle w:val="af1"/>
              <w:ind w:left="0" w:right="-142"/>
              <w:contextualSpacing w:val="0"/>
              <w:rPr>
                <w:rFonts w:cs="David"/>
                <w:sz w:val="24"/>
                <w:szCs w:val="24"/>
                <w:rtl/>
              </w:rPr>
            </w:pPr>
          </w:p>
        </w:tc>
        <w:tc>
          <w:tcPr>
            <w:tcW w:w="1559" w:type="dxa"/>
            <w:vAlign w:val="center"/>
          </w:tcPr>
          <w:p w14:paraId="163A2836" w14:textId="77777777" w:rsidR="00A93BD3" w:rsidRPr="00A93BD3" w:rsidRDefault="00A93BD3" w:rsidP="009A14C6">
            <w:pPr>
              <w:pStyle w:val="af1"/>
              <w:ind w:left="0" w:right="-142"/>
              <w:contextualSpacing w:val="0"/>
              <w:jc w:val="center"/>
              <w:rPr>
                <w:rFonts w:cs="David"/>
                <w:b/>
                <w:bCs/>
                <w:sz w:val="24"/>
                <w:szCs w:val="24"/>
                <w:rtl/>
              </w:rPr>
            </w:pPr>
            <w:r w:rsidRPr="00A93BD3">
              <w:rPr>
                <w:rFonts w:cs="David" w:hint="cs"/>
                <w:b/>
                <w:bCs/>
                <w:sz w:val="24"/>
                <w:szCs w:val="24"/>
                <w:rtl/>
              </w:rPr>
              <w:t>ועדה מקומית</w:t>
            </w:r>
          </w:p>
        </w:tc>
        <w:tc>
          <w:tcPr>
            <w:tcW w:w="1843" w:type="dxa"/>
            <w:vAlign w:val="center"/>
          </w:tcPr>
          <w:p w14:paraId="5025702A" w14:textId="77777777" w:rsidR="00A93BD3" w:rsidRPr="00A93BD3" w:rsidRDefault="00A93BD3" w:rsidP="009A14C6">
            <w:pPr>
              <w:pStyle w:val="af1"/>
              <w:ind w:left="0" w:right="-142"/>
              <w:contextualSpacing w:val="0"/>
              <w:jc w:val="center"/>
              <w:rPr>
                <w:rFonts w:cs="David"/>
                <w:b/>
                <w:bCs/>
                <w:sz w:val="24"/>
                <w:szCs w:val="24"/>
                <w:rtl/>
              </w:rPr>
            </w:pPr>
            <w:r w:rsidRPr="00A93BD3">
              <w:rPr>
                <w:rFonts w:cs="David" w:hint="cs"/>
                <w:b/>
                <w:bCs/>
                <w:sz w:val="24"/>
                <w:szCs w:val="24"/>
                <w:rtl/>
              </w:rPr>
              <w:t>העוררת</w:t>
            </w:r>
          </w:p>
        </w:tc>
        <w:tc>
          <w:tcPr>
            <w:tcW w:w="1839" w:type="dxa"/>
            <w:vAlign w:val="center"/>
          </w:tcPr>
          <w:p w14:paraId="474CDF36" w14:textId="77777777" w:rsidR="00A93BD3" w:rsidRPr="00A93BD3" w:rsidRDefault="00A93BD3" w:rsidP="009A14C6">
            <w:pPr>
              <w:pStyle w:val="af1"/>
              <w:ind w:left="0" w:right="-142"/>
              <w:contextualSpacing w:val="0"/>
              <w:jc w:val="center"/>
              <w:rPr>
                <w:rFonts w:cs="David"/>
                <w:b/>
                <w:bCs/>
                <w:sz w:val="24"/>
                <w:szCs w:val="24"/>
                <w:rtl/>
              </w:rPr>
            </w:pPr>
            <w:r w:rsidRPr="00A93BD3">
              <w:rPr>
                <w:rFonts w:cs="David" w:hint="cs"/>
                <w:b/>
                <w:bCs/>
                <w:sz w:val="24"/>
                <w:szCs w:val="24"/>
                <w:rtl/>
              </w:rPr>
              <w:t>השמאי המכריע</w:t>
            </w:r>
          </w:p>
        </w:tc>
      </w:tr>
      <w:tr w:rsidR="00A93BD3" w14:paraId="19667C8B" w14:textId="77777777" w:rsidTr="00DC29C5">
        <w:tc>
          <w:tcPr>
            <w:tcW w:w="2969" w:type="dxa"/>
            <w:vAlign w:val="center"/>
          </w:tcPr>
          <w:p w14:paraId="2C4429BE" w14:textId="77777777" w:rsidR="00A93BD3" w:rsidRDefault="00A93BD3" w:rsidP="009A14C6">
            <w:pPr>
              <w:pStyle w:val="af1"/>
              <w:ind w:left="0" w:right="-142"/>
              <w:contextualSpacing w:val="0"/>
              <w:rPr>
                <w:rFonts w:cs="David"/>
                <w:sz w:val="24"/>
                <w:szCs w:val="24"/>
                <w:rtl/>
              </w:rPr>
            </w:pPr>
            <w:r w:rsidRPr="000D313D">
              <w:rPr>
                <w:rFonts w:cs="David" w:hint="cs"/>
                <w:b/>
                <w:bCs/>
                <w:sz w:val="24"/>
                <w:szCs w:val="24"/>
                <w:rtl/>
              </w:rPr>
              <w:t>שומ</w:t>
            </w:r>
            <w:r w:rsidR="00DC29C5">
              <w:rPr>
                <w:rFonts w:cs="David" w:hint="cs"/>
                <w:b/>
                <w:bCs/>
                <w:sz w:val="24"/>
                <w:szCs w:val="24"/>
                <w:rtl/>
              </w:rPr>
              <w:t>ה מכרעת</w:t>
            </w:r>
            <w:r w:rsidRPr="000D313D">
              <w:rPr>
                <w:rFonts w:cs="David" w:hint="cs"/>
                <w:b/>
                <w:bCs/>
                <w:sz w:val="24"/>
                <w:szCs w:val="24"/>
                <w:rtl/>
              </w:rPr>
              <w:t xml:space="preserve"> אפי קפיטל </w:t>
            </w:r>
            <w:r w:rsidR="00CD2C75">
              <w:rPr>
                <w:rFonts w:cs="David" w:hint="cs"/>
                <w:b/>
                <w:bCs/>
                <w:sz w:val="24"/>
                <w:szCs w:val="24"/>
                <w:rtl/>
              </w:rPr>
              <w:t>2021</w:t>
            </w:r>
          </w:p>
        </w:tc>
        <w:tc>
          <w:tcPr>
            <w:tcW w:w="1559" w:type="dxa"/>
            <w:vAlign w:val="center"/>
          </w:tcPr>
          <w:p w14:paraId="4E023876" w14:textId="77777777" w:rsidR="00A93BD3" w:rsidRDefault="009A14C6" w:rsidP="009A14C6">
            <w:pPr>
              <w:pStyle w:val="af1"/>
              <w:ind w:left="0" w:right="-142"/>
              <w:contextualSpacing w:val="0"/>
              <w:jc w:val="center"/>
              <w:rPr>
                <w:rFonts w:cs="David"/>
                <w:sz w:val="24"/>
                <w:szCs w:val="24"/>
                <w:rtl/>
              </w:rPr>
            </w:pPr>
            <w:r>
              <w:rPr>
                <w:rFonts w:cs="David" w:hint="cs"/>
                <w:sz w:val="24"/>
                <w:szCs w:val="24"/>
                <w:rtl/>
              </w:rPr>
              <w:t>300</w:t>
            </w:r>
          </w:p>
        </w:tc>
        <w:tc>
          <w:tcPr>
            <w:tcW w:w="1843" w:type="dxa"/>
            <w:vAlign w:val="center"/>
          </w:tcPr>
          <w:p w14:paraId="463CE9EC" w14:textId="77777777" w:rsidR="00A93BD3" w:rsidRDefault="00D65048" w:rsidP="009A14C6">
            <w:pPr>
              <w:pStyle w:val="af1"/>
              <w:ind w:left="0" w:right="-142"/>
              <w:contextualSpacing w:val="0"/>
              <w:jc w:val="center"/>
              <w:rPr>
                <w:rFonts w:cs="David"/>
                <w:sz w:val="24"/>
                <w:szCs w:val="24"/>
                <w:rtl/>
              </w:rPr>
            </w:pPr>
            <w:r>
              <w:rPr>
                <w:rFonts w:cs="David" w:hint="cs"/>
                <w:sz w:val="24"/>
                <w:szCs w:val="24"/>
                <w:rtl/>
              </w:rPr>
              <w:t>630</w:t>
            </w:r>
          </w:p>
        </w:tc>
        <w:tc>
          <w:tcPr>
            <w:tcW w:w="1839" w:type="dxa"/>
            <w:vAlign w:val="center"/>
          </w:tcPr>
          <w:p w14:paraId="29E6E185" w14:textId="77777777" w:rsidR="00A93BD3" w:rsidRDefault="00D65048" w:rsidP="009A14C6">
            <w:pPr>
              <w:pStyle w:val="af1"/>
              <w:ind w:left="0" w:right="-142"/>
              <w:contextualSpacing w:val="0"/>
              <w:jc w:val="center"/>
              <w:rPr>
                <w:rFonts w:cs="David"/>
                <w:sz w:val="24"/>
                <w:szCs w:val="24"/>
                <w:rtl/>
              </w:rPr>
            </w:pPr>
            <w:r>
              <w:rPr>
                <w:rFonts w:cs="David" w:hint="cs"/>
                <w:sz w:val="24"/>
                <w:szCs w:val="24"/>
                <w:rtl/>
              </w:rPr>
              <w:t>300</w:t>
            </w:r>
          </w:p>
        </w:tc>
      </w:tr>
      <w:tr w:rsidR="00A93BD3" w14:paraId="4E4E8CCB" w14:textId="77777777" w:rsidTr="00DC29C5">
        <w:tc>
          <w:tcPr>
            <w:tcW w:w="2969" w:type="dxa"/>
            <w:vAlign w:val="center"/>
          </w:tcPr>
          <w:p w14:paraId="0BC49014" w14:textId="77777777" w:rsidR="00A93BD3" w:rsidRDefault="00A93BD3" w:rsidP="009A14C6">
            <w:pPr>
              <w:pStyle w:val="af1"/>
              <w:ind w:left="0" w:right="-142"/>
              <w:contextualSpacing w:val="0"/>
              <w:rPr>
                <w:rFonts w:cs="David"/>
                <w:sz w:val="24"/>
                <w:szCs w:val="24"/>
                <w:rtl/>
              </w:rPr>
            </w:pPr>
            <w:r w:rsidRPr="000D313D">
              <w:rPr>
                <w:rFonts w:cs="David" w:hint="cs"/>
                <w:b/>
                <w:bCs/>
                <w:sz w:val="24"/>
                <w:szCs w:val="24"/>
                <w:rtl/>
              </w:rPr>
              <w:t>שומ</w:t>
            </w:r>
            <w:r w:rsidR="00DC29C5">
              <w:rPr>
                <w:rFonts w:cs="David" w:hint="cs"/>
                <w:b/>
                <w:bCs/>
                <w:sz w:val="24"/>
                <w:szCs w:val="24"/>
                <w:rtl/>
              </w:rPr>
              <w:t>ה מכרעת</w:t>
            </w:r>
            <w:r w:rsidRPr="000D313D">
              <w:rPr>
                <w:rFonts w:cs="David" w:hint="cs"/>
                <w:b/>
                <w:bCs/>
                <w:sz w:val="24"/>
                <w:szCs w:val="24"/>
                <w:rtl/>
              </w:rPr>
              <w:t xml:space="preserve"> סלעית </w:t>
            </w:r>
            <w:r>
              <w:rPr>
                <w:rFonts w:cs="David" w:hint="cs"/>
                <w:b/>
                <w:bCs/>
                <w:sz w:val="24"/>
                <w:szCs w:val="24"/>
                <w:rtl/>
              </w:rPr>
              <w:t>2021</w:t>
            </w:r>
          </w:p>
        </w:tc>
        <w:tc>
          <w:tcPr>
            <w:tcW w:w="1559" w:type="dxa"/>
            <w:vAlign w:val="center"/>
          </w:tcPr>
          <w:p w14:paraId="0ED80FDB" w14:textId="77777777" w:rsidR="00A93BD3" w:rsidRDefault="009A14C6" w:rsidP="009A14C6">
            <w:pPr>
              <w:pStyle w:val="af1"/>
              <w:ind w:left="0" w:right="-142"/>
              <w:contextualSpacing w:val="0"/>
              <w:jc w:val="center"/>
              <w:rPr>
                <w:rFonts w:cs="David"/>
                <w:sz w:val="24"/>
                <w:szCs w:val="24"/>
                <w:rtl/>
              </w:rPr>
            </w:pPr>
            <w:r>
              <w:rPr>
                <w:rFonts w:cs="David" w:hint="cs"/>
                <w:sz w:val="24"/>
                <w:szCs w:val="24"/>
                <w:rtl/>
              </w:rPr>
              <w:t>300</w:t>
            </w:r>
          </w:p>
        </w:tc>
        <w:tc>
          <w:tcPr>
            <w:tcW w:w="1843" w:type="dxa"/>
            <w:vAlign w:val="center"/>
          </w:tcPr>
          <w:p w14:paraId="11E50E11" w14:textId="77777777" w:rsidR="00A93BD3" w:rsidRDefault="009A14C6" w:rsidP="009A14C6">
            <w:pPr>
              <w:pStyle w:val="af1"/>
              <w:ind w:left="0" w:right="-142"/>
              <w:contextualSpacing w:val="0"/>
              <w:jc w:val="center"/>
              <w:rPr>
                <w:rFonts w:cs="David"/>
                <w:sz w:val="24"/>
                <w:szCs w:val="24"/>
                <w:rtl/>
              </w:rPr>
            </w:pPr>
            <w:r>
              <w:rPr>
                <w:rFonts w:cs="David" w:hint="cs"/>
                <w:sz w:val="24"/>
                <w:szCs w:val="24"/>
                <w:rtl/>
              </w:rPr>
              <w:t>670</w:t>
            </w:r>
          </w:p>
        </w:tc>
        <w:tc>
          <w:tcPr>
            <w:tcW w:w="1839" w:type="dxa"/>
            <w:vAlign w:val="center"/>
          </w:tcPr>
          <w:p w14:paraId="1B595CEC" w14:textId="77777777" w:rsidR="00A93BD3" w:rsidRDefault="009A14C6" w:rsidP="009A14C6">
            <w:pPr>
              <w:pStyle w:val="af1"/>
              <w:ind w:left="0" w:right="-142"/>
              <w:contextualSpacing w:val="0"/>
              <w:jc w:val="center"/>
              <w:rPr>
                <w:rFonts w:cs="David"/>
                <w:sz w:val="24"/>
                <w:szCs w:val="24"/>
                <w:rtl/>
              </w:rPr>
            </w:pPr>
            <w:r>
              <w:rPr>
                <w:rFonts w:cs="David" w:hint="cs"/>
                <w:sz w:val="24"/>
                <w:szCs w:val="24"/>
                <w:rtl/>
              </w:rPr>
              <w:t>300</w:t>
            </w:r>
          </w:p>
        </w:tc>
      </w:tr>
      <w:tr w:rsidR="00A93BD3" w14:paraId="23C3E48A" w14:textId="77777777" w:rsidTr="00DC29C5">
        <w:tc>
          <w:tcPr>
            <w:tcW w:w="2969" w:type="dxa"/>
            <w:vAlign w:val="center"/>
          </w:tcPr>
          <w:p w14:paraId="367C3764" w14:textId="77777777" w:rsidR="00A93BD3" w:rsidRDefault="00A93BD3" w:rsidP="009A14C6">
            <w:pPr>
              <w:pStyle w:val="af1"/>
              <w:ind w:left="0" w:right="-142"/>
              <w:contextualSpacing w:val="0"/>
              <w:rPr>
                <w:rFonts w:cs="David"/>
                <w:sz w:val="24"/>
                <w:szCs w:val="24"/>
                <w:rtl/>
              </w:rPr>
            </w:pPr>
            <w:r w:rsidRPr="000D313D">
              <w:rPr>
                <w:rFonts w:cs="David" w:hint="cs"/>
                <w:b/>
                <w:bCs/>
                <w:sz w:val="24"/>
                <w:szCs w:val="24"/>
                <w:rtl/>
              </w:rPr>
              <w:t>שומ</w:t>
            </w:r>
            <w:r w:rsidR="00DC29C5">
              <w:rPr>
                <w:rFonts w:cs="David" w:hint="cs"/>
                <w:b/>
                <w:bCs/>
                <w:sz w:val="24"/>
                <w:szCs w:val="24"/>
                <w:rtl/>
              </w:rPr>
              <w:t xml:space="preserve">ה מכרעת </w:t>
            </w:r>
            <w:r w:rsidRPr="000D313D">
              <w:rPr>
                <w:rFonts w:cs="David" w:hint="cs"/>
                <w:b/>
                <w:bCs/>
                <w:sz w:val="24"/>
                <w:szCs w:val="24"/>
                <w:rtl/>
              </w:rPr>
              <w:t>אפי קפיטל</w:t>
            </w:r>
            <w:r w:rsidR="00CD2C75">
              <w:rPr>
                <w:rFonts w:cs="David" w:hint="cs"/>
                <w:b/>
                <w:bCs/>
                <w:sz w:val="24"/>
                <w:szCs w:val="24"/>
                <w:rtl/>
              </w:rPr>
              <w:t xml:space="preserve"> 2023</w:t>
            </w:r>
          </w:p>
        </w:tc>
        <w:tc>
          <w:tcPr>
            <w:tcW w:w="1559" w:type="dxa"/>
            <w:vAlign w:val="center"/>
          </w:tcPr>
          <w:p w14:paraId="5665C387" w14:textId="77777777" w:rsidR="00A93BD3" w:rsidRDefault="009A14C6" w:rsidP="009A14C6">
            <w:pPr>
              <w:pStyle w:val="af1"/>
              <w:ind w:left="0" w:right="-142"/>
              <w:contextualSpacing w:val="0"/>
              <w:jc w:val="center"/>
              <w:rPr>
                <w:rFonts w:cs="David"/>
                <w:sz w:val="24"/>
                <w:szCs w:val="24"/>
                <w:rtl/>
              </w:rPr>
            </w:pPr>
            <w:r>
              <w:rPr>
                <w:rFonts w:cs="David" w:hint="cs"/>
                <w:sz w:val="24"/>
                <w:szCs w:val="24"/>
                <w:rtl/>
              </w:rPr>
              <w:t>300</w:t>
            </w:r>
          </w:p>
        </w:tc>
        <w:tc>
          <w:tcPr>
            <w:tcW w:w="1843" w:type="dxa"/>
            <w:vAlign w:val="center"/>
          </w:tcPr>
          <w:p w14:paraId="190B07D5" w14:textId="77777777" w:rsidR="00A93BD3" w:rsidRDefault="009A14C6" w:rsidP="009A14C6">
            <w:pPr>
              <w:pStyle w:val="af1"/>
              <w:ind w:left="0" w:right="-142"/>
              <w:contextualSpacing w:val="0"/>
              <w:jc w:val="center"/>
              <w:rPr>
                <w:rFonts w:cs="David"/>
                <w:sz w:val="24"/>
                <w:szCs w:val="24"/>
                <w:rtl/>
              </w:rPr>
            </w:pPr>
            <w:r>
              <w:rPr>
                <w:rFonts w:cs="David" w:hint="cs"/>
                <w:sz w:val="24"/>
                <w:szCs w:val="24"/>
                <w:rtl/>
              </w:rPr>
              <w:t>600</w:t>
            </w:r>
          </w:p>
        </w:tc>
        <w:tc>
          <w:tcPr>
            <w:tcW w:w="1839" w:type="dxa"/>
            <w:vAlign w:val="center"/>
          </w:tcPr>
          <w:p w14:paraId="57383E89" w14:textId="77777777" w:rsidR="00A93BD3" w:rsidRDefault="009A14C6" w:rsidP="009A14C6">
            <w:pPr>
              <w:pStyle w:val="af1"/>
              <w:ind w:left="0" w:right="-142"/>
              <w:contextualSpacing w:val="0"/>
              <w:jc w:val="center"/>
              <w:rPr>
                <w:rFonts w:cs="David"/>
                <w:sz w:val="24"/>
                <w:szCs w:val="24"/>
                <w:rtl/>
              </w:rPr>
            </w:pPr>
            <w:r>
              <w:rPr>
                <w:rFonts w:cs="David" w:hint="cs"/>
                <w:sz w:val="24"/>
                <w:szCs w:val="24"/>
                <w:rtl/>
              </w:rPr>
              <w:t>300</w:t>
            </w:r>
          </w:p>
        </w:tc>
      </w:tr>
      <w:tr w:rsidR="00A93BD3" w14:paraId="47773943" w14:textId="77777777" w:rsidTr="00DC29C5">
        <w:tc>
          <w:tcPr>
            <w:tcW w:w="2969" w:type="dxa"/>
            <w:vAlign w:val="center"/>
          </w:tcPr>
          <w:p w14:paraId="2D2342A6" w14:textId="77777777" w:rsidR="00A93BD3" w:rsidRDefault="00A93BD3" w:rsidP="009A14C6">
            <w:pPr>
              <w:pStyle w:val="af1"/>
              <w:ind w:left="0" w:right="-142"/>
              <w:contextualSpacing w:val="0"/>
              <w:rPr>
                <w:rFonts w:cs="David"/>
                <w:sz w:val="24"/>
                <w:szCs w:val="24"/>
                <w:rtl/>
              </w:rPr>
            </w:pPr>
            <w:r w:rsidRPr="000D313D">
              <w:rPr>
                <w:rFonts w:cs="David" w:hint="cs"/>
                <w:b/>
                <w:bCs/>
                <w:sz w:val="24"/>
                <w:szCs w:val="24"/>
                <w:rtl/>
              </w:rPr>
              <w:t>שומ</w:t>
            </w:r>
            <w:r w:rsidR="00DC29C5">
              <w:rPr>
                <w:rFonts w:cs="David" w:hint="cs"/>
                <w:b/>
                <w:bCs/>
                <w:sz w:val="24"/>
                <w:szCs w:val="24"/>
                <w:rtl/>
              </w:rPr>
              <w:t>ה מכרעת</w:t>
            </w:r>
            <w:r w:rsidRPr="000D313D">
              <w:rPr>
                <w:rFonts w:cs="David" w:hint="cs"/>
                <w:b/>
                <w:bCs/>
                <w:sz w:val="24"/>
                <w:szCs w:val="24"/>
                <w:rtl/>
              </w:rPr>
              <w:t xml:space="preserve"> סלעית </w:t>
            </w:r>
            <w:r>
              <w:rPr>
                <w:rFonts w:cs="David" w:hint="cs"/>
                <w:b/>
                <w:bCs/>
                <w:sz w:val="24"/>
                <w:szCs w:val="24"/>
                <w:rtl/>
              </w:rPr>
              <w:t>2023</w:t>
            </w:r>
          </w:p>
        </w:tc>
        <w:tc>
          <w:tcPr>
            <w:tcW w:w="1559" w:type="dxa"/>
            <w:vAlign w:val="center"/>
          </w:tcPr>
          <w:p w14:paraId="3CC09CD7" w14:textId="77777777" w:rsidR="00A93BD3" w:rsidRDefault="009A14C6" w:rsidP="009A14C6">
            <w:pPr>
              <w:pStyle w:val="af1"/>
              <w:ind w:left="0" w:right="-142"/>
              <w:contextualSpacing w:val="0"/>
              <w:jc w:val="center"/>
              <w:rPr>
                <w:rFonts w:cs="David"/>
                <w:sz w:val="24"/>
                <w:szCs w:val="24"/>
                <w:rtl/>
              </w:rPr>
            </w:pPr>
            <w:r>
              <w:rPr>
                <w:rFonts w:cs="David" w:hint="cs"/>
                <w:sz w:val="24"/>
                <w:szCs w:val="24"/>
                <w:rtl/>
              </w:rPr>
              <w:t>300</w:t>
            </w:r>
          </w:p>
        </w:tc>
        <w:tc>
          <w:tcPr>
            <w:tcW w:w="1843" w:type="dxa"/>
            <w:vAlign w:val="center"/>
          </w:tcPr>
          <w:p w14:paraId="444DC955" w14:textId="77777777" w:rsidR="00A93BD3" w:rsidRDefault="009A14C6" w:rsidP="009A14C6">
            <w:pPr>
              <w:pStyle w:val="af1"/>
              <w:ind w:left="0" w:right="-142"/>
              <w:contextualSpacing w:val="0"/>
              <w:jc w:val="center"/>
              <w:rPr>
                <w:rFonts w:cs="David"/>
                <w:sz w:val="24"/>
                <w:szCs w:val="24"/>
                <w:rtl/>
              </w:rPr>
            </w:pPr>
            <w:r>
              <w:rPr>
                <w:rFonts w:cs="David" w:hint="cs"/>
                <w:sz w:val="24"/>
                <w:szCs w:val="24"/>
                <w:rtl/>
              </w:rPr>
              <w:t>600</w:t>
            </w:r>
          </w:p>
        </w:tc>
        <w:tc>
          <w:tcPr>
            <w:tcW w:w="1839" w:type="dxa"/>
            <w:vAlign w:val="center"/>
          </w:tcPr>
          <w:p w14:paraId="7731AAED" w14:textId="77777777" w:rsidR="00A93BD3" w:rsidRDefault="009A14C6" w:rsidP="009A14C6">
            <w:pPr>
              <w:pStyle w:val="af1"/>
              <w:ind w:left="0" w:right="-142"/>
              <w:contextualSpacing w:val="0"/>
              <w:jc w:val="center"/>
              <w:rPr>
                <w:rFonts w:cs="David"/>
                <w:sz w:val="24"/>
                <w:szCs w:val="24"/>
                <w:rtl/>
              </w:rPr>
            </w:pPr>
            <w:r>
              <w:rPr>
                <w:rFonts w:cs="David" w:hint="cs"/>
                <w:sz w:val="24"/>
                <w:szCs w:val="24"/>
                <w:rtl/>
              </w:rPr>
              <w:t>300</w:t>
            </w:r>
          </w:p>
        </w:tc>
      </w:tr>
    </w:tbl>
    <w:p w14:paraId="43DCA039" w14:textId="77777777" w:rsidR="009A14C6" w:rsidRDefault="009A14C6" w:rsidP="009A14C6">
      <w:pPr>
        <w:pStyle w:val="af1"/>
        <w:spacing w:after="0" w:line="240" w:lineRule="auto"/>
        <w:ind w:left="471" w:right="-142"/>
        <w:contextualSpacing w:val="0"/>
        <w:jc w:val="both"/>
        <w:rPr>
          <w:rFonts w:cs="David"/>
          <w:sz w:val="24"/>
          <w:szCs w:val="24"/>
        </w:rPr>
      </w:pPr>
    </w:p>
    <w:p w14:paraId="01FB7F3B" w14:textId="77777777" w:rsidR="009536CF" w:rsidRDefault="00EF278B" w:rsidP="00EF278B">
      <w:pPr>
        <w:pStyle w:val="af1"/>
        <w:numPr>
          <w:ilvl w:val="0"/>
          <w:numId w:val="1"/>
        </w:numPr>
        <w:spacing w:after="120" w:line="360" w:lineRule="auto"/>
        <w:ind w:left="470" w:right="-142" w:hanging="425"/>
        <w:contextualSpacing w:val="0"/>
        <w:jc w:val="both"/>
        <w:rPr>
          <w:rFonts w:cs="David"/>
          <w:sz w:val="24"/>
          <w:szCs w:val="24"/>
        </w:rPr>
      </w:pPr>
      <w:r w:rsidRPr="00EF278B">
        <w:rPr>
          <w:rFonts w:cs="David"/>
          <w:sz w:val="24"/>
          <w:szCs w:val="24"/>
          <w:rtl/>
        </w:rPr>
        <w:t xml:space="preserve">שמאי הוועדה המקומית התבסס בשומותיו בעיקר על עסקאות במקרקעין בייעוד חקלאי שנערכו בשנים </w:t>
      </w:r>
      <w:r w:rsidR="009536CF">
        <w:rPr>
          <w:rFonts w:cs="David" w:hint="cs"/>
          <w:sz w:val="24"/>
          <w:szCs w:val="24"/>
          <w:rtl/>
        </w:rPr>
        <w:t xml:space="preserve">2016 </w:t>
      </w:r>
      <w:r w:rsidR="009536CF">
        <w:rPr>
          <w:rFonts w:cs="David"/>
          <w:sz w:val="24"/>
          <w:szCs w:val="24"/>
          <w:rtl/>
        </w:rPr>
        <w:t>–</w:t>
      </w:r>
      <w:r w:rsidR="009536CF">
        <w:rPr>
          <w:rFonts w:cs="David" w:hint="cs"/>
          <w:sz w:val="24"/>
          <w:szCs w:val="24"/>
          <w:rtl/>
        </w:rPr>
        <w:t xml:space="preserve"> 2018</w:t>
      </w:r>
      <w:r w:rsidRPr="00EF278B">
        <w:rPr>
          <w:rFonts w:cs="David"/>
          <w:sz w:val="24"/>
          <w:szCs w:val="24"/>
          <w:rtl/>
        </w:rPr>
        <w:t xml:space="preserve">, </w:t>
      </w:r>
      <w:r w:rsidR="001844BE">
        <w:rPr>
          <w:rFonts w:cs="David" w:hint="cs"/>
          <w:sz w:val="24"/>
          <w:szCs w:val="24"/>
          <w:rtl/>
        </w:rPr>
        <w:t>בגוש 10039 ובגוש 10044 הסמוך, הנכלל במרחב התכנון המקומי של חדרה. חלק מהמ</w:t>
      </w:r>
      <w:r w:rsidRPr="00EF278B">
        <w:rPr>
          <w:rFonts w:cs="David"/>
          <w:sz w:val="24"/>
          <w:szCs w:val="24"/>
          <w:rtl/>
        </w:rPr>
        <w:t xml:space="preserve">קרקעין </w:t>
      </w:r>
      <w:r w:rsidR="001844BE">
        <w:rPr>
          <w:rFonts w:cs="David" w:hint="cs"/>
          <w:sz w:val="24"/>
          <w:szCs w:val="24"/>
          <w:rtl/>
        </w:rPr>
        <w:t>א</w:t>
      </w:r>
      <w:r w:rsidRPr="00EF278B">
        <w:rPr>
          <w:rFonts w:cs="David"/>
          <w:sz w:val="24"/>
          <w:szCs w:val="24"/>
          <w:rtl/>
        </w:rPr>
        <w:t>ינם צמודי דופן ליישוב קיים ו</w:t>
      </w:r>
      <w:r w:rsidR="001844BE">
        <w:rPr>
          <w:rFonts w:cs="David" w:hint="cs"/>
          <w:sz w:val="24"/>
          <w:szCs w:val="24"/>
          <w:rtl/>
        </w:rPr>
        <w:t>העסקאות מתייחסות ברובן ל</w:t>
      </w:r>
      <w:r w:rsidRPr="00EF278B">
        <w:rPr>
          <w:rFonts w:cs="David"/>
          <w:sz w:val="24"/>
          <w:szCs w:val="24"/>
          <w:rtl/>
        </w:rPr>
        <w:t xml:space="preserve">שטחים גדולים יחסית. לאחר ביצוע התאמות שמאיות, </w:t>
      </w:r>
      <w:r w:rsidR="001844BE">
        <w:rPr>
          <w:rFonts w:cs="David" w:hint="cs"/>
          <w:sz w:val="24"/>
          <w:szCs w:val="24"/>
          <w:rtl/>
        </w:rPr>
        <w:t>מצא</w:t>
      </w:r>
      <w:r w:rsidRPr="00EF278B">
        <w:rPr>
          <w:rFonts w:cs="David"/>
          <w:sz w:val="24"/>
          <w:szCs w:val="24"/>
          <w:rtl/>
        </w:rPr>
        <w:t xml:space="preserve"> </w:t>
      </w:r>
      <w:r w:rsidR="001844BE">
        <w:rPr>
          <w:rFonts w:cs="David" w:hint="cs"/>
          <w:sz w:val="24"/>
          <w:szCs w:val="24"/>
          <w:rtl/>
        </w:rPr>
        <w:t xml:space="preserve">שמאי הוועדה המקומית כי עסקאות אלו משקפות שווי של כ- </w:t>
      </w:r>
      <w:r w:rsidRPr="00EF278B">
        <w:rPr>
          <w:rFonts w:cs="David"/>
          <w:sz w:val="24"/>
          <w:szCs w:val="24"/>
          <w:rtl/>
        </w:rPr>
        <w:t>300 ₪ למ"ר</w:t>
      </w:r>
      <w:r w:rsidR="001844BE">
        <w:rPr>
          <w:rFonts w:cs="David" w:hint="cs"/>
          <w:sz w:val="24"/>
          <w:szCs w:val="24"/>
          <w:rtl/>
        </w:rPr>
        <w:t xml:space="preserve"> במצב הקודם</w:t>
      </w:r>
      <w:r w:rsidRPr="00EF278B">
        <w:rPr>
          <w:rFonts w:cs="David"/>
          <w:sz w:val="24"/>
          <w:szCs w:val="24"/>
          <w:rtl/>
        </w:rPr>
        <w:t xml:space="preserve">, ונתן להן משקל מרכזי בקביעת השווי. </w:t>
      </w:r>
      <w:r w:rsidR="009536CF">
        <w:rPr>
          <w:rFonts w:cs="David" w:hint="cs"/>
          <w:sz w:val="24"/>
          <w:szCs w:val="24"/>
          <w:rtl/>
        </w:rPr>
        <w:t>בשומתו  מיום 18.7.2022 לעניין סלעית הפנה שמאי הוועדה המקומית גם לשש שומות מכריעות קודמות בתחום התוכנית:</w:t>
      </w:r>
      <w:r w:rsidR="00D06856">
        <w:rPr>
          <w:rStyle w:val="afa"/>
          <w:rFonts w:cs="David"/>
          <w:sz w:val="24"/>
          <w:szCs w:val="24"/>
        </w:rPr>
        <w:footnoteReference w:id="1"/>
      </w:r>
    </w:p>
    <w:p w14:paraId="284CA9B7" w14:textId="77777777" w:rsidR="00D06856" w:rsidRDefault="00D06856" w:rsidP="00D06856">
      <w:pPr>
        <w:pStyle w:val="a0"/>
        <w:numPr>
          <w:ilvl w:val="0"/>
          <w:numId w:val="0"/>
        </w:numPr>
        <w:ind w:left="471"/>
        <w:contextualSpacing w:val="0"/>
      </w:pPr>
      <w:r>
        <w:rPr>
          <w:rFonts w:hint="cs"/>
          <w:rtl/>
        </w:rPr>
        <w:t>שומה מכרעת של גב' אוולין דודזון שמאמה מה- 3.8.2020 שקבעה 300 ₪/מ"ר.</w:t>
      </w:r>
    </w:p>
    <w:p w14:paraId="20179C90" w14:textId="0A132C2D" w:rsidR="00D06856" w:rsidRDefault="00D06856" w:rsidP="00D06856">
      <w:pPr>
        <w:pStyle w:val="a0"/>
        <w:numPr>
          <w:ilvl w:val="0"/>
          <w:numId w:val="0"/>
        </w:numPr>
        <w:ind w:left="471"/>
        <w:contextualSpacing w:val="0"/>
      </w:pPr>
      <w:r>
        <w:rPr>
          <w:rFonts w:hint="cs"/>
          <w:rtl/>
        </w:rPr>
        <w:t>שומה מכרעת של אלי כהן מיום 3.8.2020 שקבע 400 ₪/מ"ר.</w:t>
      </w:r>
    </w:p>
    <w:p w14:paraId="44DE0AF1" w14:textId="77777777" w:rsidR="001844BE" w:rsidRDefault="00D06856" w:rsidP="00D06856">
      <w:pPr>
        <w:pStyle w:val="a0"/>
        <w:numPr>
          <w:ilvl w:val="0"/>
          <w:numId w:val="0"/>
        </w:numPr>
        <w:ind w:left="471"/>
        <w:contextualSpacing w:val="0"/>
      </w:pPr>
      <w:r>
        <w:rPr>
          <w:rFonts w:hint="cs"/>
          <w:rtl/>
        </w:rPr>
        <w:t xml:space="preserve">4 שומות מכריעות של </w:t>
      </w:r>
      <w:r w:rsidR="009536CF">
        <w:rPr>
          <w:rFonts w:hint="cs"/>
          <w:rtl/>
        </w:rPr>
        <w:t>גיל הרצברג</w:t>
      </w:r>
      <w:r>
        <w:rPr>
          <w:rFonts w:hint="cs"/>
          <w:rtl/>
        </w:rPr>
        <w:t xml:space="preserve"> מיום 16.8.2021 שקבעו 300 ₪/מ"ר</w:t>
      </w:r>
      <w:r w:rsidR="009536CF">
        <w:rPr>
          <w:rFonts w:hint="cs"/>
          <w:rtl/>
        </w:rPr>
        <w:t>.</w:t>
      </w:r>
    </w:p>
    <w:p w14:paraId="15569619" w14:textId="2053A977" w:rsidR="00D9512E" w:rsidRDefault="00D9512E" w:rsidP="00D9512E">
      <w:pPr>
        <w:pStyle w:val="af1"/>
        <w:numPr>
          <w:ilvl w:val="0"/>
          <w:numId w:val="1"/>
        </w:numPr>
        <w:spacing w:after="120" w:line="360" w:lineRule="auto"/>
        <w:ind w:left="470" w:right="-142" w:hanging="425"/>
        <w:contextualSpacing w:val="0"/>
        <w:jc w:val="both"/>
        <w:rPr>
          <w:rFonts w:cs="David"/>
          <w:sz w:val="24"/>
          <w:szCs w:val="24"/>
        </w:rPr>
      </w:pPr>
      <w:r>
        <w:rPr>
          <w:rFonts w:cs="David" w:hint="cs"/>
          <w:sz w:val="24"/>
          <w:szCs w:val="24"/>
          <w:rtl/>
        </w:rPr>
        <w:t xml:space="preserve">שמאי העוררות </w:t>
      </w:r>
      <w:r w:rsidR="00EF278B" w:rsidRPr="00EF278B">
        <w:rPr>
          <w:rFonts w:cs="David"/>
          <w:sz w:val="24"/>
          <w:szCs w:val="24"/>
          <w:rtl/>
        </w:rPr>
        <w:t>התבסס בשומ</w:t>
      </w:r>
      <w:r>
        <w:rPr>
          <w:rFonts w:cs="David" w:hint="cs"/>
          <w:sz w:val="24"/>
          <w:szCs w:val="24"/>
          <w:rtl/>
        </w:rPr>
        <w:t>ו</w:t>
      </w:r>
      <w:r w:rsidR="00EF278B" w:rsidRPr="00EF278B">
        <w:rPr>
          <w:rFonts w:cs="David"/>
          <w:sz w:val="24"/>
          <w:szCs w:val="24"/>
          <w:rtl/>
        </w:rPr>
        <w:t>ת</w:t>
      </w:r>
      <w:r>
        <w:rPr>
          <w:rFonts w:cs="David" w:hint="cs"/>
          <w:sz w:val="24"/>
          <w:szCs w:val="24"/>
          <w:rtl/>
        </w:rPr>
        <w:t>י</w:t>
      </w:r>
      <w:r w:rsidR="00CF0537">
        <w:rPr>
          <w:rFonts w:cs="David" w:hint="cs"/>
          <w:sz w:val="24"/>
          <w:szCs w:val="24"/>
          <w:rtl/>
        </w:rPr>
        <w:t>ו</w:t>
      </w:r>
      <w:r>
        <w:rPr>
          <w:rFonts w:cs="David" w:hint="cs"/>
          <w:sz w:val="24"/>
          <w:szCs w:val="24"/>
          <w:rtl/>
        </w:rPr>
        <w:t xml:space="preserve"> </w:t>
      </w:r>
      <w:r w:rsidR="00EF278B" w:rsidRPr="00EF278B">
        <w:rPr>
          <w:rFonts w:cs="David"/>
          <w:sz w:val="24"/>
          <w:szCs w:val="24"/>
          <w:rtl/>
        </w:rPr>
        <w:t>על עסקאות שנערכו בשנים 2017–2020 ב</w:t>
      </w:r>
      <w:r w:rsidR="00CF0537">
        <w:rPr>
          <w:rFonts w:cs="David" w:hint="cs"/>
          <w:sz w:val="24"/>
          <w:szCs w:val="24"/>
          <w:rtl/>
        </w:rPr>
        <w:t>יחידות שטח של 500 ושל 1,000 מ"ר ב</w:t>
      </w:r>
      <w:r w:rsidR="00EF278B" w:rsidRPr="00EF278B">
        <w:rPr>
          <w:rFonts w:cs="David"/>
          <w:sz w:val="24"/>
          <w:szCs w:val="24"/>
          <w:rtl/>
        </w:rPr>
        <w:t>מקרקעין המצויים ב</w:t>
      </w:r>
      <w:r w:rsidR="00D06856">
        <w:rPr>
          <w:rFonts w:cs="David" w:hint="cs"/>
          <w:sz w:val="24"/>
          <w:szCs w:val="24"/>
          <w:rtl/>
        </w:rPr>
        <w:t>גוש 10039</w:t>
      </w:r>
      <w:r w:rsidR="00EF278B" w:rsidRPr="00EF278B">
        <w:rPr>
          <w:rFonts w:cs="David"/>
          <w:sz w:val="24"/>
          <w:szCs w:val="24"/>
          <w:rtl/>
        </w:rPr>
        <w:t>, אשר לשיטת</w:t>
      </w:r>
      <w:r>
        <w:rPr>
          <w:rFonts w:cs="David" w:hint="cs"/>
          <w:sz w:val="24"/>
          <w:szCs w:val="24"/>
          <w:rtl/>
        </w:rPr>
        <w:t>ו</w:t>
      </w:r>
      <w:r w:rsidR="00EF278B" w:rsidRPr="00EF278B">
        <w:rPr>
          <w:rFonts w:cs="David"/>
          <w:sz w:val="24"/>
          <w:szCs w:val="24"/>
          <w:rtl/>
        </w:rPr>
        <w:t xml:space="preserve"> משקפות את שווי השוק בפועל. לעסקאות אלו ניתן משקל מרכזי</w:t>
      </w:r>
      <w:r w:rsidR="0022145B">
        <w:rPr>
          <w:rFonts w:cs="David" w:hint="cs"/>
          <w:sz w:val="24"/>
          <w:szCs w:val="24"/>
          <w:rtl/>
        </w:rPr>
        <w:t xml:space="preserve"> בשומות העוררות</w:t>
      </w:r>
      <w:r w:rsidR="00EF278B" w:rsidRPr="00EF278B">
        <w:rPr>
          <w:rFonts w:cs="David"/>
          <w:sz w:val="24"/>
          <w:szCs w:val="24"/>
          <w:rtl/>
        </w:rPr>
        <w:t xml:space="preserve">, תוך הדגשת העובדה כי מדובר בעסקאות מרצון בין צדדים בלתי תלויים. </w:t>
      </w:r>
      <w:r>
        <w:rPr>
          <w:rFonts w:cs="David" w:hint="cs"/>
          <w:sz w:val="24"/>
          <w:szCs w:val="24"/>
          <w:rtl/>
        </w:rPr>
        <w:t xml:space="preserve">עוד ציין שמאי העוררות, כי הסכם אופציה שנערך ביחס לשטחים של עשרות דונמים שאפשר לרכוש זכויות לפי שווי של 263 ₪/מ"ר סוּחר לקונים רבים ששילמו עבור </w:t>
      </w:r>
      <w:r>
        <w:rPr>
          <w:rFonts w:cs="David" w:hint="cs"/>
          <w:sz w:val="24"/>
          <w:szCs w:val="24"/>
          <w:rtl/>
        </w:rPr>
        <w:lastRenderedPageBreak/>
        <w:t>יחידות השטח שרכשו סכומים של מעל ל- 500 ₪/מ"ר.</w:t>
      </w:r>
      <w:r w:rsidRPr="00D9512E">
        <w:rPr>
          <w:rFonts w:cs="David" w:hint="cs"/>
          <w:sz w:val="24"/>
          <w:szCs w:val="24"/>
          <w:rtl/>
        </w:rPr>
        <w:t xml:space="preserve"> </w:t>
      </w:r>
      <w:r>
        <w:rPr>
          <w:rFonts w:cs="David" w:hint="cs"/>
          <w:sz w:val="24"/>
          <w:szCs w:val="24"/>
          <w:rtl/>
        </w:rPr>
        <w:t>נטען, כי יש להביא בחשבון במצב הקודם עסקאות בשטחים קטנים, מאחר שאלו גם שטחי המגרשים שנבחנים במצב החדש.</w:t>
      </w:r>
    </w:p>
    <w:p w14:paraId="35C8E8B1" w14:textId="5BE9E779" w:rsidR="00CA3516" w:rsidRPr="00CA3516" w:rsidRDefault="00CF0537" w:rsidP="00D9512E">
      <w:pPr>
        <w:pStyle w:val="af1"/>
        <w:numPr>
          <w:ilvl w:val="0"/>
          <w:numId w:val="1"/>
        </w:numPr>
        <w:spacing w:after="120" w:line="360" w:lineRule="auto"/>
        <w:ind w:left="470" w:right="-142" w:hanging="425"/>
        <w:contextualSpacing w:val="0"/>
        <w:jc w:val="both"/>
        <w:rPr>
          <w:rFonts w:cs="David"/>
          <w:sz w:val="24"/>
          <w:szCs w:val="24"/>
        </w:rPr>
      </w:pPr>
      <w:r>
        <w:rPr>
          <w:rFonts w:cs="David" w:hint="cs"/>
          <w:sz w:val="24"/>
          <w:szCs w:val="24"/>
          <w:rtl/>
        </w:rPr>
        <w:t>לטענת</w:t>
      </w:r>
      <w:r w:rsidR="00D9512E">
        <w:rPr>
          <w:rFonts w:cs="David" w:hint="cs"/>
          <w:sz w:val="24"/>
          <w:szCs w:val="24"/>
          <w:rtl/>
        </w:rPr>
        <w:t xml:space="preserve"> שמאי העוררות</w:t>
      </w:r>
      <w:r>
        <w:rPr>
          <w:rFonts w:cs="David" w:hint="cs"/>
          <w:sz w:val="24"/>
          <w:szCs w:val="24"/>
          <w:rtl/>
        </w:rPr>
        <w:t xml:space="preserve">, </w:t>
      </w:r>
      <w:r w:rsidR="00EF278B" w:rsidRPr="00EF278B">
        <w:rPr>
          <w:rFonts w:cs="David"/>
          <w:sz w:val="24"/>
          <w:szCs w:val="24"/>
          <w:rtl/>
        </w:rPr>
        <w:t xml:space="preserve">העסקאות שעליהן התבסס שמאי הוועדה המקומית, </w:t>
      </w:r>
      <w:r w:rsidR="00924F5F">
        <w:rPr>
          <w:rFonts w:cs="David" w:hint="cs"/>
          <w:sz w:val="24"/>
          <w:szCs w:val="24"/>
          <w:rtl/>
        </w:rPr>
        <w:t>נערכו בייעוד חקלאי בחדרה, ובייעוד חקלאי או חקלאי מעורב על פי תוכנית האב של אליכין, או סמוך לבית העלמין</w:t>
      </w:r>
      <w:r>
        <w:rPr>
          <w:rFonts w:cs="David" w:hint="cs"/>
          <w:sz w:val="24"/>
          <w:szCs w:val="24"/>
          <w:rtl/>
        </w:rPr>
        <w:t>, וזאת</w:t>
      </w:r>
      <w:r w:rsidR="00924F5F">
        <w:rPr>
          <w:rFonts w:cs="David" w:hint="cs"/>
          <w:sz w:val="24"/>
          <w:szCs w:val="24"/>
          <w:rtl/>
        </w:rPr>
        <w:t xml:space="preserve"> במיקום נחות</w:t>
      </w:r>
      <w:r w:rsidR="001844BE">
        <w:rPr>
          <w:rFonts w:cs="David" w:hint="cs"/>
          <w:sz w:val="24"/>
          <w:szCs w:val="24"/>
          <w:rtl/>
        </w:rPr>
        <w:t xml:space="preserve"> לעומת מיקום המקרקעין דנא</w:t>
      </w:r>
      <w:r w:rsidR="00924F5F">
        <w:rPr>
          <w:rFonts w:cs="David" w:hint="cs"/>
          <w:sz w:val="24"/>
          <w:szCs w:val="24"/>
          <w:rtl/>
        </w:rPr>
        <w:t>.</w:t>
      </w:r>
      <w:r w:rsidR="00D9512E">
        <w:rPr>
          <w:rFonts w:cs="David" w:hint="cs"/>
          <w:sz w:val="24"/>
          <w:szCs w:val="24"/>
          <w:rtl/>
        </w:rPr>
        <w:t xml:space="preserve"> </w:t>
      </w:r>
    </w:p>
    <w:p w14:paraId="77939D32" w14:textId="77777777" w:rsidR="00AA1791" w:rsidRDefault="00EF278B" w:rsidP="00EF278B">
      <w:pPr>
        <w:pStyle w:val="af1"/>
        <w:numPr>
          <w:ilvl w:val="0"/>
          <w:numId w:val="1"/>
        </w:numPr>
        <w:spacing w:after="120" w:line="360" w:lineRule="auto"/>
        <w:ind w:left="470" w:right="-142" w:hanging="425"/>
        <w:contextualSpacing w:val="0"/>
        <w:jc w:val="both"/>
        <w:rPr>
          <w:rFonts w:cs="David"/>
          <w:sz w:val="24"/>
          <w:szCs w:val="24"/>
        </w:rPr>
      </w:pPr>
      <w:r w:rsidRPr="00EF278B">
        <w:rPr>
          <w:rFonts w:cs="David"/>
          <w:sz w:val="24"/>
          <w:szCs w:val="24"/>
          <w:rtl/>
        </w:rPr>
        <w:t xml:space="preserve">השמאי המכריע מר גיל הרצברג </w:t>
      </w:r>
      <w:r w:rsidR="00AA1791">
        <w:rPr>
          <w:rFonts w:cs="David" w:hint="cs"/>
          <w:sz w:val="24"/>
          <w:szCs w:val="24"/>
          <w:rtl/>
        </w:rPr>
        <w:t xml:space="preserve">הסביר בשומתו, כי בהתאם להחלטת ועדת הערר </w:t>
      </w:r>
      <w:proofErr w:type="spellStart"/>
      <w:r w:rsidR="00AA1791">
        <w:rPr>
          <w:rFonts w:cs="David" w:hint="cs"/>
          <w:sz w:val="24"/>
          <w:szCs w:val="24"/>
          <w:rtl/>
        </w:rPr>
        <w:t>ב</w:t>
      </w:r>
      <w:r w:rsidR="00565B18">
        <w:rPr>
          <w:rFonts w:cs="David" w:hint="cs"/>
          <w:sz w:val="24"/>
          <w:szCs w:val="24"/>
          <w:rtl/>
        </w:rPr>
        <w:t>עררים</w:t>
      </w:r>
      <w:proofErr w:type="spellEnd"/>
      <w:r w:rsidR="00565B18">
        <w:rPr>
          <w:rFonts w:cs="David" w:hint="cs"/>
          <w:sz w:val="24"/>
          <w:szCs w:val="24"/>
          <w:rtl/>
        </w:rPr>
        <w:t xml:space="preserve"> קודמים הנוגעים לתוכנית המשביחה,</w:t>
      </w:r>
      <w:r w:rsidR="00AA1791" w:rsidRPr="00AA1791">
        <w:rPr>
          <w:rFonts w:cs="David" w:hint="cs"/>
          <w:sz w:val="24"/>
          <w:szCs w:val="24"/>
          <w:rtl/>
        </w:rPr>
        <w:t xml:space="preserve"> והחלטות נוספות</w:t>
      </w:r>
      <w:r w:rsidR="00AA1791">
        <w:rPr>
          <w:rFonts w:cs="David" w:hint="cs"/>
          <w:sz w:val="24"/>
          <w:szCs w:val="24"/>
          <w:rtl/>
        </w:rPr>
        <w:t xml:space="preserve">, יש לנטרל את השפעת תוכנית האב על שווי המקרקעין במצב הקודם, למרות שהיא אינה חלק מהתוכנית המשביחה עצמה; </w:t>
      </w:r>
      <w:r w:rsidR="00C73E33">
        <w:rPr>
          <w:rFonts w:cs="David" w:hint="cs"/>
          <w:sz w:val="24"/>
          <w:szCs w:val="24"/>
          <w:rtl/>
        </w:rPr>
        <w:t>אך ניתן להביא</w:t>
      </w:r>
      <w:r w:rsidR="00AA1791">
        <w:rPr>
          <w:rFonts w:cs="David" w:hint="cs"/>
          <w:sz w:val="24"/>
          <w:szCs w:val="24"/>
          <w:rtl/>
        </w:rPr>
        <w:t xml:space="preserve"> בחשבון עסקאות שלא הושפעו ממיקומן בתוכנית האב. השמאי המכריע בחן שלוש עסקאות בגוש 10045 הסמוך, המצוי במרחב התכנון המקומי של חדרה, שנערכו בשנים 2016 </w:t>
      </w:r>
      <w:r w:rsidR="00AA1791">
        <w:rPr>
          <w:rFonts w:cs="David"/>
          <w:sz w:val="24"/>
          <w:szCs w:val="24"/>
          <w:rtl/>
        </w:rPr>
        <w:t>–</w:t>
      </w:r>
      <w:r w:rsidR="00AA1791">
        <w:rPr>
          <w:rFonts w:cs="David" w:hint="cs"/>
          <w:sz w:val="24"/>
          <w:szCs w:val="24"/>
          <w:rtl/>
        </w:rPr>
        <w:t xml:space="preserve"> 2018 ומתייחסות לשטחים קטנים וגדולים </w:t>
      </w:r>
      <w:r w:rsidR="003603C7">
        <w:rPr>
          <w:rFonts w:cs="David" w:hint="cs"/>
          <w:sz w:val="24"/>
          <w:szCs w:val="24"/>
          <w:rtl/>
        </w:rPr>
        <w:t xml:space="preserve">ומצא כי הן משקפות שווי של 300 ₪ למ"ר. </w:t>
      </w:r>
    </w:p>
    <w:p w14:paraId="750291A1" w14:textId="77777777" w:rsidR="003603C7" w:rsidRPr="003603C7" w:rsidRDefault="003603C7" w:rsidP="003937E2">
      <w:pPr>
        <w:pStyle w:val="af1"/>
        <w:numPr>
          <w:ilvl w:val="0"/>
          <w:numId w:val="1"/>
        </w:numPr>
        <w:spacing w:after="120" w:line="360" w:lineRule="auto"/>
        <w:ind w:left="470" w:right="-142" w:hanging="425"/>
        <w:contextualSpacing w:val="0"/>
        <w:jc w:val="both"/>
        <w:rPr>
          <w:rFonts w:cs="David"/>
          <w:sz w:val="24"/>
          <w:szCs w:val="24"/>
        </w:rPr>
      </w:pPr>
      <w:r w:rsidRPr="003603C7">
        <w:rPr>
          <w:rFonts w:cs="David" w:hint="cs"/>
          <w:sz w:val="24"/>
          <w:szCs w:val="24"/>
          <w:rtl/>
        </w:rPr>
        <w:t xml:space="preserve">בנוסף בחן הרצברג עסקאות נוספות בשכונת הדקלים שסומנה בתוכנית האב למגורים אך לא חלה עליה תוכנית מפורטת, ומצא כי קיימים פערים משמעותיים בין עסקאות בין פרטיים (300 ₪/מ"ר) לבין עסקאות שביצעה חברה (כ- 600 ₪/מ"ר). השמאי המכריע העריך שהדבר נובע ממומחיות שיווק ומציפיות לשינוי ייעוד. הרצברג בחן גם עסקאות בשכונת הארזים, שבה הוחל בהכנת תוכנית אך קידומה הופסק, והעריך כי רמת המחירים הגבוהה בהן נבעה מציפיות לשינוי ייעוד. </w:t>
      </w:r>
    </w:p>
    <w:p w14:paraId="7E99C119" w14:textId="77777777" w:rsidR="003603C7" w:rsidRDefault="003603C7" w:rsidP="00EF278B">
      <w:pPr>
        <w:pStyle w:val="af1"/>
        <w:numPr>
          <w:ilvl w:val="0"/>
          <w:numId w:val="1"/>
        </w:numPr>
        <w:spacing w:after="120" w:line="360" w:lineRule="auto"/>
        <w:ind w:left="470" w:right="-142" w:hanging="425"/>
        <w:contextualSpacing w:val="0"/>
        <w:jc w:val="both"/>
        <w:rPr>
          <w:rFonts w:cs="David"/>
          <w:sz w:val="24"/>
          <w:szCs w:val="24"/>
        </w:rPr>
      </w:pPr>
      <w:r>
        <w:rPr>
          <w:rFonts w:cs="David" w:hint="cs"/>
          <w:sz w:val="24"/>
          <w:szCs w:val="24"/>
          <w:rtl/>
        </w:rPr>
        <w:t>על רקע זה קבע הרצברג בשומות המכריעות כי שווי קרקע במצב הקודם היה 300 ₪ למ"ר.</w:t>
      </w:r>
    </w:p>
    <w:p w14:paraId="6B91E6C6" w14:textId="77777777" w:rsidR="003603C7" w:rsidRDefault="00EF278B" w:rsidP="003937E2">
      <w:pPr>
        <w:pStyle w:val="af1"/>
        <w:numPr>
          <w:ilvl w:val="0"/>
          <w:numId w:val="1"/>
        </w:numPr>
        <w:spacing w:after="120" w:line="360" w:lineRule="auto"/>
        <w:ind w:left="470" w:right="-142" w:hanging="425"/>
        <w:contextualSpacing w:val="0"/>
        <w:jc w:val="both"/>
        <w:rPr>
          <w:rFonts w:cs="David"/>
          <w:sz w:val="24"/>
          <w:szCs w:val="24"/>
        </w:rPr>
      </w:pPr>
      <w:r w:rsidRPr="003603C7">
        <w:rPr>
          <w:rFonts w:cs="David"/>
          <w:sz w:val="24"/>
          <w:szCs w:val="24"/>
          <w:rtl/>
        </w:rPr>
        <w:t>השמאי המכריע מר מרדכי דדון התבסס בשומתו על שילוב של עסקאות השוואה במקרקעין חקלאיים, נתונים שנאספו ממאגרי מידע, וכן על ניתוח עסקאות אופציה שהוצגו בפניו. עם זאת, לא כלל בשווי את רכיב סיחור האופציה, משקבע כי רכיב זה כולל, לשיטתו, מרכיב של "דמי תיווך" שאינו משקף את שווי הקרקע לצרכי השומה. לפיכך, רכיב זה לא הובא בחשבון בקביעת השווי, בעוד שלעסקאות אחרות ניתן משקל מרכזי</w:t>
      </w:r>
      <w:r w:rsidR="00CA3516" w:rsidRPr="003603C7">
        <w:rPr>
          <w:rFonts w:cs="David"/>
          <w:sz w:val="24"/>
          <w:szCs w:val="24"/>
        </w:rPr>
        <w:t>.</w:t>
      </w:r>
      <w:r w:rsidR="003603C7" w:rsidRPr="003603C7">
        <w:rPr>
          <w:rFonts w:cs="David" w:hint="cs"/>
          <w:sz w:val="24"/>
          <w:szCs w:val="24"/>
          <w:rtl/>
        </w:rPr>
        <w:t xml:space="preserve"> דדון קבע אף הוא</w:t>
      </w:r>
      <w:r w:rsidR="00C73E33">
        <w:rPr>
          <w:rFonts w:cs="David" w:hint="cs"/>
          <w:sz w:val="24"/>
          <w:szCs w:val="24"/>
          <w:rtl/>
        </w:rPr>
        <w:t>,</w:t>
      </w:r>
      <w:r w:rsidR="003603C7" w:rsidRPr="003603C7">
        <w:rPr>
          <w:rFonts w:cs="David" w:hint="cs"/>
          <w:sz w:val="24"/>
          <w:szCs w:val="24"/>
          <w:rtl/>
        </w:rPr>
        <w:t xml:space="preserve"> כי שווי קרקע במצב הקודם עמד על 300 ₪ למ"ר. </w:t>
      </w:r>
    </w:p>
    <w:p w14:paraId="574F1C29" w14:textId="7A1D801B" w:rsidR="00141479" w:rsidRDefault="00141479" w:rsidP="00141479">
      <w:pPr>
        <w:pStyle w:val="af1"/>
        <w:numPr>
          <w:ilvl w:val="0"/>
          <w:numId w:val="1"/>
        </w:numPr>
        <w:spacing w:after="120" w:line="360" w:lineRule="auto"/>
        <w:ind w:left="470" w:right="-142" w:hanging="425"/>
        <w:contextualSpacing w:val="0"/>
        <w:jc w:val="both"/>
        <w:rPr>
          <w:rFonts w:cs="David"/>
          <w:sz w:val="24"/>
          <w:szCs w:val="24"/>
        </w:rPr>
      </w:pPr>
      <w:r w:rsidRPr="00141479">
        <w:rPr>
          <w:rFonts w:cs="David" w:hint="cs"/>
          <w:sz w:val="24"/>
          <w:szCs w:val="24"/>
          <w:rtl/>
        </w:rPr>
        <w:t xml:space="preserve">בפתח הדיון </w:t>
      </w:r>
      <w:proofErr w:type="spellStart"/>
      <w:r>
        <w:rPr>
          <w:rFonts w:cs="David" w:hint="cs"/>
          <w:sz w:val="24"/>
          <w:szCs w:val="24"/>
          <w:rtl/>
        </w:rPr>
        <w:t>בעררים</w:t>
      </w:r>
      <w:proofErr w:type="spellEnd"/>
      <w:r>
        <w:rPr>
          <w:rFonts w:cs="David" w:hint="cs"/>
          <w:sz w:val="24"/>
          <w:szCs w:val="24"/>
          <w:rtl/>
        </w:rPr>
        <w:t xml:space="preserve"> הפנינו את</w:t>
      </w:r>
      <w:r w:rsidRPr="00141479">
        <w:rPr>
          <w:rFonts w:cs="David" w:hint="cs"/>
          <w:sz w:val="24"/>
          <w:szCs w:val="24"/>
          <w:rtl/>
        </w:rPr>
        <w:t xml:space="preserve"> העוררות לכך, שנושא שווי הקרקע בתחום התוכנית </w:t>
      </w:r>
      <w:r>
        <w:rPr>
          <w:rFonts w:cs="David" w:hint="cs"/>
          <w:sz w:val="24"/>
          <w:szCs w:val="24"/>
          <w:rtl/>
        </w:rPr>
        <w:t xml:space="preserve">המשביחה </w:t>
      </w:r>
      <w:r w:rsidRPr="00141479">
        <w:rPr>
          <w:rFonts w:cs="David" w:hint="cs"/>
          <w:sz w:val="24"/>
          <w:szCs w:val="24"/>
          <w:rtl/>
        </w:rPr>
        <w:t xml:space="preserve">במצב הקודם </w:t>
      </w:r>
      <w:r>
        <w:rPr>
          <w:rFonts w:cs="David" w:hint="cs"/>
          <w:sz w:val="24"/>
          <w:szCs w:val="24"/>
          <w:rtl/>
        </w:rPr>
        <w:t>נקבע כ-</w:t>
      </w:r>
      <w:r w:rsidRPr="00141479">
        <w:rPr>
          <w:rFonts w:cs="David" w:hint="cs"/>
          <w:sz w:val="24"/>
          <w:szCs w:val="24"/>
          <w:rtl/>
        </w:rPr>
        <w:t xml:space="preserve"> 300 ₪  למ"ר בשורה ארוכה של שומות מכריעות. עוד ציינו בפניהם, כי בערר (מרכז) 8050/1020 </w:t>
      </w:r>
      <w:proofErr w:type="spellStart"/>
      <w:r w:rsidRPr="00315599">
        <w:rPr>
          <w:rFonts w:cs="David" w:hint="cs"/>
          <w:b/>
          <w:bCs/>
          <w:sz w:val="24"/>
          <w:szCs w:val="24"/>
          <w:rtl/>
        </w:rPr>
        <w:t>זלץ</w:t>
      </w:r>
      <w:proofErr w:type="spellEnd"/>
      <w:r w:rsidRPr="00315599">
        <w:rPr>
          <w:rFonts w:cs="David" w:hint="cs"/>
          <w:b/>
          <w:bCs/>
          <w:sz w:val="24"/>
          <w:szCs w:val="24"/>
          <w:rtl/>
        </w:rPr>
        <w:t xml:space="preserve"> מאירה נ' הוועדה המקומית לתכנון ולבנייה </w:t>
      </w:r>
      <w:proofErr w:type="spellStart"/>
      <w:r w:rsidRPr="00315599">
        <w:rPr>
          <w:rFonts w:cs="David" w:hint="cs"/>
          <w:b/>
          <w:bCs/>
          <w:sz w:val="24"/>
          <w:szCs w:val="24"/>
          <w:rtl/>
        </w:rPr>
        <w:t>שרונים</w:t>
      </w:r>
      <w:proofErr w:type="spellEnd"/>
      <w:r w:rsidRPr="00141479">
        <w:rPr>
          <w:rFonts w:cs="David" w:hint="cs"/>
          <w:sz w:val="24"/>
          <w:szCs w:val="24"/>
          <w:rtl/>
        </w:rPr>
        <w:t xml:space="preserve"> (</w:t>
      </w:r>
      <w:r w:rsidR="00315599">
        <w:rPr>
          <w:rFonts w:cs="David" w:hint="cs"/>
          <w:sz w:val="24"/>
          <w:szCs w:val="24"/>
          <w:rtl/>
        </w:rPr>
        <w:t xml:space="preserve">פורסם בנבו, </w:t>
      </w:r>
      <w:r w:rsidRPr="00141479">
        <w:rPr>
          <w:rFonts w:cs="David" w:hint="cs"/>
          <w:sz w:val="24"/>
          <w:szCs w:val="24"/>
          <w:rtl/>
        </w:rPr>
        <w:t xml:space="preserve">28.11.2023) </w:t>
      </w:r>
      <w:r w:rsidR="00315599">
        <w:rPr>
          <w:rFonts w:cs="David" w:hint="cs"/>
          <w:sz w:val="24"/>
          <w:szCs w:val="24"/>
          <w:rtl/>
        </w:rPr>
        <w:t>התייחסה</w:t>
      </w:r>
      <w:r w:rsidRPr="00141479">
        <w:rPr>
          <w:rFonts w:cs="David" w:hint="cs"/>
          <w:sz w:val="24"/>
          <w:szCs w:val="24"/>
          <w:rtl/>
        </w:rPr>
        <w:t xml:space="preserve"> ועדת הערר </w:t>
      </w:r>
      <w:r w:rsidR="00315599">
        <w:rPr>
          <w:rFonts w:cs="David" w:hint="cs"/>
          <w:sz w:val="24"/>
          <w:szCs w:val="24"/>
          <w:rtl/>
        </w:rPr>
        <w:t>לעובדה,</w:t>
      </w:r>
      <w:r w:rsidRPr="00141479">
        <w:rPr>
          <w:rFonts w:cs="David" w:hint="cs"/>
          <w:sz w:val="24"/>
          <w:szCs w:val="24"/>
          <w:rtl/>
        </w:rPr>
        <w:t xml:space="preserve"> </w:t>
      </w:r>
      <w:r w:rsidR="00315599">
        <w:rPr>
          <w:rFonts w:cs="David" w:hint="cs"/>
          <w:sz w:val="24"/>
          <w:szCs w:val="24"/>
          <w:rtl/>
        </w:rPr>
        <w:t>ש</w:t>
      </w:r>
      <w:r w:rsidRPr="00141479">
        <w:rPr>
          <w:rFonts w:cs="David" w:hint="cs"/>
          <w:sz w:val="24"/>
          <w:szCs w:val="24"/>
          <w:rtl/>
        </w:rPr>
        <w:t>שווי של 400 ₪/מ"ר</w:t>
      </w:r>
      <w:r w:rsidR="00C73E33">
        <w:rPr>
          <w:rFonts w:cs="David" w:hint="cs"/>
          <w:sz w:val="24"/>
          <w:szCs w:val="24"/>
          <w:rtl/>
        </w:rPr>
        <w:t>,</w:t>
      </w:r>
      <w:r w:rsidRPr="00141479">
        <w:rPr>
          <w:rFonts w:cs="David" w:hint="cs"/>
          <w:sz w:val="24"/>
          <w:szCs w:val="24"/>
          <w:rtl/>
        </w:rPr>
        <w:t xml:space="preserve"> שנקבע בשומה מכריעה בודדת</w:t>
      </w:r>
      <w:r w:rsidR="0022145B">
        <w:rPr>
          <w:rFonts w:cs="David" w:hint="cs"/>
          <w:sz w:val="24"/>
          <w:szCs w:val="24"/>
          <w:rtl/>
        </w:rPr>
        <w:t xml:space="preserve">, </w:t>
      </w:r>
      <w:r w:rsidRPr="00141479">
        <w:rPr>
          <w:rFonts w:cs="David" w:hint="cs"/>
          <w:sz w:val="24"/>
          <w:szCs w:val="24"/>
          <w:rtl/>
        </w:rPr>
        <w:t xml:space="preserve">של </w:t>
      </w:r>
      <w:r w:rsidR="00C73E33">
        <w:rPr>
          <w:rFonts w:cs="David" w:hint="cs"/>
          <w:sz w:val="24"/>
          <w:szCs w:val="24"/>
          <w:rtl/>
        </w:rPr>
        <w:t xml:space="preserve">כב' השמאי המכריע מר </w:t>
      </w:r>
      <w:r w:rsidRPr="00141479">
        <w:rPr>
          <w:rFonts w:cs="David" w:hint="cs"/>
          <w:sz w:val="24"/>
          <w:szCs w:val="24"/>
          <w:rtl/>
        </w:rPr>
        <w:t>אלי כהן</w:t>
      </w:r>
      <w:r w:rsidR="00C73E33">
        <w:rPr>
          <w:rFonts w:cs="David" w:hint="cs"/>
          <w:sz w:val="24"/>
          <w:szCs w:val="24"/>
          <w:rtl/>
        </w:rPr>
        <w:t>,</w:t>
      </w:r>
      <w:r w:rsidRPr="00141479">
        <w:rPr>
          <w:rFonts w:cs="David" w:hint="cs"/>
          <w:sz w:val="24"/>
          <w:szCs w:val="24"/>
          <w:rtl/>
        </w:rPr>
        <w:t xml:space="preserve"> הינו שווי חריג שאינו משקף את הכלל. </w:t>
      </w:r>
    </w:p>
    <w:p w14:paraId="10F82FD5" w14:textId="77777777" w:rsidR="00141479" w:rsidRPr="00141479" w:rsidRDefault="00257AB4" w:rsidP="00141479">
      <w:pPr>
        <w:pStyle w:val="af1"/>
        <w:numPr>
          <w:ilvl w:val="0"/>
          <w:numId w:val="1"/>
        </w:numPr>
        <w:spacing w:after="120" w:line="360" w:lineRule="auto"/>
        <w:ind w:left="470" w:right="-142" w:hanging="425"/>
        <w:contextualSpacing w:val="0"/>
        <w:jc w:val="both"/>
        <w:rPr>
          <w:rFonts w:cs="David"/>
          <w:sz w:val="24"/>
          <w:szCs w:val="24"/>
        </w:rPr>
      </w:pPr>
      <w:r>
        <w:rPr>
          <w:rFonts w:cs="David" w:hint="cs"/>
          <w:sz w:val="24"/>
          <w:szCs w:val="24"/>
          <w:rtl/>
        </w:rPr>
        <w:t xml:space="preserve">העוררות השיבו, כי בשומות המכריעות "נעשו הרבה טעויות משפטיות", ולכן הם רוצים לקיים את הדיון ולברר את </w:t>
      </w:r>
      <w:proofErr w:type="spellStart"/>
      <w:r>
        <w:rPr>
          <w:rFonts w:cs="David" w:hint="cs"/>
          <w:sz w:val="24"/>
          <w:szCs w:val="24"/>
          <w:rtl/>
        </w:rPr>
        <w:t>העררים</w:t>
      </w:r>
      <w:proofErr w:type="spellEnd"/>
      <w:r>
        <w:rPr>
          <w:rFonts w:cs="David" w:hint="cs"/>
          <w:sz w:val="24"/>
          <w:szCs w:val="24"/>
          <w:rtl/>
        </w:rPr>
        <w:t xml:space="preserve"> עד סופם. בתום הדיון, לאחר ששמענו באריכות את הצדדים, שבנו והמלצנו לעוררות על מחיקת </w:t>
      </w:r>
      <w:proofErr w:type="spellStart"/>
      <w:r>
        <w:rPr>
          <w:rFonts w:cs="David" w:hint="cs"/>
          <w:sz w:val="24"/>
          <w:szCs w:val="24"/>
          <w:rtl/>
        </w:rPr>
        <w:t>העררים</w:t>
      </w:r>
      <w:proofErr w:type="spellEnd"/>
      <w:r>
        <w:rPr>
          <w:rFonts w:cs="David" w:hint="cs"/>
          <w:sz w:val="24"/>
          <w:szCs w:val="24"/>
          <w:rtl/>
        </w:rPr>
        <w:t xml:space="preserve">. נציגי העוררות ביקשו שהות לבחון את הדברים ולעדכן את ועדת הערר. </w:t>
      </w:r>
      <w:r w:rsidR="00141479" w:rsidRPr="00141479">
        <w:rPr>
          <w:rFonts w:cs="David"/>
          <w:sz w:val="24"/>
          <w:szCs w:val="24"/>
          <w:rtl/>
        </w:rPr>
        <w:t xml:space="preserve">ביום 29.6.2025 הגישו העוררות הודעה לפיה הן עומדות על </w:t>
      </w:r>
      <w:r w:rsidR="00141479" w:rsidRPr="00141479">
        <w:rPr>
          <w:rFonts w:cs="David" w:hint="cs"/>
          <w:sz w:val="24"/>
          <w:szCs w:val="24"/>
          <w:rtl/>
        </w:rPr>
        <w:t xml:space="preserve">מתן החלטה </w:t>
      </w:r>
      <w:proofErr w:type="spellStart"/>
      <w:r w:rsidR="00141479" w:rsidRPr="00141479">
        <w:rPr>
          <w:rFonts w:cs="David" w:hint="cs"/>
          <w:sz w:val="24"/>
          <w:szCs w:val="24"/>
          <w:rtl/>
        </w:rPr>
        <w:t>בעררים</w:t>
      </w:r>
      <w:proofErr w:type="spellEnd"/>
      <w:r w:rsidR="00C73E33">
        <w:rPr>
          <w:rFonts w:cs="David" w:hint="cs"/>
          <w:sz w:val="24"/>
          <w:szCs w:val="24"/>
          <w:rtl/>
        </w:rPr>
        <w:t>. מכאן החלטה זו.</w:t>
      </w:r>
    </w:p>
    <w:p w14:paraId="59296CB0" w14:textId="77777777" w:rsidR="004042DC" w:rsidRDefault="004042DC">
      <w:pPr>
        <w:spacing w:after="120" w:line="360" w:lineRule="auto"/>
        <w:ind w:firstLine="43"/>
        <w:jc w:val="both"/>
        <w:rPr>
          <w:rFonts w:cs="David"/>
          <w:b/>
          <w:bCs/>
          <w:sz w:val="26"/>
          <w:szCs w:val="26"/>
          <w:u w:val="single"/>
          <w:rtl/>
        </w:rPr>
      </w:pPr>
    </w:p>
    <w:p w14:paraId="3933070D" w14:textId="009B1962" w:rsidR="00C24698" w:rsidRDefault="003937E2">
      <w:pPr>
        <w:spacing w:after="120" w:line="360" w:lineRule="auto"/>
        <w:ind w:firstLine="43"/>
        <w:jc w:val="both"/>
        <w:rPr>
          <w:rFonts w:cs="David"/>
          <w:b/>
          <w:bCs/>
          <w:sz w:val="26"/>
          <w:szCs w:val="26"/>
          <w:u w:val="single"/>
        </w:rPr>
      </w:pPr>
      <w:r>
        <w:rPr>
          <w:rFonts w:cs="David"/>
          <w:b/>
          <w:bCs/>
          <w:sz w:val="26"/>
          <w:szCs w:val="26"/>
          <w:u w:val="single"/>
          <w:rtl/>
        </w:rPr>
        <w:lastRenderedPageBreak/>
        <w:t>עיקר טענות העוררות</w:t>
      </w:r>
    </w:p>
    <w:p w14:paraId="75A23F0F" w14:textId="77777777" w:rsidR="00D234D0" w:rsidRPr="00D234D0" w:rsidRDefault="00D234D0" w:rsidP="003937E2">
      <w:pPr>
        <w:pStyle w:val="af1"/>
        <w:numPr>
          <w:ilvl w:val="0"/>
          <w:numId w:val="1"/>
        </w:numPr>
        <w:spacing w:after="120" w:line="360" w:lineRule="auto"/>
        <w:ind w:left="470" w:right="-142" w:hanging="425"/>
        <w:contextualSpacing w:val="0"/>
        <w:jc w:val="both"/>
        <w:rPr>
          <w:rFonts w:cs="David"/>
          <w:sz w:val="24"/>
          <w:szCs w:val="24"/>
        </w:rPr>
      </w:pPr>
      <w:r w:rsidRPr="00D234D0">
        <w:rPr>
          <w:rFonts w:cs="David" w:hint="cs"/>
          <w:sz w:val="24"/>
          <w:szCs w:val="24"/>
          <w:rtl/>
        </w:rPr>
        <w:t xml:space="preserve">לטענת </w:t>
      </w:r>
      <w:r w:rsidRPr="00D234D0">
        <w:rPr>
          <w:rFonts w:cs="David"/>
          <w:sz w:val="24"/>
          <w:szCs w:val="24"/>
          <w:rtl/>
        </w:rPr>
        <w:t>העוררות</w:t>
      </w:r>
      <w:r w:rsidRPr="00D234D0">
        <w:rPr>
          <w:rFonts w:cs="David" w:hint="cs"/>
          <w:sz w:val="24"/>
          <w:szCs w:val="24"/>
          <w:rtl/>
        </w:rPr>
        <w:t>,</w:t>
      </w:r>
      <w:r w:rsidRPr="00D234D0">
        <w:rPr>
          <w:rFonts w:cs="David"/>
          <w:sz w:val="24"/>
          <w:szCs w:val="24"/>
          <w:rtl/>
        </w:rPr>
        <w:t xml:space="preserve"> </w:t>
      </w:r>
      <w:r w:rsidRPr="00D234D0">
        <w:rPr>
          <w:rFonts w:cs="David" w:hint="cs"/>
          <w:sz w:val="24"/>
          <w:szCs w:val="24"/>
          <w:rtl/>
        </w:rPr>
        <w:t xml:space="preserve">בשומות המכריעות </w:t>
      </w:r>
      <w:r w:rsidRPr="00D234D0">
        <w:rPr>
          <w:rFonts w:cs="David"/>
          <w:sz w:val="24"/>
          <w:szCs w:val="24"/>
          <w:rtl/>
        </w:rPr>
        <w:t>נפלו פגמים מהותיים בניתוח עסקאות ההשוואה</w:t>
      </w:r>
      <w:r>
        <w:rPr>
          <w:rFonts w:cs="David" w:hint="cs"/>
          <w:sz w:val="24"/>
          <w:szCs w:val="24"/>
          <w:rtl/>
        </w:rPr>
        <w:t xml:space="preserve"> הרלוונטיות למצב הקודם, ובכלל זאת:</w:t>
      </w:r>
    </w:p>
    <w:p w14:paraId="6C5A0B46" w14:textId="77777777" w:rsidR="00D234D0" w:rsidRPr="00D234D0" w:rsidRDefault="00D234D0" w:rsidP="00D234D0">
      <w:pPr>
        <w:pStyle w:val="a0"/>
        <w:ind w:left="1035" w:hanging="564"/>
        <w:contextualSpacing w:val="0"/>
      </w:pPr>
      <w:r>
        <w:rPr>
          <w:rFonts w:hint="cs"/>
          <w:rtl/>
        </w:rPr>
        <w:t>הסתמכות</w:t>
      </w:r>
      <w:r w:rsidRPr="00D234D0">
        <w:rPr>
          <w:rtl/>
        </w:rPr>
        <w:t xml:space="preserve"> על עסקאות </w:t>
      </w:r>
      <w:r w:rsidR="00360AB1">
        <w:rPr>
          <w:rFonts w:hint="cs"/>
          <w:rtl/>
        </w:rPr>
        <w:t>רחוקות בזמן</w:t>
      </w:r>
      <w:r w:rsidR="006E6A04">
        <w:rPr>
          <w:rFonts w:hint="cs"/>
          <w:rtl/>
        </w:rPr>
        <w:t xml:space="preserve"> ובמקום</w:t>
      </w:r>
      <w:r w:rsidR="00360AB1">
        <w:rPr>
          <w:rFonts w:hint="cs"/>
          <w:rtl/>
        </w:rPr>
        <w:t xml:space="preserve">, במרחב </w:t>
      </w:r>
      <w:r w:rsidR="006E6A04">
        <w:rPr>
          <w:rFonts w:hint="cs"/>
          <w:rtl/>
        </w:rPr>
        <w:t>ה</w:t>
      </w:r>
      <w:r w:rsidR="00360AB1">
        <w:rPr>
          <w:rFonts w:hint="cs"/>
          <w:rtl/>
        </w:rPr>
        <w:t>תכנון</w:t>
      </w:r>
      <w:r w:rsidR="006E6A04">
        <w:rPr>
          <w:rFonts w:hint="cs"/>
          <w:rtl/>
        </w:rPr>
        <w:t xml:space="preserve"> של</w:t>
      </w:r>
      <w:r w:rsidR="00360AB1">
        <w:rPr>
          <w:rFonts w:hint="cs"/>
          <w:rtl/>
        </w:rPr>
        <w:t xml:space="preserve"> חדרה</w:t>
      </w:r>
      <w:r w:rsidR="00872B34">
        <w:rPr>
          <w:rFonts w:hint="cs"/>
          <w:rtl/>
        </w:rPr>
        <w:t xml:space="preserve">, </w:t>
      </w:r>
      <w:r w:rsidR="006E6A04">
        <w:rPr>
          <w:rFonts w:hint="cs"/>
          <w:rtl/>
        </w:rPr>
        <w:t xml:space="preserve">שתיים מהן </w:t>
      </w:r>
      <w:r w:rsidR="00872B34">
        <w:rPr>
          <w:rFonts w:hint="cs"/>
          <w:rtl/>
        </w:rPr>
        <w:t xml:space="preserve">באזור מרוחק </w:t>
      </w:r>
      <w:r w:rsidR="006E6A04">
        <w:rPr>
          <w:rFonts w:hint="cs"/>
          <w:rtl/>
        </w:rPr>
        <w:t xml:space="preserve">כ- 1 ק"מ </w:t>
      </w:r>
      <w:r w:rsidR="00872B34">
        <w:rPr>
          <w:rFonts w:hint="cs"/>
          <w:rtl/>
        </w:rPr>
        <w:t>מהשטח הבנוי</w:t>
      </w:r>
      <w:r w:rsidR="006E6A04">
        <w:rPr>
          <w:rFonts w:hint="cs"/>
          <w:rtl/>
        </w:rPr>
        <w:t xml:space="preserve"> ואחת אחרת</w:t>
      </w:r>
      <w:r w:rsidR="00872B34">
        <w:rPr>
          <w:rFonts w:hint="cs"/>
          <w:rtl/>
        </w:rPr>
        <w:t xml:space="preserve"> גובלת בבית עלמין, מנותקת מהעיר. </w:t>
      </w:r>
    </w:p>
    <w:p w14:paraId="556F5AC3" w14:textId="77777777" w:rsidR="00605701" w:rsidRDefault="00605701" w:rsidP="00605701">
      <w:pPr>
        <w:pStyle w:val="a0"/>
        <w:ind w:left="1035" w:hanging="564"/>
        <w:contextualSpacing w:val="0"/>
      </w:pPr>
      <w:r>
        <w:rPr>
          <w:rFonts w:hint="cs"/>
          <w:rtl/>
        </w:rPr>
        <w:t>התבססות על עסקאות בשכונת הדקלים, חלקן בסמיכות לבית העלמין ואחרות בסמיכות לכביש 9, החושף למפגעי רעש.</w:t>
      </w:r>
    </w:p>
    <w:p w14:paraId="2BF9DF0E" w14:textId="77777777" w:rsidR="00605701" w:rsidRDefault="00605701" w:rsidP="00605701">
      <w:pPr>
        <w:pStyle w:val="a0"/>
        <w:ind w:left="1035" w:hanging="564"/>
        <w:contextualSpacing w:val="0"/>
      </w:pPr>
      <w:r>
        <w:rPr>
          <w:rFonts w:hint="cs"/>
          <w:rtl/>
        </w:rPr>
        <w:t>התבססות על עסקאות מכר במקרקעין בשטחים גדולים, למרות שמימושי הזכויות במקרקעין היו במגרשים קטנים יחסית</w:t>
      </w:r>
      <w:r w:rsidRPr="00D234D0">
        <w:rPr>
          <w:rtl/>
        </w:rPr>
        <w:t>,</w:t>
      </w:r>
      <w:r>
        <w:rPr>
          <w:rFonts w:hint="cs"/>
          <w:rtl/>
        </w:rPr>
        <w:t xml:space="preserve"> ובכך לקתה הקוהרנטיות של </w:t>
      </w:r>
      <w:r w:rsidRPr="00D234D0">
        <w:rPr>
          <w:rtl/>
        </w:rPr>
        <w:t>הניתוח השמאי</w:t>
      </w:r>
      <w:r>
        <w:rPr>
          <w:rFonts w:hint="cs"/>
          <w:rtl/>
        </w:rPr>
        <w:t xml:space="preserve">. </w:t>
      </w:r>
    </w:p>
    <w:p w14:paraId="2BEEEB5D" w14:textId="77777777" w:rsidR="00D234D0" w:rsidRPr="00D234D0" w:rsidRDefault="00D234D0" w:rsidP="00D234D0">
      <w:pPr>
        <w:pStyle w:val="a0"/>
        <w:ind w:left="1035" w:hanging="564"/>
        <w:contextualSpacing w:val="0"/>
      </w:pPr>
      <w:r w:rsidRPr="00D234D0">
        <w:rPr>
          <w:rtl/>
        </w:rPr>
        <w:t>התעלמו</w:t>
      </w:r>
      <w:r>
        <w:rPr>
          <w:rFonts w:hint="cs"/>
          <w:rtl/>
        </w:rPr>
        <w:t>ת</w:t>
      </w:r>
      <w:r w:rsidRPr="00D234D0">
        <w:rPr>
          <w:rtl/>
        </w:rPr>
        <w:t xml:space="preserve"> מעסקאות שנערכו במקרקעין עצמם ובסביבתם הקרובה,</w:t>
      </w:r>
      <w:r w:rsidR="00605701">
        <w:rPr>
          <w:rFonts w:hint="cs"/>
          <w:rtl/>
        </w:rPr>
        <w:t xml:space="preserve"> בסמיכות למועד הקובע, ולכן</w:t>
      </w:r>
      <w:r w:rsidR="00872B34">
        <w:rPr>
          <w:rFonts w:hint="cs"/>
          <w:rtl/>
        </w:rPr>
        <w:t xml:space="preserve"> </w:t>
      </w:r>
      <w:r w:rsidRPr="00D234D0">
        <w:rPr>
          <w:rtl/>
        </w:rPr>
        <w:t>מהוות אינדיקציה מהימנה יותר לשווי השוק</w:t>
      </w:r>
      <w:r w:rsidR="00605701">
        <w:rPr>
          <w:rFonts w:hint="cs"/>
          <w:rtl/>
        </w:rPr>
        <w:t xml:space="preserve"> ונכון היה ליתן להן משקל מכריע</w:t>
      </w:r>
      <w:r w:rsidR="00E922EB">
        <w:rPr>
          <w:rFonts w:hint="cs"/>
          <w:rtl/>
        </w:rPr>
        <w:t>. לשיטת</w:t>
      </w:r>
      <w:r w:rsidR="00872B34">
        <w:rPr>
          <w:rFonts w:hint="cs"/>
          <w:rtl/>
        </w:rPr>
        <w:t xml:space="preserve"> העוררות</w:t>
      </w:r>
      <w:r w:rsidR="00E922EB">
        <w:rPr>
          <w:rFonts w:hint="cs"/>
          <w:rtl/>
        </w:rPr>
        <w:t>,</w:t>
      </w:r>
      <w:r w:rsidR="00872B34">
        <w:rPr>
          <w:rFonts w:hint="cs"/>
          <w:rtl/>
        </w:rPr>
        <w:t xml:space="preserve"> שווי המקרקעין</w:t>
      </w:r>
      <w:r w:rsidR="00E922EB">
        <w:rPr>
          <w:rFonts w:hint="cs"/>
          <w:rtl/>
        </w:rPr>
        <w:t xml:space="preserve"> הנכון הוא זה שנלמד</w:t>
      </w:r>
      <w:r w:rsidR="00872B34">
        <w:rPr>
          <w:rFonts w:hint="cs"/>
          <w:rtl/>
        </w:rPr>
        <w:t xml:space="preserve"> </w:t>
      </w:r>
      <w:r w:rsidR="00E922EB">
        <w:rPr>
          <w:rFonts w:hint="cs"/>
          <w:rtl/>
        </w:rPr>
        <w:t>מ</w:t>
      </w:r>
      <w:r w:rsidR="00872B34">
        <w:rPr>
          <w:rFonts w:hint="cs"/>
          <w:rtl/>
        </w:rPr>
        <w:t>עסקאות מרצון, בין גוף בעל יכולות שיווק לבין קונים רבים ושונים</w:t>
      </w:r>
      <w:r w:rsidR="00E922EB">
        <w:rPr>
          <w:rFonts w:hint="cs"/>
          <w:rtl/>
        </w:rPr>
        <w:t>, שלרשותם עמד מידע מלא על המקרקעין. חברה מסחרית מחויבת לבצע את המכירה לפי תקן 22 (פירוט מזערי נדרש בשומה לקרקע המשווקת לציבור על סמך ציפיות).</w:t>
      </w:r>
    </w:p>
    <w:p w14:paraId="07C80902" w14:textId="77777777" w:rsidR="006E6A04" w:rsidRDefault="006E6A04" w:rsidP="006E6A04">
      <w:pPr>
        <w:pStyle w:val="a0"/>
        <w:ind w:left="1035" w:hanging="564"/>
        <w:contextualSpacing w:val="0"/>
      </w:pPr>
      <w:r>
        <w:rPr>
          <w:rFonts w:hint="cs"/>
          <w:rtl/>
        </w:rPr>
        <w:t>התעלמות משומה מכרעת של מר אלי כהן שלפיה אין לתוכנית האב השלכה על ערכי השווי לחלקות חקלאיות מחוץ לתוכנית המשביחה.</w:t>
      </w:r>
    </w:p>
    <w:p w14:paraId="200E4A60" w14:textId="77777777" w:rsidR="00605701" w:rsidRPr="00D234D0" w:rsidRDefault="00605701" w:rsidP="006E6A04">
      <w:pPr>
        <w:pStyle w:val="a0"/>
        <w:ind w:left="1035" w:hanging="564"/>
        <w:contextualSpacing w:val="0"/>
      </w:pPr>
      <w:r>
        <w:rPr>
          <w:rFonts w:hint="cs"/>
          <w:rtl/>
        </w:rPr>
        <w:t>התעלמות מעסקאות בסכומים גבוהים במתחם שכונת הארזים, בנימוק שמחיריהן משקפים ציפייה לשינוי ייעוד, בעוד שבפועל לא קיימת לגביהם תוכנית בעלת מעמד סטטוטורי שיכולה להקים ציפייה שכזו.</w:t>
      </w:r>
    </w:p>
    <w:p w14:paraId="5F4804A3" w14:textId="77777777" w:rsidR="00872B34" w:rsidRPr="004042DC" w:rsidRDefault="00D234D0" w:rsidP="004042DC">
      <w:pPr>
        <w:pStyle w:val="af1"/>
        <w:numPr>
          <w:ilvl w:val="0"/>
          <w:numId w:val="1"/>
        </w:numPr>
        <w:spacing w:after="120" w:line="360" w:lineRule="auto"/>
        <w:ind w:left="470" w:right="-142" w:hanging="425"/>
        <w:contextualSpacing w:val="0"/>
        <w:jc w:val="both"/>
        <w:rPr>
          <w:rFonts w:cs="David"/>
          <w:sz w:val="24"/>
          <w:szCs w:val="24"/>
        </w:rPr>
      </w:pPr>
      <w:r w:rsidRPr="004042DC">
        <w:rPr>
          <w:rFonts w:cs="David"/>
          <w:sz w:val="24"/>
          <w:szCs w:val="24"/>
          <w:rtl/>
        </w:rPr>
        <w:t xml:space="preserve">לטענת העוררות, </w:t>
      </w:r>
      <w:r w:rsidR="00872B34" w:rsidRPr="004042DC">
        <w:rPr>
          <w:rFonts w:cs="David" w:hint="cs"/>
          <w:sz w:val="24"/>
          <w:szCs w:val="24"/>
          <w:rtl/>
        </w:rPr>
        <w:t xml:space="preserve">בהתאם להלכת לוסטרניק, בקביעת השווי במצב הקודם </w:t>
      </w:r>
      <w:r w:rsidRPr="004042DC">
        <w:rPr>
          <w:rFonts w:cs="David"/>
          <w:sz w:val="24"/>
          <w:szCs w:val="24"/>
          <w:rtl/>
        </w:rPr>
        <w:t>יש להביא בחשבון</w:t>
      </w:r>
      <w:r w:rsidR="00872B34" w:rsidRPr="004042DC">
        <w:rPr>
          <w:rFonts w:cs="David" w:hint="cs"/>
          <w:sz w:val="24"/>
          <w:szCs w:val="24"/>
          <w:rtl/>
        </w:rPr>
        <w:t xml:space="preserve"> את הציפייה להשבחת המקרקעין הנובעת מכל אלו:</w:t>
      </w:r>
      <w:r w:rsidR="00872B34" w:rsidRPr="004042DC">
        <w:rPr>
          <w:rFonts w:cs="David"/>
          <w:sz w:val="24"/>
          <w:szCs w:val="24"/>
        </w:rPr>
        <w:t xml:space="preserve"> </w:t>
      </w:r>
      <w:r w:rsidR="00872B34" w:rsidRPr="004042DC">
        <w:rPr>
          <w:rFonts w:cs="David" w:hint="cs"/>
          <w:sz w:val="24"/>
          <w:szCs w:val="24"/>
          <w:rtl/>
        </w:rPr>
        <w:t>(1) מיקום המקרקעין בסמוך ובצמידות לבתי המגורים ביישוב אליכין, ועל גבול המושב היוקרתי חרב לאת; (2) החלטת הוועדה לתיקון גבולות משנת 2004 להעביר את שטח המקרקעין מתחום השיפוט של חדרה לזה של מושב אליכין.</w:t>
      </w:r>
    </w:p>
    <w:p w14:paraId="68E6D128" w14:textId="77777777" w:rsidR="000422B7" w:rsidRDefault="000422B7" w:rsidP="00605701">
      <w:pPr>
        <w:pStyle w:val="af1"/>
        <w:numPr>
          <w:ilvl w:val="0"/>
          <w:numId w:val="1"/>
        </w:numPr>
        <w:spacing w:after="120" w:line="360" w:lineRule="auto"/>
        <w:ind w:left="470" w:right="-142" w:hanging="425"/>
        <w:contextualSpacing w:val="0"/>
        <w:jc w:val="both"/>
        <w:rPr>
          <w:rFonts w:cs="David"/>
          <w:sz w:val="24"/>
          <w:szCs w:val="24"/>
        </w:rPr>
      </w:pPr>
      <w:r>
        <w:rPr>
          <w:rFonts w:cs="David" w:hint="cs"/>
          <w:sz w:val="24"/>
          <w:szCs w:val="24"/>
          <w:rtl/>
        </w:rPr>
        <w:t>בערר</w:t>
      </w:r>
      <w:r w:rsidR="003B4C7C">
        <w:rPr>
          <w:rFonts w:cs="David" w:hint="cs"/>
          <w:sz w:val="24"/>
          <w:szCs w:val="24"/>
          <w:rtl/>
        </w:rPr>
        <w:t xml:space="preserve"> אפי קפיטל</w:t>
      </w:r>
      <w:r>
        <w:rPr>
          <w:rFonts w:cs="David" w:hint="cs"/>
          <w:sz w:val="24"/>
          <w:szCs w:val="24"/>
          <w:rtl/>
        </w:rPr>
        <w:t xml:space="preserve"> משנת 2021 נטען </w:t>
      </w:r>
      <w:r w:rsidR="00605701">
        <w:rPr>
          <w:rFonts w:cs="David" w:hint="cs"/>
          <w:sz w:val="24"/>
          <w:szCs w:val="24"/>
          <w:rtl/>
        </w:rPr>
        <w:t>ביחס למצב החדש</w:t>
      </w:r>
      <w:r w:rsidR="00605701" w:rsidRPr="00AD00F5">
        <w:rPr>
          <w:rFonts w:cs="David" w:hint="cs"/>
          <w:sz w:val="24"/>
          <w:szCs w:val="24"/>
          <w:rtl/>
        </w:rPr>
        <w:t>,</w:t>
      </w:r>
      <w:r w:rsidR="00605701" w:rsidRPr="00AD00F5">
        <w:rPr>
          <w:rFonts w:cs="David"/>
          <w:sz w:val="24"/>
          <w:szCs w:val="24"/>
          <w:rtl/>
        </w:rPr>
        <w:t xml:space="preserve"> כי השמאי המכריע לא נתן משקל להשפעת קרבתו של מגרש התמורה לבית עלמין</w:t>
      </w:r>
      <w:r>
        <w:rPr>
          <w:rFonts w:cs="David" w:hint="cs"/>
          <w:sz w:val="24"/>
          <w:szCs w:val="24"/>
          <w:rtl/>
        </w:rPr>
        <w:t>; ו</w:t>
      </w:r>
      <w:r w:rsidR="003B4C7C">
        <w:rPr>
          <w:rFonts w:cs="David" w:hint="cs"/>
          <w:sz w:val="24"/>
          <w:szCs w:val="24"/>
          <w:rtl/>
        </w:rPr>
        <w:t xml:space="preserve">בשני </w:t>
      </w:r>
      <w:proofErr w:type="spellStart"/>
      <w:r w:rsidR="003B4C7C">
        <w:rPr>
          <w:rFonts w:cs="David" w:hint="cs"/>
          <w:sz w:val="24"/>
          <w:szCs w:val="24"/>
          <w:rtl/>
        </w:rPr>
        <w:t>העררים</w:t>
      </w:r>
      <w:proofErr w:type="spellEnd"/>
      <w:r w:rsidR="003B4C7C">
        <w:rPr>
          <w:rFonts w:cs="David" w:hint="cs"/>
          <w:sz w:val="24"/>
          <w:szCs w:val="24"/>
          <w:rtl/>
        </w:rPr>
        <w:t xml:space="preserve"> משנת 2021 נטען, </w:t>
      </w:r>
      <w:r>
        <w:rPr>
          <w:rFonts w:cs="David" w:hint="cs"/>
          <w:sz w:val="24"/>
          <w:szCs w:val="24"/>
          <w:rtl/>
        </w:rPr>
        <w:t>כי</w:t>
      </w:r>
      <w:r w:rsidR="00605701" w:rsidRPr="00AD00F5">
        <w:rPr>
          <w:rFonts w:cs="David"/>
          <w:sz w:val="24"/>
          <w:szCs w:val="24"/>
          <w:rtl/>
        </w:rPr>
        <w:t xml:space="preserve"> מקדם הדחייה לפיתוח נקבע </w:t>
      </w:r>
      <w:r w:rsidR="00605701">
        <w:rPr>
          <w:rFonts w:cs="David" w:hint="cs"/>
          <w:sz w:val="24"/>
          <w:szCs w:val="24"/>
          <w:rtl/>
        </w:rPr>
        <w:t xml:space="preserve">באופן שרירותי כ- 3 שנים, </w:t>
      </w:r>
      <w:r w:rsidR="00605701" w:rsidRPr="00AD00F5">
        <w:rPr>
          <w:rFonts w:cs="David"/>
          <w:sz w:val="24"/>
          <w:szCs w:val="24"/>
          <w:rtl/>
        </w:rPr>
        <w:t>ללא הנמקה מספקת</w:t>
      </w:r>
      <w:r w:rsidR="00605701">
        <w:rPr>
          <w:rFonts w:cs="David" w:hint="cs"/>
          <w:sz w:val="24"/>
          <w:szCs w:val="24"/>
          <w:rtl/>
        </w:rPr>
        <w:t>, כאשר הוועדה המקומית עצמה קבעה מקדם דחייה של 5 שנים,</w:t>
      </w:r>
      <w:r w:rsidR="001774D5">
        <w:rPr>
          <w:rFonts w:cs="David" w:hint="cs"/>
          <w:sz w:val="24"/>
          <w:szCs w:val="24"/>
          <w:rtl/>
        </w:rPr>
        <w:t xml:space="preserve"> </w:t>
      </w:r>
      <w:r>
        <w:rPr>
          <w:rFonts w:cs="David" w:hint="cs"/>
          <w:sz w:val="24"/>
          <w:szCs w:val="24"/>
          <w:rtl/>
        </w:rPr>
        <w:t>וכאשר</w:t>
      </w:r>
      <w:r w:rsidR="001774D5">
        <w:rPr>
          <w:rFonts w:cs="David" w:hint="cs"/>
          <w:sz w:val="24"/>
          <w:szCs w:val="24"/>
          <w:rtl/>
        </w:rPr>
        <w:t xml:space="preserve"> </w:t>
      </w:r>
      <w:r w:rsidR="00605701">
        <w:rPr>
          <w:rFonts w:cs="David" w:hint="cs"/>
          <w:sz w:val="24"/>
          <w:szCs w:val="24"/>
          <w:rtl/>
        </w:rPr>
        <w:t xml:space="preserve">במכרזי </w:t>
      </w:r>
      <w:proofErr w:type="spellStart"/>
      <w:r w:rsidR="00605701">
        <w:rPr>
          <w:rFonts w:cs="David" w:hint="cs"/>
          <w:sz w:val="24"/>
          <w:szCs w:val="24"/>
          <w:rtl/>
        </w:rPr>
        <w:t>רמ"י</w:t>
      </w:r>
      <w:proofErr w:type="spellEnd"/>
      <w:r w:rsidR="00605701">
        <w:rPr>
          <w:rFonts w:cs="David" w:hint="cs"/>
          <w:sz w:val="24"/>
          <w:szCs w:val="24"/>
          <w:rtl/>
        </w:rPr>
        <w:t xml:space="preserve"> נקבעה תקופת פיתוח של 24 חודשים</w:t>
      </w:r>
      <w:r w:rsidR="00605701" w:rsidRPr="00AD00F5">
        <w:rPr>
          <w:rFonts w:cs="David" w:hint="cs"/>
          <w:sz w:val="24"/>
          <w:szCs w:val="24"/>
          <w:rtl/>
        </w:rPr>
        <w:t>.</w:t>
      </w:r>
      <w:r w:rsidR="001774D5">
        <w:rPr>
          <w:rFonts w:cs="David" w:hint="cs"/>
          <w:sz w:val="24"/>
          <w:szCs w:val="24"/>
          <w:rtl/>
        </w:rPr>
        <w:t xml:space="preserve"> </w:t>
      </w:r>
    </w:p>
    <w:p w14:paraId="79F2D39A" w14:textId="77777777" w:rsidR="00605701" w:rsidRDefault="000422B7" w:rsidP="00605701">
      <w:pPr>
        <w:pStyle w:val="af1"/>
        <w:numPr>
          <w:ilvl w:val="0"/>
          <w:numId w:val="1"/>
        </w:numPr>
        <w:spacing w:after="120" w:line="360" w:lineRule="auto"/>
        <w:ind w:left="470" w:right="-142" w:hanging="425"/>
        <w:contextualSpacing w:val="0"/>
        <w:jc w:val="both"/>
        <w:rPr>
          <w:rFonts w:cs="David"/>
          <w:sz w:val="24"/>
          <w:szCs w:val="24"/>
        </w:rPr>
      </w:pPr>
      <w:r>
        <w:rPr>
          <w:rFonts w:cs="David" w:hint="cs"/>
          <w:sz w:val="24"/>
          <w:szCs w:val="24"/>
          <w:rtl/>
        </w:rPr>
        <w:t xml:space="preserve">בערר אפי קפיטל משנת 2021 נטען עוד, </w:t>
      </w:r>
      <w:r w:rsidR="00DF73D8">
        <w:rPr>
          <w:rFonts w:cs="David" w:hint="cs"/>
          <w:sz w:val="24"/>
          <w:szCs w:val="24"/>
          <w:rtl/>
        </w:rPr>
        <w:t xml:space="preserve">כי </w:t>
      </w:r>
      <w:r w:rsidR="001774D5">
        <w:rPr>
          <w:rFonts w:cs="David" w:hint="cs"/>
          <w:sz w:val="24"/>
          <w:szCs w:val="24"/>
          <w:rtl/>
        </w:rPr>
        <w:t xml:space="preserve">השמאי המכריע התעלם מהעסקה שנערכה בנכס עצמו, שנמכר בעסקת נטו בסכום ש 748,800 ₪, דבר שמשקף לדעת העוררת שווי של כ- 1,119,300 ₪ למועד הקובע, ולא 1,346,756 </w:t>
      </w:r>
      <w:r w:rsidR="00B471EE">
        <w:rPr>
          <w:rFonts w:cs="David" w:hint="cs"/>
          <w:sz w:val="24"/>
          <w:szCs w:val="24"/>
          <w:rtl/>
        </w:rPr>
        <w:t xml:space="preserve">₪, </w:t>
      </w:r>
      <w:r w:rsidR="001774D5">
        <w:rPr>
          <w:rFonts w:cs="David" w:hint="cs"/>
          <w:sz w:val="24"/>
          <w:szCs w:val="24"/>
          <w:rtl/>
        </w:rPr>
        <w:t>כפי שקבע השמאי המכריע.</w:t>
      </w:r>
    </w:p>
    <w:p w14:paraId="73ACC69C" w14:textId="77777777" w:rsidR="000422B7" w:rsidRDefault="000422B7" w:rsidP="000422B7">
      <w:pPr>
        <w:pStyle w:val="af1"/>
        <w:numPr>
          <w:ilvl w:val="0"/>
          <w:numId w:val="1"/>
        </w:numPr>
        <w:spacing w:after="120" w:line="360" w:lineRule="auto"/>
        <w:ind w:left="470" w:right="-142" w:hanging="425"/>
        <w:contextualSpacing w:val="0"/>
        <w:jc w:val="both"/>
        <w:rPr>
          <w:rFonts w:cs="David"/>
          <w:sz w:val="24"/>
          <w:szCs w:val="24"/>
        </w:rPr>
      </w:pPr>
      <w:proofErr w:type="spellStart"/>
      <w:r>
        <w:rPr>
          <w:rFonts w:cs="David" w:hint="cs"/>
          <w:sz w:val="24"/>
          <w:szCs w:val="24"/>
          <w:rtl/>
        </w:rPr>
        <w:lastRenderedPageBreak/>
        <w:t>בערר</w:t>
      </w:r>
      <w:r w:rsidR="00095DC7">
        <w:rPr>
          <w:rFonts w:cs="David" w:hint="cs"/>
          <w:sz w:val="24"/>
          <w:szCs w:val="24"/>
          <w:rtl/>
        </w:rPr>
        <w:t>ים</w:t>
      </w:r>
      <w:proofErr w:type="spellEnd"/>
      <w:r w:rsidR="00095DC7">
        <w:rPr>
          <w:rFonts w:cs="David" w:hint="cs"/>
          <w:sz w:val="24"/>
          <w:szCs w:val="24"/>
          <w:rtl/>
        </w:rPr>
        <w:t xml:space="preserve"> משנת 2023 </w:t>
      </w:r>
      <w:r>
        <w:rPr>
          <w:rFonts w:cs="David" w:hint="cs"/>
          <w:sz w:val="24"/>
          <w:szCs w:val="24"/>
          <w:rtl/>
        </w:rPr>
        <w:t>התמקד</w:t>
      </w:r>
      <w:r w:rsidR="000F0947">
        <w:rPr>
          <w:rFonts w:cs="David" w:hint="cs"/>
          <w:sz w:val="24"/>
          <w:szCs w:val="24"/>
          <w:rtl/>
        </w:rPr>
        <w:t>ו</w:t>
      </w:r>
      <w:r>
        <w:rPr>
          <w:rFonts w:cs="David" w:hint="cs"/>
          <w:sz w:val="24"/>
          <w:szCs w:val="24"/>
          <w:rtl/>
        </w:rPr>
        <w:t xml:space="preserve"> טענ</w:t>
      </w:r>
      <w:r w:rsidR="000F0947">
        <w:rPr>
          <w:rFonts w:cs="David" w:hint="cs"/>
          <w:sz w:val="24"/>
          <w:szCs w:val="24"/>
          <w:rtl/>
        </w:rPr>
        <w:t>ו</w:t>
      </w:r>
      <w:r>
        <w:rPr>
          <w:rFonts w:cs="David" w:hint="cs"/>
          <w:sz w:val="24"/>
          <w:szCs w:val="24"/>
          <w:rtl/>
        </w:rPr>
        <w:t>ת העורר</w:t>
      </w:r>
      <w:r w:rsidR="00095DC7">
        <w:rPr>
          <w:rFonts w:cs="David" w:hint="cs"/>
          <w:sz w:val="24"/>
          <w:szCs w:val="24"/>
          <w:rtl/>
        </w:rPr>
        <w:t>ו</w:t>
      </w:r>
      <w:r>
        <w:rPr>
          <w:rFonts w:cs="David" w:hint="cs"/>
          <w:sz w:val="24"/>
          <w:szCs w:val="24"/>
          <w:rtl/>
        </w:rPr>
        <w:t xml:space="preserve">ת בהשפעת </w:t>
      </w:r>
      <w:r>
        <w:rPr>
          <w:rFonts w:cs="David"/>
          <w:sz w:val="24"/>
          <w:szCs w:val="24"/>
          <w:rtl/>
        </w:rPr>
        <w:t xml:space="preserve">עסקאות </w:t>
      </w:r>
      <w:proofErr w:type="spellStart"/>
      <w:r>
        <w:rPr>
          <w:rFonts w:cs="David"/>
          <w:sz w:val="24"/>
          <w:szCs w:val="24"/>
          <w:rtl/>
        </w:rPr>
        <w:t>סיחור</w:t>
      </w:r>
      <w:proofErr w:type="spellEnd"/>
      <w:r>
        <w:rPr>
          <w:rFonts w:cs="David"/>
          <w:sz w:val="24"/>
          <w:szCs w:val="24"/>
          <w:rtl/>
        </w:rPr>
        <w:t xml:space="preserve"> </w:t>
      </w:r>
      <w:r>
        <w:rPr>
          <w:rFonts w:cs="David" w:hint="cs"/>
          <w:sz w:val="24"/>
          <w:szCs w:val="24"/>
          <w:rtl/>
        </w:rPr>
        <w:t>ה</w:t>
      </w:r>
      <w:r>
        <w:rPr>
          <w:rFonts w:cs="David"/>
          <w:sz w:val="24"/>
          <w:szCs w:val="24"/>
          <w:rtl/>
        </w:rPr>
        <w:t>אופציה</w:t>
      </w:r>
      <w:r>
        <w:rPr>
          <w:rFonts w:cs="David" w:hint="cs"/>
          <w:sz w:val="24"/>
          <w:szCs w:val="24"/>
          <w:rtl/>
        </w:rPr>
        <w:t xml:space="preserve"> על שווי המקרקעין במצב הקודם</w:t>
      </w:r>
      <w:r>
        <w:rPr>
          <w:rFonts w:cs="David"/>
          <w:sz w:val="24"/>
          <w:szCs w:val="24"/>
          <w:rtl/>
        </w:rPr>
        <w:t xml:space="preserve">. </w:t>
      </w:r>
      <w:r>
        <w:rPr>
          <w:rFonts w:cs="David" w:hint="cs"/>
          <w:sz w:val="24"/>
          <w:szCs w:val="24"/>
          <w:rtl/>
        </w:rPr>
        <w:t>לטענת העורר</w:t>
      </w:r>
      <w:r w:rsidR="00095DC7">
        <w:rPr>
          <w:rFonts w:cs="David" w:hint="cs"/>
          <w:sz w:val="24"/>
          <w:szCs w:val="24"/>
          <w:rtl/>
        </w:rPr>
        <w:t>ו</w:t>
      </w:r>
      <w:r>
        <w:rPr>
          <w:rFonts w:cs="David" w:hint="cs"/>
          <w:sz w:val="24"/>
          <w:szCs w:val="24"/>
          <w:rtl/>
        </w:rPr>
        <w:t>ת:</w:t>
      </w:r>
    </w:p>
    <w:p w14:paraId="464C3EB1" w14:textId="77777777" w:rsidR="000422B7" w:rsidRDefault="000422B7" w:rsidP="00F72DDB">
      <w:pPr>
        <w:pStyle w:val="a0"/>
        <w:ind w:left="1035" w:hanging="675"/>
        <w:contextualSpacing w:val="0"/>
      </w:pPr>
      <w:r>
        <w:rPr>
          <w:rFonts w:hint="cs"/>
          <w:rtl/>
        </w:rPr>
        <w:t xml:space="preserve">עסקאות אופציה הן עסקאות נדל"ן, ולא עסקאות תיווך, והתשלום עבור </w:t>
      </w:r>
      <w:proofErr w:type="spellStart"/>
      <w:r>
        <w:rPr>
          <w:rFonts w:hint="cs"/>
          <w:rtl/>
        </w:rPr>
        <w:t>סיחור</w:t>
      </w:r>
      <w:proofErr w:type="spellEnd"/>
      <w:r>
        <w:rPr>
          <w:rFonts w:hint="cs"/>
          <w:rtl/>
        </w:rPr>
        <w:t xml:space="preserve"> אופציה הינו חלק ממחיר המקרקעין. העוררות הפנו בנושא זה לסעיף 49י לחוק </w:t>
      </w:r>
      <w:r>
        <w:rPr>
          <w:rtl/>
        </w:rPr>
        <w:t xml:space="preserve">מיסוי מקרקעין (שבח ורכישה), התשכ"ג-1963, </w:t>
      </w:r>
      <w:r>
        <w:rPr>
          <w:rFonts w:hint="cs"/>
          <w:rtl/>
        </w:rPr>
        <w:t>המגדיר מהי "אופציה" וקובע כי התשלום עבור רכישת האופציה הינו חלק משווי המכירה לצורך מס רכישה.</w:t>
      </w:r>
      <w:r w:rsidR="00095DC7">
        <w:rPr>
          <w:rFonts w:hint="cs"/>
          <w:rtl/>
        </w:rPr>
        <w:t xml:space="preserve"> </w:t>
      </w:r>
      <w:r>
        <w:rPr>
          <w:rFonts w:hint="cs"/>
          <w:rtl/>
        </w:rPr>
        <w:t xml:space="preserve">הניתוח המשפטי שערך </w:t>
      </w:r>
      <w:r w:rsidR="000F0947">
        <w:rPr>
          <w:rFonts w:hint="cs"/>
          <w:rtl/>
        </w:rPr>
        <w:t>דדון,</w:t>
      </w:r>
      <w:r>
        <w:rPr>
          <w:rFonts w:hint="cs"/>
          <w:rtl/>
        </w:rPr>
        <w:t xml:space="preserve"> ולפיו התשלום עבור רכישת האופציה שקול לדמי תיווך, הינו שגוי לחלוטין.</w:t>
      </w:r>
    </w:p>
    <w:p w14:paraId="760DD50E" w14:textId="77777777" w:rsidR="006162A2" w:rsidRDefault="000F0947" w:rsidP="00171206">
      <w:pPr>
        <w:pStyle w:val="a0"/>
        <w:ind w:left="1035" w:hanging="675"/>
        <w:contextualSpacing w:val="0"/>
      </w:pPr>
      <w:r>
        <w:rPr>
          <w:rFonts w:hint="cs"/>
          <w:rtl/>
        </w:rPr>
        <w:t>דדון</w:t>
      </w:r>
      <w:r w:rsidR="000422B7">
        <w:rPr>
          <w:rFonts w:hint="cs"/>
          <w:rtl/>
        </w:rPr>
        <w:t xml:space="preserve"> התעלם מ- 43 עסקאות </w:t>
      </w:r>
      <w:proofErr w:type="spellStart"/>
      <w:r w:rsidR="000422B7">
        <w:rPr>
          <w:rFonts w:hint="cs"/>
          <w:rtl/>
        </w:rPr>
        <w:t>סיחור</w:t>
      </w:r>
      <w:proofErr w:type="spellEnd"/>
      <w:r w:rsidR="000422B7">
        <w:rPr>
          <w:rFonts w:hint="cs"/>
          <w:rtl/>
        </w:rPr>
        <w:t xml:space="preserve"> אופציה המשקפות את שווים האמיתי של המקרקעין במצב הקודם, </w:t>
      </w:r>
      <w:r w:rsidR="00095DC7">
        <w:rPr>
          <w:rFonts w:hint="cs"/>
          <w:rtl/>
        </w:rPr>
        <w:t>ו</w:t>
      </w:r>
      <w:r w:rsidR="000422B7">
        <w:rPr>
          <w:rFonts w:hint="cs"/>
          <w:rtl/>
        </w:rPr>
        <w:t>הסתמך על בדיקה שטחי</w:t>
      </w:r>
      <w:r>
        <w:rPr>
          <w:rFonts w:hint="cs"/>
          <w:rtl/>
        </w:rPr>
        <w:t>ת</w:t>
      </w:r>
      <w:r w:rsidR="000422B7">
        <w:rPr>
          <w:rFonts w:hint="cs"/>
          <w:rtl/>
        </w:rPr>
        <w:t xml:space="preserve"> באתר רשות המסים</w:t>
      </w:r>
      <w:r w:rsidR="00EF278B">
        <w:rPr>
          <w:rtl/>
        </w:rPr>
        <w:t xml:space="preserve">. </w:t>
      </w:r>
      <w:r w:rsidR="006162A2">
        <w:rPr>
          <w:rFonts w:hint="cs"/>
          <w:rtl/>
        </w:rPr>
        <w:t>לטענת העוררת, שמאי מקרקעין אינם אמורים להסתמך על אתר מידע נדל"ן, שנועד לציבור הרחב, ומצופה מהם להתחקות אחר חוזי המכר עצמם, אותם הם רשאים לדרוש מרשות המסים.</w:t>
      </w:r>
    </w:p>
    <w:p w14:paraId="0BB3623D" w14:textId="77777777" w:rsidR="00C24698" w:rsidRDefault="000F0947" w:rsidP="00171206">
      <w:pPr>
        <w:pStyle w:val="a0"/>
        <w:ind w:left="1035" w:hanging="675"/>
        <w:contextualSpacing w:val="0"/>
      </w:pPr>
      <w:r>
        <w:rPr>
          <w:rFonts w:hint="cs"/>
          <w:rtl/>
        </w:rPr>
        <w:t>בנוסף, התעלמות</w:t>
      </w:r>
      <w:r w:rsidR="00EF278B">
        <w:rPr>
          <w:rtl/>
        </w:rPr>
        <w:t xml:space="preserve"> דדון</w:t>
      </w:r>
      <w:r>
        <w:rPr>
          <w:rFonts w:hint="cs"/>
          <w:rtl/>
        </w:rPr>
        <w:t xml:space="preserve"> מעשרות עסקאות </w:t>
      </w:r>
      <w:proofErr w:type="spellStart"/>
      <w:r>
        <w:rPr>
          <w:rFonts w:hint="cs"/>
          <w:rtl/>
        </w:rPr>
        <w:t>סיחור</w:t>
      </w:r>
      <w:proofErr w:type="spellEnd"/>
      <w:r>
        <w:rPr>
          <w:rFonts w:hint="cs"/>
          <w:rtl/>
        </w:rPr>
        <w:t xml:space="preserve"> אופציה</w:t>
      </w:r>
      <w:r w:rsidR="00EF278B">
        <w:rPr>
          <w:rtl/>
        </w:rPr>
        <w:t xml:space="preserve"> אינה קוהרנטית עם שומה מכרעת אחרת שלו עצמו (עניין בן חיים, גוש 10039 חלקה 26), שם </w:t>
      </w:r>
      <w:r>
        <w:rPr>
          <w:rFonts w:hint="cs"/>
          <w:rtl/>
        </w:rPr>
        <w:t>סירב להתחשב ב</w:t>
      </w:r>
      <w:r w:rsidR="00EF278B">
        <w:rPr>
          <w:rtl/>
        </w:rPr>
        <w:t xml:space="preserve">עסקת </w:t>
      </w:r>
      <w:proofErr w:type="spellStart"/>
      <w:r>
        <w:rPr>
          <w:rFonts w:hint="cs"/>
          <w:rtl/>
        </w:rPr>
        <w:t>סיחור</w:t>
      </w:r>
      <w:proofErr w:type="spellEnd"/>
      <w:r>
        <w:rPr>
          <w:rFonts w:hint="cs"/>
          <w:rtl/>
        </w:rPr>
        <w:t xml:space="preserve"> </w:t>
      </w:r>
      <w:r w:rsidR="00EF278B">
        <w:rPr>
          <w:rtl/>
        </w:rPr>
        <w:t>אופציה</w:t>
      </w:r>
      <w:r>
        <w:rPr>
          <w:rFonts w:hint="cs"/>
          <w:rtl/>
        </w:rPr>
        <w:t xml:space="preserve"> בנימוק שהיא עסקה בודדת</w:t>
      </w:r>
      <w:r w:rsidR="00EF278B">
        <w:rPr>
          <w:rtl/>
        </w:rPr>
        <w:t>.</w:t>
      </w:r>
    </w:p>
    <w:p w14:paraId="7BCC8437" w14:textId="77777777" w:rsidR="00095DC7" w:rsidRDefault="00095DC7" w:rsidP="00171206">
      <w:pPr>
        <w:pStyle w:val="a0"/>
        <w:ind w:left="1035" w:hanging="675"/>
        <w:contextualSpacing w:val="0"/>
      </w:pPr>
      <w:r>
        <w:rPr>
          <w:rFonts w:hint="cs"/>
          <w:rtl/>
        </w:rPr>
        <w:t>דדון פסל עסקאות שנעשו לאחר המועד הקובע, ללא הצדקה, בפרט שמחירן הנמוך יותר של עסקאות שנערכו לפני המועד הקובע נבע מסד לחצים בשל פקיעתה הקרובה של האופציה.</w:t>
      </w:r>
    </w:p>
    <w:p w14:paraId="6FF92BD0" w14:textId="77777777" w:rsidR="00095DC7" w:rsidRDefault="00095DC7" w:rsidP="00171206">
      <w:pPr>
        <w:pStyle w:val="a0"/>
        <w:ind w:left="1035" w:hanging="675"/>
        <w:contextualSpacing w:val="0"/>
      </w:pPr>
      <w:r>
        <w:rPr>
          <w:rFonts w:hint="cs"/>
          <w:rtl/>
        </w:rPr>
        <w:t>הרצברג הסתמך על אתר האינטרנט של סלעית, ממנו הסיק כי הקרקע משווקת כקרקע למגורים בתכנון עם הדמיות של התכנון הסופי למרות שטרם אושרה תוכנית. נפל פגם בכך שלא ניתנה לסלעית הזדמנות נאותה להתייחס לנתונים שפורסמו באתר שלה, שהוקם לאחר מועד ביצוע העסקה ועשרות עסקאות נוספות.</w:t>
      </w:r>
    </w:p>
    <w:p w14:paraId="4512B1E3" w14:textId="77777777" w:rsidR="00C24698" w:rsidRPr="00EF278B" w:rsidRDefault="00F6479F" w:rsidP="00F6479F">
      <w:pPr>
        <w:pStyle w:val="a0"/>
        <w:ind w:left="1035" w:hanging="675"/>
        <w:contextualSpacing w:val="0"/>
      </w:pPr>
      <w:r>
        <w:rPr>
          <w:rFonts w:hint="cs"/>
          <w:rtl/>
        </w:rPr>
        <w:t>הרצברג</w:t>
      </w:r>
      <w:r w:rsidR="00EF278B" w:rsidRPr="00EF278B">
        <w:rPr>
          <w:rtl/>
        </w:rPr>
        <w:t xml:space="preserve"> ביסס את </w:t>
      </w:r>
      <w:r w:rsidR="00EF278B" w:rsidRPr="00EF278B">
        <w:rPr>
          <w:rFonts w:hint="cs"/>
          <w:rtl/>
        </w:rPr>
        <w:t>קביעת ה</w:t>
      </w:r>
      <w:r w:rsidR="00EF278B" w:rsidRPr="00EF278B">
        <w:rPr>
          <w:rtl/>
        </w:rPr>
        <w:t xml:space="preserve">שווי על נתון עובדתי שגוי בנוגע לעסקאות בחלקה 14, ופסל שלוש עסקאות בשל </w:t>
      </w:r>
      <w:r w:rsidR="00EF278B" w:rsidRPr="00EF278B">
        <w:rPr>
          <w:rFonts w:hint="cs"/>
          <w:rtl/>
        </w:rPr>
        <w:t xml:space="preserve">עסקה חריגה אחת, </w:t>
      </w:r>
      <w:r w:rsidR="00EF278B" w:rsidRPr="00EF278B">
        <w:rPr>
          <w:rtl/>
        </w:rPr>
        <w:t>מבלי לאמת את הנתונים מול המסמכים שהוצגו לפניו.</w:t>
      </w:r>
      <w:r w:rsidR="00EF278B" w:rsidRPr="00EF278B">
        <w:rPr>
          <w:rFonts w:hint="cs"/>
          <w:rtl/>
        </w:rPr>
        <w:t xml:space="preserve"> שמאי העוררות הוסיף בדיון,</w:t>
      </w:r>
      <w:r w:rsidR="00EF278B">
        <w:rPr>
          <w:rFonts w:hint="cs"/>
          <w:rtl/>
        </w:rPr>
        <w:t xml:space="preserve"> כי</w:t>
      </w:r>
      <w:r w:rsidR="00EF278B" w:rsidRPr="00EF278B">
        <w:rPr>
          <w:rtl/>
        </w:rPr>
        <w:t xml:space="preserve"> הרצברג הודה בשומה מאוחרת </w:t>
      </w:r>
      <w:r w:rsidR="00EF278B">
        <w:rPr>
          <w:rFonts w:hint="cs"/>
          <w:rtl/>
        </w:rPr>
        <w:t>ש</w:t>
      </w:r>
      <w:r w:rsidR="00EF278B" w:rsidRPr="00EF278B">
        <w:rPr>
          <w:rtl/>
        </w:rPr>
        <w:t xml:space="preserve">נפלו טעויות בניתוח </w:t>
      </w:r>
      <w:r w:rsidR="00EF278B">
        <w:rPr>
          <w:rFonts w:hint="cs"/>
          <w:rtl/>
        </w:rPr>
        <w:t>ה</w:t>
      </w:r>
      <w:r w:rsidR="00EF278B" w:rsidRPr="00EF278B">
        <w:rPr>
          <w:rtl/>
        </w:rPr>
        <w:t xml:space="preserve">עסקאות, וכי ללא שתי עסקאות שגויות היה מגיע ל-320 ₪ למ"ר, </w:t>
      </w:r>
      <w:r w:rsidR="00EF278B">
        <w:rPr>
          <w:rFonts w:hint="cs"/>
          <w:rtl/>
        </w:rPr>
        <w:t>אולם מצא לנכון להתיישר עם ה</w:t>
      </w:r>
      <w:r w:rsidR="00EF278B" w:rsidRPr="00EF278B">
        <w:rPr>
          <w:rtl/>
        </w:rPr>
        <w:t xml:space="preserve">שומות </w:t>
      </w:r>
      <w:r w:rsidR="00EF278B">
        <w:rPr>
          <w:rFonts w:hint="cs"/>
          <w:rtl/>
        </w:rPr>
        <w:t>ה</w:t>
      </w:r>
      <w:r w:rsidR="00EF278B" w:rsidRPr="00EF278B">
        <w:rPr>
          <w:rtl/>
        </w:rPr>
        <w:t>קודמות ש</w:t>
      </w:r>
      <w:r w:rsidR="00EF278B">
        <w:rPr>
          <w:rFonts w:hint="cs"/>
          <w:rtl/>
        </w:rPr>
        <w:t>קבעו</w:t>
      </w:r>
      <w:r w:rsidR="00EF278B" w:rsidRPr="00EF278B">
        <w:rPr>
          <w:rtl/>
        </w:rPr>
        <w:t xml:space="preserve"> 300 ₪ </w:t>
      </w:r>
      <w:r w:rsidR="00EF278B">
        <w:rPr>
          <w:rFonts w:hint="cs"/>
          <w:rtl/>
        </w:rPr>
        <w:t xml:space="preserve">למ"ר, </w:t>
      </w:r>
      <w:r w:rsidR="00EF278B" w:rsidRPr="00EF278B">
        <w:rPr>
          <w:rtl/>
        </w:rPr>
        <w:t>דבר שלגישת העוררות שמאי מכריע אינו רשאי לעשות.</w:t>
      </w:r>
    </w:p>
    <w:p w14:paraId="793F3DE2" w14:textId="77777777" w:rsidR="00C24698" w:rsidRDefault="00C24698">
      <w:pPr>
        <w:spacing w:after="80" w:line="360" w:lineRule="auto"/>
        <w:rPr>
          <w:rFonts w:cs="David"/>
          <w:sz w:val="24"/>
          <w:szCs w:val="24"/>
        </w:rPr>
      </w:pPr>
    </w:p>
    <w:p w14:paraId="0A3600F0" w14:textId="77777777" w:rsidR="00C24698" w:rsidRDefault="003937E2">
      <w:pPr>
        <w:spacing w:after="120" w:line="360" w:lineRule="auto"/>
        <w:ind w:firstLine="43"/>
        <w:jc w:val="both"/>
        <w:rPr>
          <w:rFonts w:cs="David"/>
          <w:b/>
          <w:bCs/>
          <w:sz w:val="26"/>
          <w:szCs w:val="26"/>
          <w:u w:val="single"/>
        </w:rPr>
      </w:pPr>
      <w:r>
        <w:rPr>
          <w:rFonts w:cs="David"/>
          <w:b/>
          <w:bCs/>
          <w:sz w:val="26"/>
          <w:szCs w:val="26"/>
          <w:u w:val="single"/>
          <w:rtl/>
        </w:rPr>
        <w:t>עיקר טענות הוועדה המקומית</w:t>
      </w:r>
    </w:p>
    <w:p w14:paraId="54CEB826" w14:textId="77777777" w:rsidR="00C24698" w:rsidRDefault="00387557">
      <w:pPr>
        <w:pStyle w:val="af1"/>
        <w:numPr>
          <w:ilvl w:val="0"/>
          <w:numId w:val="1"/>
        </w:numPr>
        <w:spacing w:after="120" w:line="360" w:lineRule="auto"/>
        <w:ind w:left="470" w:right="-142" w:hanging="425"/>
        <w:contextualSpacing w:val="0"/>
        <w:jc w:val="both"/>
        <w:rPr>
          <w:rFonts w:cs="David"/>
          <w:sz w:val="24"/>
          <w:szCs w:val="24"/>
        </w:rPr>
      </w:pPr>
      <w:r>
        <w:rPr>
          <w:rFonts w:cs="David" w:hint="cs"/>
          <w:sz w:val="24"/>
          <w:szCs w:val="24"/>
          <w:rtl/>
        </w:rPr>
        <w:t xml:space="preserve">לטענת </w:t>
      </w:r>
      <w:r w:rsidR="003937E2">
        <w:rPr>
          <w:rFonts w:cs="David"/>
          <w:sz w:val="24"/>
          <w:szCs w:val="24"/>
          <w:rtl/>
        </w:rPr>
        <w:t>הוועדה המקומית</w:t>
      </w:r>
      <w:r>
        <w:rPr>
          <w:rFonts w:cs="David" w:hint="cs"/>
          <w:sz w:val="24"/>
          <w:szCs w:val="24"/>
          <w:rtl/>
        </w:rPr>
        <w:t>,</w:t>
      </w:r>
      <w:r w:rsidR="00A900B3">
        <w:rPr>
          <w:rFonts w:cs="David" w:hint="cs"/>
          <w:sz w:val="24"/>
          <w:szCs w:val="24"/>
          <w:rtl/>
        </w:rPr>
        <w:t xml:space="preserve"> יש לדחות את </w:t>
      </w:r>
      <w:proofErr w:type="spellStart"/>
      <w:r w:rsidR="00A900B3">
        <w:rPr>
          <w:rFonts w:cs="David" w:hint="cs"/>
          <w:sz w:val="24"/>
          <w:szCs w:val="24"/>
          <w:rtl/>
        </w:rPr>
        <w:t>העררים</w:t>
      </w:r>
      <w:proofErr w:type="spellEnd"/>
      <w:r w:rsidR="00A900B3">
        <w:rPr>
          <w:rFonts w:cs="David" w:hint="cs"/>
          <w:sz w:val="24"/>
          <w:szCs w:val="24"/>
          <w:rtl/>
        </w:rPr>
        <w:t xml:space="preserve">, </w:t>
      </w:r>
      <w:r>
        <w:rPr>
          <w:rFonts w:cs="David" w:hint="cs"/>
          <w:sz w:val="24"/>
          <w:szCs w:val="24"/>
          <w:rtl/>
        </w:rPr>
        <w:t xml:space="preserve">אשר </w:t>
      </w:r>
      <w:r w:rsidR="00A900B3">
        <w:rPr>
          <w:rFonts w:cs="David" w:hint="cs"/>
          <w:sz w:val="24"/>
          <w:szCs w:val="24"/>
          <w:rtl/>
        </w:rPr>
        <w:t xml:space="preserve">מבוססים על </w:t>
      </w:r>
      <w:r w:rsidR="003937E2">
        <w:rPr>
          <w:rFonts w:cs="David"/>
          <w:sz w:val="24"/>
          <w:szCs w:val="24"/>
          <w:rtl/>
        </w:rPr>
        <w:t>טענות שמאיות</w:t>
      </w:r>
      <w:r>
        <w:rPr>
          <w:rFonts w:cs="David" w:hint="cs"/>
          <w:sz w:val="24"/>
          <w:szCs w:val="24"/>
          <w:rtl/>
        </w:rPr>
        <w:t xml:space="preserve">, המצויות בלב שיקול דעתו של שמאי מכריע, ואינן מצדיקות </w:t>
      </w:r>
      <w:r w:rsidR="003937E2">
        <w:rPr>
          <w:rFonts w:cs="David"/>
          <w:sz w:val="24"/>
          <w:szCs w:val="24"/>
          <w:rtl/>
        </w:rPr>
        <w:t>התערבות בשומה מכרעת.</w:t>
      </w:r>
    </w:p>
    <w:p w14:paraId="197B7627" w14:textId="77777777" w:rsidR="00C24698" w:rsidRDefault="003937E2">
      <w:pPr>
        <w:pStyle w:val="af1"/>
        <w:numPr>
          <w:ilvl w:val="0"/>
          <w:numId w:val="1"/>
        </w:numPr>
        <w:spacing w:after="120" w:line="360" w:lineRule="auto"/>
        <w:ind w:left="470" w:right="-142" w:hanging="425"/>
        <w:contextualSpacing w:val="0"/>
        <w:jc w:val="both"/>
        <w:rPr>
          <w:rFonts w:cs="David"/>
          <w:sz w:val="24"/>
          <w:szCs w:val="24"/>
        </w:rPr>
      </w:pPr>
      <w:r>
        <w:rPr>
          <w:rFonts w:cs="David"/>
          <w:sz w:val="24"/>
          <w:szCs w:val="24"/>
          <w:rtl/>
        </w:rPr>
        <w:t>לגופו של עניין</w:t>
      </w:r>
      <w:r w:rsidR="00A900B3">
        <w:rPr>
          <w:rFonts w:cs="David" w:hint="cs"/>
          <w:sz w:val="24"/>
          <w:szCs w:val="24"/>
          <w:rtl/>
        </w:rPr>
        <w:t xml:space="preserve"> טענה הוועדה המקומית, כי</w:t>
      </w:r>
      <w:r>
        <w:rPr>
          <w:rFonts w:cs="David"/>
          <w:sz w:val="24"/>
          <w:szCs w:val="24"/>
          <w:rtl/>
        </w:rPr>
        <w:t xml:space="preserve"> </w:t>
      </w:r>
      <w:r w:rsidR="00A900B3">
        <w:rPr>
          <w:rFonts w:cs="David" w:hint="cs"/>
          <w:sz w:val="24"/>
          <w:szCs w:val="24"/>
          <w:rtl/>
        </w:rPr>
        <w:t xml:space="preserve">ביחס לתוכנית המשביחה נערכו </w:t>
      </w:r>
      <w:r>
        <w:rPr>
          <w:rFonts w:cs="David"/>
          <w:sz w:val="24"/>
          <w:szCs w:val="24"/>
          <w:rtl/>
        </w:rPr>
        <w:t xml:space="preserve">13 שומות מכריעות על ידי 4 שמאים מכריעים שונים. כל </w:t>
      </w:r>
      <w:r w:rsidR="00A900B3">
        <w:rPr>
          <w:rFonts w:cs="David" w:hint="cs"/>
          <w:sz w:val="24"/>
          <w:szCs w:val="24"/>
          <w:rtl/>
        </w:rPr>
        <w:t>אחד מארבעת ה</w:t>
      </w:r>
      <w:r>
        <w:rPr>
          <w:rFonts w:cs="David"/>
          <w:sz w:val="24"/>
          <w:szCs w:val="24"/>
          <w:rtl/>
        </w:rPr>
        <w:t>שמאי</w:t>
      </w:r>
      <w:r w:rsidR="00A900B3">
        <w:rPr>
          <w:rFonts w:cs="David" w:hint="cs"/>
          <w:sz w:val="24"/>
          <w:szCs w:val="24"/>
          <w:rtl/>
        </w:rPr>
        <w:t>ם</w:t>
      </w:r>
      <w:r>
        <w:rPr>
          <w:rFonts w:cs="David"/>
          <w:sz w:val="24"/>
          <w:szCs w:val="24"/>
          <w:rtl/>
        </w:rPr>
        <w:t xml:space="preserve"> </w:t>
      </w:r>
      <w:r w:rsidR="00A900B3">
        <w:rPr>
          <w:rFonts w:cs="David" w:hint="cs"/>
          <w:sz w:val="24"/>
          <w:szCs w:val="24"/>
          <w:rtl/>
        </w:rPr>
        <w:t>ה</w:t>
      </w:r>
      <w:r>
        <w:rPr>
          <w:rFonts w:cs="David"/>
          <w:sz w:val="24"/>
          <w:szCs w:val="24"/>
          <w:rtl/>
        </w:rPr>
        <w:t>מכריע</w:t>
      </w:r>
      <w:r w:rsidR="00A900B3">
        <w:rPr>
          <w:rFonts w:cs="David" w:hint="cs"/>
          <w:sz w:val="24"/>
          <w:szCs w:val="24"/>
          <w:rtl/>
        </w:rPr>
        <w:t>ים</w:t>
      </w:r>
      <w:r>
        <w:rPr>
          <w:rFonts w:cs="David"/>
          <w:sz w:val="24"/>
          <w:szCs w:val="24"/>
          <w:rtl/>
        </w:rPr>
        <w:t xml:space="preserve"> </w:t>
      </w:r>
      <w:r w:rsidR="00387557">
        <w:rPr>
          <w:rFonts w:cs="David" w:hint="cs"/>
          <w:sz w:val="24"/>
          <w:szCs w:val="24"/>
          <w:rtl/>
        </w:rPr>
        <w:t xml:space="preserve">התייחס בפירוט לטענות </w:t>
      </w:r>
      <w:r w:rsidR="00387557">
        <w:rPr>
          <w:rFonts w:cs="David" w:hint="cs"/>
          <w:sz w:val="24"/>
          <w:szCs w:val="24"/>
          <w:rtl/>
        </w:rPr>
        <w:lastRenderedPageBreak/>
        <w:t xml:space="preserve">הצדדים, בחן באופן </w:t>
      </w:r>
      <w:r>
        <w:rPr>
          <w:rFonts w:cs="David"/>
          <w:sz w:val="24"/>
          <w:szCs w:val="24"/>
          <w:rtl/>
        </w:rPr>
        <w:t>עצמאי את עסקאות ההשוואה</w:t>
      </w:r>
      <w:r w:rsidR="00387557">
        <w:rPr>
          <w:rFonts w:cs="David" w:hint="cs"/>
          <w:sz w:val="24"/>
          <w:szCs w:val="24"/>
          <w:rtl/>
        </w:rPr>
        <w:t xml:space="preserve"> ונתונים נוספים, מבלי ליתן משקל עודף לקביעות של שמאים מכריעים אחרים</w:t>
      </w:r>
      <w:r>
        <w:rPr>
          <w:rFonts w:cs="David"/>
          <w:sz w:val="24"/>
          <w:szCs w:val="24"/>
          <w:rtl/>
        </w:rPr>
        <w:t xml:space="preserve">. </w:t>
      </w:r>
      <w:r w:rsidR="00387557">
        <w:rPr>
          <w:rFonts w:cs="David" w:hint="cs"/>
          <w:sz w:val="24"/>
          <w:szCs w:val="24"/>
          <w:rtl/>
        </w:rPr>
        <w:t>ב</w:t>
      </w:r>
      <w:r w:rsidR="00387557">
        <w:rPr>
          <w:rFonts w:cs="David"/>
          <w:sz w:val="24"/>
          <w:szCs w:val="24"/>
          <w:rtl/>
        </w:rPr>
        <w:t>כל</w:t>
      </w:r>
      <w:r w:rsidR="00387557">
        <w:rPr>
          <w:rFonts w:cs="David" w:hint="cs"/>
          <w:sz w:val="24"/>
          <w:szCs w:val="24"/>
          <w:rtl/>
        </w:rPr>
        <w:t xml:space="preserve"> השומות המכריעות הללו</w:t>
      </w:r>
      <w:r w:rsidR="00387557">
        <w:rPr>
          <w:rFonts w:cs="David"/>
          <w:sz w:val="24"/>
          <w:szCs w:val="24"/>
          <w:rtl/>
        </w:rPr>
        <w:t xml:space="preserve"> </w:t>
      </w:r>
      <w:r w:rsidR="00387557">
        <w:rPr>
          <w:rFonts w:cs="David" w:hint="cs"/>
          <w:sz w:val="24"/>
          <w:szCs w:val="24"/>
          <w:rtl/>
        </w:rPr>
        <w:t>נ</w:t>
      </w:r>
      <w:r w:rsidR="00387557">
        <w:rPr>
          <w:rFonts w:cs="David"/>
          <w:sz w:val="24"/>
          <w:szCs w:val="24"/>
          <w:rtl/>
        </w:rPr>
        <w:t>קבע</w:t>
      </w:r>
      <w:r w:rsidR="00387557">
        <w:rPr>
          <w:rFonts w:cs="David" w:hint="cs"/>
          <w:sz w:val="24"/>
          <w:szCs w:val="24"/>
          <w:rtl/>
        </w:rPr>
        <w:t>, כי</w:t>
      </w:r>
      <w:r w:rsidR="00387557">
        <w:rPr>
          <w:rFonts w:cs="David"/>
          <w:sz w:val="24"/>
          <w:szCs w:val="24"/>
          <w:rtl/>
        </w:rPr>
        <w:t xml:space="preserve"> שווי </w:t>
      </w:r>
      <w:r w:rsidR="00387557">
        <w:rPr>
          <w:rFonts w:cs="David" w:hint="cs"/>
          <w:sz w:val="24"/>
          <w:szCs w:val="24"/>
          <w:rtl/>
        </w:rPr>
        <w:t>ה</w:t>
      </w:r>
      <w:r w:rsidR="00387557">
        <w:rPr>
          <w:rFonts w:cs="David"/>
          <w:sz w:val="24"/>
          <w:szCs w:val="24"/>
          <w:rtl/>
        </w:rPr>
        <w:t xml:space="preserve">קרקע </w:t>
      </w:r>
      <w:r w:rsidR="00387557">
        <w:rPr>
          <w:rFonts w:cs="David" w:hint="cs"/>
          <w:sz w:val="24"/>
          <w:szCs w:val="24"/>
          <w:rtl/>
        </w:rPr>
        <w:t>ה</w:t>
      </w:r>
      <w:r w:rsidR="00387557">
        <w:rPr>
          <w:rFonts w:cs="David"/>
          <w:sz w:val="24"/>
          <w:szCs w:val="24"/>
          <w:rtl/>
        </w:rPr>
        <w:t>חקלאית במצב קודם</w:t>
      </w:r>
      <w:r w:rsidR="00387557">
        <w:rPr>
          <w:rFonts w:cs="David" w:hint="cs"/>
          <w:sz w:val="24"/>
          <w:szCs w:val="24"/>
          <w:rtl/>
        </w:rPr>
        <w:t xml:space="preserve"> הוא </w:t>
      </w:r>
      <w:r w:rsidR="00387557">
        <w:rPr>
          <w:rFonts w:cs="David"/>
          <w:sz w:val="24"/>
          <w:szCs w:val="24"/>
          <w:rtl/>
        </w:rPr>
        <w:t>300 ₪ למ"ר</w:t>
      </w:r>
      <w:r w:rsidR="00387557">
        <w:rPr>
          <w:rFonts w:cs="David" w:hint="cs"/>
          <w:sz w:val="24"/>
          <w:szCs w:val="24"/>
          <w:rtl/>
        </w:rPr>
        <w:t>.</w:t>
      </w:r>
      <w:r w:rsidR="00387557">
        <w:rPr>
          <w:rFonts w:cs="David"/>
          <w:sz w:val="24"/>
          <w:szCs w:val="24"/>
          <w:rtl/>
        </w:rPr>
        <w:t xml:space="preserve"> </w:t>
      </w:r>
      <w:r>
        <w:rPr>
          <w:rFonts w:cs="David"/>
          <w:sz w:val="24"/>
          <w:szCs w:val="24"/>
          <w:rtl/>
        </w:rPr>
        <w:t>אחידות זו מעידה על נכונות הקביעה ומחייבת אי-התערבות.</w:t>
      </w:r>
    </w:p>
    <w:p w14:paraId="307082AC" w14:textId="77777777" w:rsidR="00387557" w:rsidRPr="00A900B3" w:rsidRDefault="00387557" w:rsidP="00387557">
      <w:pPr>
        <w:pStyle w:val="af1"/>
        <w:numPr>
          <w:ilvl w:val="0"/>
          <w:numId w:val="1"/>
        </w:numPr>
        <w:spacing w:after="120" w:line="360" w:lineRule="auto"/>
        <w:ind w:left="470" w:right="-142" w:hanging="425"/>
        <w:contextualSpacing w:val="0"/>
        <w:jc w:val="both"/>
        <w:rPr>
          <w:rFonts w:cs="David"/>
          <w:sz w:val="24"/>
          <w:szCs w:val="24"/>
        </w:rPr>
      </w:pPr>
      <w:r>
        <w:rPr>
          <w:rFonts w:cs="David" w:hint="cs"/>
          <w:sz w:val="24"/>
          <w:szCs w:val="24"/>
          <w:rtl/>
        </w:rPr>
        <w:t xml:space="preserve">העוררות מתעלמות מעסקאות רבות שבוצעו במתחם לפי שווי של 300 ₪ למ"ר.  </w:t>
      </w:r>
      <w:r w:rsidRPr="00A900B3">
        <w:rPr>
          <w:rFonts w:cs="David"/>
          <w:sz w:val="24"/>
          <w:szCs w:val="24"/>
          <w:rtl/>
        </w:rPr>
        <w:t>עסקאות בכפר יונה הסמוך</w:t>
      </w:r>
      <w:r>
        <w:rPr>
          <w:rFonts w:cs="David" w:hint="cs"/>
          <w:sz w:val="24"/>
          <w:szCs w:val="24"/>
          <w:rtl/>
        </w:rPr>
        <w:t>,</w:t>
      </w:r>
      <w:r w:rsidRPr="00A900B3">
        <w:rPr>
          <w:rFonts w:cs="David"/>
          <w:sz w:val="24"/>
          <w:szCs w:val="24"/>
          <w:rtl/>
        </w:rPr>
        <w:t xml:space="preserve"> המסווגת בתמ"מ 3/21 בייעוד פיתוח עירוני</w:t>
      </w:r>
      <w:r>
        <w:rPr>
          <w:rFonts w:cs="David" w:hint="cs"/>
          <w:sz w:val="24"/>
          <w:szCs w:val="24"/>
          <w:rtl/>
        </w:rPr>
        <w:t>,</w:t>
      </w:r>
      <w:r w:rsidRPr="00A900B3">
        <w:rPr>
          <w:rFonts w:cs="David"/>
          <w:sz w:val="24"/>
          <w:szCs w:val="24"/>
          <w:rtl/>
        </w:rPr>
        <w:t xml:space="preserve"> הניבו ממוצע של 291 ₪ למ"ר, המאשר את קביעת 300 ₪.</w:t>
      </w:r>
    </w:p>
    <w:p w14:paraId="6751C56B" w14:textId="77777777" w:rsidR="00387557" w:rsidRDefault="00A900B3" w:rsidP="003937E2">
      <w:pPr>
        <w:pStyle w:val="af1"/>
        <w:numPr>
          <w:ilvl w:val="0"/>
          <w:numId w:val="1"/>
        </w:numPr>
        <w:spacing w:after="120" w:line="360" w:lineRule="auto"/>
        <w:ind w:left="470" w:right="-142" w:hanging="425"/>
        <w:contextualSpacing w:val="0"/>
        <w:jc w:val="both"/>
        <w:rPr>
          <w:rFonts w:cs="David"/>
          <w:sz w:val="24"/>
          <w:szCs w:val="24"/>
        </w:rPr>
      </w:pPr>
      <w:r w:rsidRPr="00A900B3">
        <w:rPr>
          <w:rFonts w:cs="David" w:hint="cs"/>
          <w:sz w:val="24"/>
          <w:szCs w:val="24"/>
          <w:rtl/>
        </w:rPr>
        <w:t>לטענת הוועדה המקומית</w:t>
      </w:r>
      <w:r>
        <w:rPr>
          <w:rFonts w:cs="David" w:hint="cs"/>
          <w:sz w:val="24"/>
          <w:szCs w:val="24"/>
          <w:rtl/>
        </w:rPr>
        <w:t>,</w:t>
      </w:r>
      <w:r w:rsidRPr="00A900B3">
        <w:rPr>
          <w:rFonts w:cs="David" w:hint="cs"/>
          <w:sz w:val="24"/>
          <w:szCs w:val="24"/>
          <w:rtl/>
        </w:rPr>
        <w:t xml:space="preserve"> </w:t>
      </w:r>
      <w:r w:rsidRPr="00A900B3">
        <w:rPr>
          <w:rFonts w:cs="David"/>
          <w:sz w:val="24"/>
          <w:szCs w:val="24"/>
          <w:rtl/>
        </w:rPr>
        <w:t xml:space="preserve">מרבית העסקאות שעליהן הצביעו העוררות </w:t>
      </w:r>
      <w:r>
        <w:rPr>
          <w:rFonts w:cs="David" w:hint="cs"/>
          <w:sz w:val="24"/>
          <w:szCs w:val="24"/>
          <w:rtl/>
        </w:rPr>
        <w:t xml:space="preserve">כמשקפות שווי של </w:t>
      </w:r>
      <w:r w:rsidRPr="00A900B3">
        <w:rPr>
          <w:rFonts w:cs="David"/>
          <w:sz w:val="24"/>
          <w:szCs w:val="24"/>
          <w:rtl/>
        </w:rPr>
        <w:t>600 ₪ למ"ר</w:t>
      </w:r>
      <w:r>
        <w:rPr>
          <w:rFonts w:cs="David" w:hint="cs"/>
          <w:sz w:val="24"/>
          <w:szCs w:val="24"/>
          <w:rtl/>
        </w:rPr>
        <w:t xml:space="preserve">, </w:t>
      </w:r>
      <w:r w:rsidRPr="00A900B3">
        <w:rPr>
          <w:rFonts w:cs="David"/>
          <w:sz w:val="24"/>
          <w:szCs w:val="24"/>
          <w:rtl/>
        </w:rPr>
        <w:t>הן עסקאות ספקולטיביות</w:t>
      </w:r>
      <w:r>
        <w:rPr>
          <w:rFonts w:cs="David" w:hint="cs"/>
          <w:sz w:val="24"/>
          <w:szCs w:val="24"/>
          <w:rtl/>
        </w:rPr>
        <w:t>,</w:t>
      </w:r>
      <w:r w:rsidRPr="00A900B3">
        <w:rPr>
          <w:rFonts w:cs="David"/>
          <w:sz w:val="24"/>
          <w:szCs w:val="24"/>
          <w:rtl/>
        </w:rPr>
        <w:t xml:space="preserve"> שנערכו לאחר המועד הקובע</w:t>
      </w:r>
      <w:r w:rsidR="00387557">
        <w:rPr>
          <w:rFonts w:cs="David" w:hint="cs"/>
          <w:sz w:val="24"/>
          <w:szCs w:val="24"/>
          <w:rtl/>
        </w:rPr>
        <w:t xml:space="preserve"> ו/או</w:t>
      </w:r>
      <w:r w:rsidRPr="00A900B3">
        <w:rPr>
          <w:rFonts w:cs="David"/>
          <w:sz w:val="24"/>
          <w:szCs w:val="24"/>
          <w:rtl/>
        </w:rPr>
        <w:t xml:space="preserve"> על ידי חברות עסקיות שמכרו </w:t>
      </w:r>
      <w:r>
        <w:rPr>
          <w:rFonts w:cs="David" w:hint="cs"/>
          <w:sz w:val="24"/>
          <w:szCs w:val="24"/>
          <w:rtl/>
        </w:rPr>
        <w:t xml:space="preserve">שטחי קרקע </w:t>
      </w:r>
      <w:r w:rsidRPr="00A900B3">
        <w:rPr>
          <w:rFonts w:cs="David"/>
          <w:sz w:val="24"/>
          <w:szCs w:val="24"/>
          <w:rtl/>
        </w:rPr>
        <w:t xml:space="preserve">בציפייה לשינוי ייעוד עתידי. עסקאות מסוג זה אינן משקפות שווי שוק של קרקע חקלאית. </w:t>
      </w:r>
    </w:p>
    <w:p w14:paraId="470F77E8" w14:textId="77777777" w:rsidR="00141479" w:rsidRPr="00141479" w:rsidRDefault="003937E2" w:rsidP="00141479">
      <w:pPr>
        <w:pStyle w:val="af1"/>
        <w:numPr>
          <w:ilvl w:val="0"/>
          <w:numId w:val="1"/>
        </w:numPr>
        <w:spacing w:after="120" w:line="360" w:lineRule="auto"/>
        <w:ind w:left="470" w:right="-142" w:hanging="425"/>
        <w:contextualSpacing w:val="0"/>
        <w:jc w:val="both"/>
        <w:rPr>
          <w:rFonts w:cs="David"/>
          <w:sz w:val="24"/>
          <w:szCs w:val="24"/>
        </w:rPr>
      </w:pPr>
      <w:r w:rsidRPr="00141479">
        <w:rPr>
          <w:rFonts w:cs="David"/>
          <w:sz w:val="24"/>
          <w:szCs w:val="24"/>
          <w:rtl/>
        </w:rPr>
        <w:t>לעניין ה"טעות המשפטית" בדמי תיווך</w:t>
      </w:r>
      <w:r w:rsidR="00A900B3" w:rsidRPr="00141479">
        <w:rPr>
          <w:rFonts w:cs="David" w:hint="cs"/>
          <w:sz w:val="24"/>
          <w:szCs w:val="24"/>
          <w:rtl/>
        </w:rPr>
        <w:t xml:space="preserve"> טענה הוועדה המקומית, כי</w:t>
      </w:r>
      <w:r w:rsidRPr="00141479">
        <w:rPr>
          <w:rFonts w:cs="David"/>
          <w:sz w:val="24"/>
          <w:szCs w:val="24"/>
          <w:rtl/>
        </w:rPr>
        <w:t xml:space="preserve"> גם אם הניסוח של השמאי דדון שגוי, התוצאה נכונה. הסיבה לאי-מתן משקל לעסקאות הסיחור אינה רק הכינוי "תיווך", אלא קביעה שמאית מהותית</w:t>
      </w:r>
      <w:r w:rsidR="00A900B3" w:rsidRPr="00141479">
        <w:rPr>
          <w:rFonts w:cs="David" w:hint="cs"/>
          <w:sz w:val="24"/>
          <w:szCs w:val="24"/>
          <w:rtl/>
        </w:rPr>
        <w:t xml:space="preserve">, </w:t>
      </w:r>
      <w:r w:rsidRPr="00141479">
        <w:rPr>
          <w:rFonts w:cs="David"/>
          <w:sz w:val="24"/>
          <w:szCs w:val="24"/>
          <w:rtl/>
        </w:rPr>
        <w:t>כי עסקאות אלו מגלמות ערך ספקולטיבי ולא שווי קרקע חקלאית.</w:t>
      </w:r>
      <w:r w:rsidR="00141479">
        <w:rPr>
          <w:rFonts w:cs="David" w:hint="cs"/>
          <w:sz w:val="24"/>
          <w:szCs w:val="24"/>
          <w:rtl/>
        </w:rPr>
        <w:t xml:space="preserve"> </w:t>
      </w:r>
      <w:r w:rsidR="00141479" w:rsidRPr="00141479">
        <w:rPr>
          <w:rFonts w:cs="David" w:hint="cs"/>
          <w:sz w:val="24"/>
          <w:szCs w:val="24"/>
          <w:rtl/>
        </w:rPr>
        <w:t xml:space="preserve">בהקשר זה הפנתה הוועדה המקומית לשומה מכרעת של מר גיא צדיק שנערכה לקרקע בתחום התוכנית, </w:t>
      </w:r>
      <w:r w:rsidR="00141479">
        <w:rPr>
          <w:rFonts w:cs="David" w:hint="cs"/>
          <w:sz w:val="24"/>
          <w:szCs w:val="24"/>
          <w:rtl/>
        </w:rPr>
        <w:t xml:space="preserve">ובה הוסבר כי העסקאות </w:t>
      </w:r>
      <w:proofErr w:type="spellStart"/>
      <w:r w:rsidR="00141479">
        <w:rPr>
          <w:rFonts w:cs="David" w:hint="cs"/>
          <w:sz w:val="24"/>
          <w:szCs w:val="24"/>
          <w:rtl/>
        </w:rPr>
        <w:t>לסיחור</w:t>
      </w:r>
      <w:proofErr w:type="spellEnd"/>
      <w:r w:rsidR="00141479">
        <w:rPr>
          <w:rFonts w:cs="David" w:hint="cs"/>
          <w:sz w:val="24"/>
          <w:szCs w:val="24"/>
          <w:rtl/>
        </w:rPr>
        <w:t xml:space="preserve"> כתבי אופציה אינן ראיה לשווי שוק אלא לשווי ספקולטיבי של קרקעות, תוך ציטוט מדברי ההסבר לתקן שמאי מס' 22.</w:t>
      </w:r>
    </w:p>
    <w:p w14:paraId="3777D78C" w14:textId="77777777" w:rsidR="00C24698" w:rsidRDefault="00A900B3">
      <w:pPr>
        <w:pStyle w:val="af1"/>
        <w:numPr>
          <w:ilvl w:val="0"/>
          <w:numId w:val="1"/>
        </w:numPr>
        <w:spacing w:after="120" w:line="360" w:lineRule="auto"/>
        <w:ind w:left="470" w:right="-142" w:hanging="425"/>
        <w:contextualSpacing w:val="0"/>
        <w:jc w:val="both"/>
        <w:rPr>
          <w:rFonts w:cs="David"/>
          <w:sz w:val="24"/>
          <w:szCs w:val="24"/>
        </w:rPr>
      </w:pPr>
      <w:r>
        <w:rPr>
          <w:rFonts w:cs="David" w:hint="cs"/>
          <w:sz w:val="24"/>
          <w:szCs w:val="24"/>
          <w:rtl/>
        </w:rPr>
        <w:t xml:space="preserve">עוד טענה הוועדה המקומית, כי </w:t>
      </w:r>
      <w:r>
        <w:rPr>
          <w:rFonts w:cs="David"/>
          <w:sz w:val="24"/>
          <w:szCs w:val="24"/>
          <w:rtl/>
        </w:rPr>
        <w:t xml:space="preserve">בשים לב </w:t>
      </w:r>
      <w:r>
        <w:rPr>
          <w:rFonts w:cs="David" w:hint="cs"/>
          <w:sz w:val="24"/>
          <w:szCs w:val="24"/>
          <w:rtl/>
        </w:rPr>
        <w:t xml:space="preserve">לכך </w:t>
      </w:r>
      <w:r>
        <w:rPr>
          <w:rFonts w:cs="David"/>
          <w:sz w:val="24"/>
          <w:szCs w:val="24"/>
          <w:rtl/>
        </w:rPr>
        <w:t>שהעוררות הגישו 4 עררים שהצריכו הכנה ודיון, כאשר שאלות אלה כבר נדונו והוכרעו בהחלטות קודמות של ועדה זו, יש לפסוק הוצאות משמעותיות.</w:t>
      </w:r>
    </w:p>
    <w:p w14:paraId="0B94EEA7" w14:textId="77777777" w:rsidR="00A900B3" w:rsidRDefault="00A900B3">
      <w:pPr>
        <w:spacing w:after="80" w:line="360" w:lineRule="auto"/>
        <w:rPr>
          <w:rFonts w:cs="David"/>
          <w:sz w:val="24"/>
          <w:szCs w:val="24"/>
          <w:rtl/>
        </w:rPr>
      </w:pPr>
    </w:p>
    <w:p w14:paraId="6B943982" w14:textId="77777777" w:rsidR="00C24698" w:rsidRDefault="003937E2">
      <w:pPr>
        <w:spacing w:after="120" w:line="360" w:lineRule="auto"/>
        <w:ind w:firstLine="43"/>
        <w:jc w:val="both"/>
        <w:rPr>
          <w:rFonts w:cs="David"/>
          <w:b/>
          <w:bCs/>
          <w:sz w:val="26"/>
          <w:szCs w:val="26"/>
          <w:u w:val="single"/>
        </w:rPr>
      </w:pPr>
      <w:r>
        <w:rPr>
          <w:rFonts w:cs="David"/>
          <w:b/>
          <w:bCs/>
          <w:sz w:val="26"/>
          <w:szCs w:val="26"/>
          <w:u w:val="single"/>
          <w:rtl/>
        </w:rPr>
        <w:t>דיון והכרעה</w:t>
      </w:r>
    </w:p>
    <w:p w14:paraId="306F1CF3" w14:textId="77777777" w:rsidR="00315599" w:rsidRDefault="00315599" w:rsidP="004042DC">
      <w:pPr>
        <w:pStyle w:val="af1"/>
        <w:numPr>
          <w:ilvl w:val="0"/>
          <w:numId w:val="1"/>
        </w:numPr>
        <w:spacing w:after="120" w:line="360" w:lineRule="auto"/>
        <w:ind w:left="470" w:right="-142" w:hanging="425"/>
        <w:contextualSpacing w:val="0"/>
        <w:jc w:val="both"/>
        <w:rPr>
          <w:rFonts w:cs="David"/>
          <w:sz w:val="24"/>
          <w:szCs w:val="24"/>
        </w:rPr>
      </w:pPr>
      <w:r w:rsidRPr="00315599">
        <w:rPr>
          <w:rFonts w:cs="David"/>
          <w:sz w:val="24"/>
          <w:szCs w:val="24"/>
          <w:rtl/>
        </w:rPr>
        <w:t>עיון בטענות העוררות מלמד</w:t>
      </w:r>
      <w:r w:rsidRPr="00315599">
        <w:rPr>
          <w:rFonts w:cs="David" w:hint="cs"/>
          <w:sz w:val="24"/>
          <w:szCs w:val="24"/>
          <w:rtl/>
        </w:rPr>
        <w:t>,</w:t>
      </w:r>
      <w:r w:rsidRPr="00315599">
        <w:rPr>
          <w:rFonts w:cs="David"/>
          <w:sz w:val="24"/>
          <w:szCs w:val="24"/>
          <w:rtl/>
        </w:rPr>
        <w:t xml:space="preserve"> כי </w:t>
      </w:r>
      <w:r w:rsidRPr="00315599">
        <w:rPr>
          <w:rFonts w:cs="David" w:hint="cs"/>
          <w:sz w:val="24"/>
          <w:szCs w:val="24"/>
          <w:rtl/>
        </w:rPr>
        <w:t xml:space="preserve">חרף הניסיון לשוות להן אצטלה משפטית, </w:t>
      </w:r>
      <w:r w:rsidRPr="00315599">
        <w:rPr>
          <w:rFonts w:cs="David"/>
          <w:sz w:val="24"/>
          <w:szCs w:val="24"/>
          <w:rtl/>
        </w:rPr>
        <w:t>ליבת המחלוקת הי</w:t>
      </w:r>
      <w:r w:rsidRPr="00315599">
        <w:rPr>
          <w:rFonts w:cs="David" w:hint="cs"/>
          <w:sz w:val="24"/>
          <w:szCs w:val="24"/>
          <w:rtl/>
        </w:rPr>
        <w:t>א</w:t>
      </w:r>
      <w:r w:rsidRPr="00315599">
        <w:rPr>
          <w:rFonts w:cs="David"/>
          <w:sz w:val="24"/>
          <w:szCs w:val="24"/>
          <w:rtl/>
        </w:rPr>
        <w:t xml:space="preserve"> שמאית במהותה ונוגעת לבחירת נתוני ההשוואה, לאופן ניתוחם ולמשקל שניתן להם. </w:t>
      </w:r>
    </w:p>
    <w:p w14:paraId="31B65F55" w14:textId="77777777" w:rsidR="00AD414C" w:rsidRPr="00315599" w:rsidRDefault="00315599" w:rsidP="004042DC">
      <w:pPr>
        <w:pStyle w:val="af1"/>
        <w:numPr>
          <w:ilvl w:val="0"/>
          <w:numId w:val="1"/>
        </w:numPr>
        <w:spacing w:after="120" w:line="360" w:lineRule="auto"/>
        <w:ind w:left="470" w:right="-142" w:hanging="425"/>
        <w:contextualSpacing w:val="0"/>
        <w:jc w:val="both"/>
        <w:rPr>
          <w:rFonts w:cs="David"/>
          <w:sz w:val="24"/>
          <w:szCs w:val="24"/>
        </w:rPr>
      </w:pPr>
      <w:r>
        <w:rPr>
          <w:rFonts w:cs="David" w:hint="cs"/>
          <w:sz w:val="24"/>
          <w:szCs w:val="24"/>
          <w:rtl/>
        </w:rPr>
        <w:t xml:space="preserve">אמות המידה </w:t>
      </w:r>
      <w:r w:rsidR="009324F3" w:rsidRPr="00315599">
        <w:rPr>
          <w:rFonts w:cs="David" w:hint="cs"/>
          <w:sz w:val="24"/>
          <w:szCs w:val="24"/>
          <w:rtl/>
        </w:rPr>
        <w:t>להתערבות בשומות מכריעות</w:t>
      </w:r>
      <w:r>
        <w:rPr>
          <w:rFonts w:cs="David" w:hint="cs"/>
          <w:sz w:val="24"/>
          <w:szCs w:val="24"/>
          <w:rtl/>
        </w:rPr>
        <w:t xml:space="preserve"> נובעות מן החקיקה והתעצבו לאורך השנים בפסיקה ובהחלטות ועדות ערר.</w:t>
      </w:r>
      <w:r w:rsidR="00B5124C">
        <w:rPr>
          <w:rFonts w:cs="David" w:hint="cs"/>
          <w:sz w:val="24"/>
          <w:szCs w:val="24"/>
          <w:rtl/>
        </w:rPr>
        <w:t xml:space="preserve"> </w:t>
      </w:r>
      <w:r w:rsidR="009324F3" w:rsidRPr="00315599">
        <w:rPr>
          <w:rFonts w:cs="David" w:hint="cs"/>
          <w:sz w:val="24"/>
          <w:szCs w:val="24"/>
          <w:rtl/>
        </w:rPr>
        <w:t xml:space="preserve">ועדת הערר המחוזית </w:t>
      </w:r>
      <w:r w:rsidR="00AD414C" w:rsidRPr="00315599">
        <w:rPr>
          <w:rFonts w:cs="David" w:hint="cs"/>
          <w:sz w:val="24"/>
          <w:szCs w:val="24"/>
          <w:rtl/>
        </w:rPr>
        <w:t xml:space="preserve">בראשות הח"מ </w:t>
      </w:r>
      <w:r w:rsidR="00B5124C">
        <w:rPr>
          <w:rFonts w:cs="David" w:hint="cs"/>
          <w:sz w:val="24"/>
          <w:szCs w:val="24"/>
          <w:rtl/>
        </w:rPr>
        <w:t xml:space="preserve">עמדה על העקרונות המנחים את ועדת הערר, בהתבקשה להתערב בשומה מכרעת, </w:t>
      </w:r>
      <w:r w:rsidR="00AD414C" w:rsidRPr="00315599">
        <w:rPr>
          <w:rFonts w:cs="David"/>
          <w:sz w:val="24"/>
          <w:szCs w:val="24"/>
          <w:rtl/>
        </w:rPr>
        <w:t>ב</w:t>
      </w:r>
      <w:hyperlink r:id="rId9" w:history="1">
        <w:r w:rsidR="00AD414C" w:rsidRPr="00315599">
          <w:rPr>
            <w:rStyle w:val="Hyperlink"/>
            <w:rFonts w:cs="David"/>
            <w:color w:val="auto"/>
            <w:sz w:val="24"/>
            <w:szCs w:val="24"/>
            <w:u w:val="none"/>
            <w:rtl/>
          </w:rPr>
          <w:t>ערר (מרכז) 8030/0624</w:t>
        </w:r>
      </w:hyperlink>
      <w:r w:rsidR="00AD414C" w:rsidRPr="00315599">
        <w:rPr>
          <w:rFonts w:cs="David"/>
          <w:sz w:val="24"/>
          <w:szCs w:val="24"/>
          <w:rtl/>
        </w:rPr>
        <w:t xml:space="preserve"> </w:t>
      </w:r>
      <w:r w:rsidR="00AD414C" w:rsidRPr="00315599">
        <w:rPr>
          <w:rFonts w:cs="David"/>
          <w:b/>
          <w:bCs/>
          <w:sz w:val="24"/>
          <w:szCs w:val="24"/>
          <w:rtl/>
        </w:rPr>
        <w:t>הראל כהן נ' הוועדה המקומית לתכנון ולבנייה שהם</w:t>
      </w:r>
      <w:r w:rsidR="00AD414C" w:rsidRPr="00315599">
        <w:rPr>
          <w:rFonts w:cs="David"/>
          <w:sz w:val="24"/>
          <w:szCs w:val="24"/>
          <w:rtl/>
        </w:rPr>
        <w:t xml:space="preserve"> (פורסם בנבו, 11.11.2025)</w:t>
      </w:r>
      <w:r w:rsidR="00B5124C">
        <w:rPr>
          <w:rFonts w:cs="David" w:hint="cs"/>
          <w:sz w:val="24"/>
          <w:szCs w:val="24"/>
          <w:rtl/>
        </w:rPr>
        <w:t>. נעמוד על עיקרי הדברים בקצירת האומר להלן</w:t>
      </w:r>
      <w:r w:rsidR="00AD414C" w:rsidRPr="00315599">
        <w:rPr>
          <w:rFonts w:cs="David"/>
          <w:sz w:val="24"/>
          <w:szCs w:val="24"/>
          <w:rtl/>
        </w:rPr>
        <w:t>.</w:t>
      </w:r>
    </w:p>
    <w:p w14:paraId="3C741D8A" w14:textId="77777777" w:rsidR="00AD414C" w:rsidRPr="00B5124C" w:rsidRDefault="00AD414C" w:rsidP="00AD414C">
      <w:pPr>
        <w:spacing w:line="360" w:lineRule="auto"/>
        <w:ind w:right="-142"/>
        <w:jc w:val="both"/>
        <w:rPr>
          <w:rFonts w:cs="David"/>
          <w:sz w:val="24"/>
          <w:szCs w:val="24"/>
          <w:u w:val="single"/>
          <w:rtl/>
        </w:rPr>
      </w:pPr>
    </w:p>
    <w:p w14:paraId="4D9E12EB" w14:textId="77777777" w:rsidR="00AD414C" w:rsidRPr="00AD414C" w:rsidRDefault="00AD414C" w:rsidP="00AD414C">
      <w:pPr>
        <w:spacing w:line="360" w:lineRule="auto"/>
        <w:ind w:right="-142"/>
        <w:jc w:val="both"/>
        <w:rPr>
          <w:rFonts w:cs="David"/>
          <w:b/>
          <w:bCs/>
          <w:sz w:val="24"/>
          <w:szCs w:val="24"/>
          <w:u w:val="single"/>
        </w:rPr>
      </w:pPr>
      <w:r w:rsidRPr="00AD414C">
        <w:rPr>
          <w:rFonts w:cs="David"/>
          <w:b/>
          <w:bCs/>
          <w:sz w:val="24"/>
          <w:szCs w:val="24"/>
          <w:u w:val="single"/>
          <w:rtl/>
        </w:rPr>
        <w:t>עילות ההתערבות בשומה מכרעת</w:t>
      </w:r>
    </w:p>
    <w:p w14:paraId="4448AEC4" w14:textId="77777777" w:rsidR="004C079C" w:rsidRPr="004042DC" w:rsidRDefault="004C079C" w:rsidP="004042DC">
      <w:pPr>
        <w:pStyle w:val="af1"/>
        <w:numPr>
          <w:ilvl w:val="0"/>
          <w:numId w:val="1"/>
        </w:numPr>
        <w:spacing w:after="120" w:line="360" w:lineRule="auto"/>
        <w:ind w:left="470" w:right="-142" w:hanging="425"/>
        <w:contextualSpacing w:val="0"/>
        <w:jc w:val="both"/>
        <w:rPr>
          <w:rFonts w:cs="David"/>
          <w:sz w:val="24"/>
          <w:szCs w:val="24"/>
        </w:rPr>
      </w:pPr>
      <w:r w:rsidRPr="004042DC">
        <w:rPr>
          <w:rFonts w:cs="David"/>
          <w:sz w:val="24"/>
          <w:szCs w:val="24"/>
          <w:rtl/>
        </w:rPr>
        <w:t xml:space="preserve">מהצעת החוק של תיקון 84 לחוק עולה, כי על ועדת ערר לבחון את סבירות החלטת השמאי המכריע. ועדת הערר תתערב בשומה מכרעת מנומקת, מבוססת וערוכה כדין רק אם היא חורגת ממתחם האפשרויות הסבירות באותו מקרה. </w:t>
      </w:r>
    </w:p>
    <w:p w14:paraId="33657689" w14:textId="77777777" w:rsidR="00AD414C" w:rsidRPr="009324F3" w:rsidRDefault="009324F3" w:rsidP="004042DC">
      <w:pPr>
        <w:pStyle w:val="a"/>
        <w:ind w:left="468" w:hanging="425"/>
        <w:contextualSpacing w:val="0"/>
      </w:pPr>
      <w:r>
        <w:rPr>
          <w:rFonts w:hint="cs"/>
          <w:rtl/>
        </w:rPr>
        <w:lastRenderedPageBreak/>
        <w:t>הקווים המנחים</w:t>
      </w:r>
      <w:r w:rsidR="00AD414C" w:rsidRPr="00AD414C">
        <w:rPr>
          <w:rtl/>
        </w:rPr>
        <w:t xml:space="preserve"> להתערבות בחוות דעת שמאי מכריע נדונו בהרחבה בפסק דינו של כב' הש' ע' </w:t>
      </w:r>
      <w:r w:rsidR="00AD414C" w:rsidRPr="009324F3">
        <w:rPr>
          <w:rtl/>
        </w:rPr>
        <w:t>פוגלמן ב</w:t>
      </w:r>
      <w:hyperlink r:id="rId10" w:history="1">
        <w:r w:rsidR="00AD414C" w:rsidRPr="009324F3">
          <w:rPr>
            <w:rFonts w:hint="cs"/>
            <w:rtl/>
          </w:rPr>
          <w:t>בר</w:t>
        </w:r>
        <w:r w:rsidR="00AD414C" w:rsidRPr="009324F3">
          <w:rPr>
            <w:rtl/>
          </w:rPr>
          <w:t>"</w:t>
        </w:r>
        <w:r w:rsidR="00AD414C" w:rsidRPr="009324F3">
          <w:rPr>
            <w:rFonts w:hint="cs"/>
            <w:rtl/>
          </w:rPr>
          <w:t>ם</w:t>
        </w:r>
        <w:r w:rsidR="00AD414C" w:rsidRPr="009324F3">
          <w:rPr>
            <w:rtl/>
          </w:rPr>
          <w:t xml:space="preserve"> 3644/13</w:t>
        </w:r>
      </w:hyperlink>
      <w:r w:rsidR="00AD414C" w:rsidRPr="009324F3">
        <w:rPr>
          <w:rtl/>
        </w:rPr>
        <w:t xml:space="preserve"> </w:t>
      </w:r>
      <w:r w:rsidR="00AD414C" w:rsidRPr="009324F3">
        <w:rPr>
          <w:b/>
          <w:bCs/>
          <w:rtl/>
        </w:rPr>
        <w:t>משרד התחבורה נ' גלר דוד ואארורה</w:t>
      </w:r>
      <w:r w:rsidR="00AD414C" w:rsidRPr="009324F3">
        <w:rPr>
          <w:rtl/>
        </w:rPr>
        <w:t xml:space="preserve"> (פורסם בנבו, 23.4.2014), שם נקבע:</w:t>
      </w:r>
    </w:p>
    <w:p w14:paraId="56813DBC" w14:textId="77777777" w:rsidR="00AD414C" w:rsidRPr="00AD414C" w:rsidRDefault="00AD414C" w:rsidP="00AD414C">
      <w:pPr>
        <w:pStyle w:val="a9"/>
        <w:spacing w:after="240" w:line="240" w:lineRule="auto"/>
        <w:ind w:left="1319" w:right="851" w:hanging="281"/>
        <w:rPr>
          <w:rFonts w:cs="FrankRuehl"/>
          <w:rtl/>
        </w:rPr>
      </w:pPr>
      <w:r w:rsidRPr="00AD414C">
        <w:rPr>
          <w:rFonts w:cs="FrankRuehl"/>
          <w:rtl/>
        </w:rPr>
        <w:t>"7. (...) ההנחה העומדת בבסיס מינויו של שמאי היא כי הלה ניחן בכישורים מקצועיים מובהקים יותר לחוות דעה בשאלות שמאיות שהונחו לפתחו ביחס לוועדת הערר. מנגד יש לזכור כי ועדת הערר היא טריבונל מינהלי שחבריו נהנים ממומחיות בתחום דיוניו. אומנם, אין הכרח שאחד מחברי הוועדה יהיה שמאי מקרקעין בהכשרתו, אולם כל חבריה בעלי ניסיון ומומחיות בתחום התכנון והבניה, ובתור שכאלה הם אינם הדיוטות בכל שאמור בשיטות שמאיות מקובלות המשמשות להערכת פיצוי בגין פגיעה במקרקעין מתכנית (ראו סעיף 12ו' ל</w:t>
      </w:r>
      <w:hyperlink r:id="rId11" w:history="1">
        <w:r w:rsidRPr="00AD414C">
          <w:rPr>
            <w:rFonts w:cs="FrankRuehl" w:hint="eastAsia"/>
            <w:u w:val="single"/>
            <w:rtl/>
          </w:rPr>
          <w:t>חוק</w:t>
        </w:r>
        <w:r w:rsidRPr="00AD414C">
          <w:rPr>
            <w:rFonts w:cs="FrankRuehl"/>
            <w:u w:val="single"/>
            <w:rtl/>
          </w:rPr>
          <w:t xml:space="preserve"> </w:t>
        </w:r>
        <w:r w:rsidRPr="00AD414C">
          <w:rPr>
            <w:rFonts w:cs="FrankRuehl" w:hint="eastAsia"/>
            <w:u w:val="single"/>
            <w:rtl/>
          </w:rPr>
          <w:t>התכנון</w:t>
        </w:r>
        <w:r w:rsidRPr="00AD414C">
          <w:rPr>
            <w:rFonts w:cs="FrankRuehl"/>
            <w:u w:val="single"/>
            <w:rtl/>
          </w:rPr>
          <w:t xml:space="preserve"> </w:t>
        </w:r>
        <w:r w:rsidRPr="00AD414C">
          <w:rPr>
            <w:rFonts w:cs="FrankRuehl" w:hint="eastAsia"/>
            <w:u w:val="single"/>
            <w:rtl/>
          </w:rPr>
          <w:t>והבנייה</w:t>
        </w:r>
      </w:hyperlink>
      <w:r w:rsidRPr="00AD414C">
        <w:rPr>
          <w:rFonts w:cs="FrankRuehl"/>
          <w:rtl/>
        </w:rPr>
        <w:t>). אשר על כן, חברי ועדת הערר כשירים לבקר את חוות דעתו של שמאי מכריע במסגרת ערר.</w:t>
      </w:r>
    </w:p>
    <w:p w14:paraId="372A3894" w14:textId="77777777" w:rsidR="00AD414C" w:rsidRPr="00AD414C" w:rsidRDefault="00AD414C" w:rsidP="00AD414C">
      <w:pPr>
        <w:pStyle w:val="a9"/>
        <w:spacing w:after="240" w:line="240" w:lineRule="auto"/>
        <w:ind w:left="1319" w:right="851" w:hanging="281"/>
        <w:rPr>
          <w:rFonts w:cs="FrankRuehl"/>
          <w:rtl/>
        </w:rPr>
      </w:pPr>
      <w:r w:rsidRPr="00AD414C">
        <w:rPr>
          <w:rFonts w:cs="FrankRuehl"/>
          <w:rtl/>
        </w:rPr>
        <w:t xml:space="preserve">8. </w:t>
      </w:r>
      <w:r w:rsidRPr="00AD414C">
        <w:rPr>
          <w:rFonts w:cs="FrankRuehl"/>
          <w:rtl/>
        </w:rPr>
        <w:tab/>
        <w:t>אמת המידה להתערבות בקביעותיו ובמסקנותיו של שמאי מכריע שמונה לפי סעיף 198 ל</w:t>
      </w:r>
      <w:hyperlink r:id="rId12" w:history="1">
        <w:r w:rsidRPr="00AD414C">
          <w:rPr>
            <w:rFonts w:cs="FrankRuehl" w:hint="eastAsia"/>
            <w:u w:val="single"/>
            <w:rtl/>
          </w:rPr>
          <w:t>חוק</w:t>
        </w:r>
        <w:r w:rsidRPr="00AD414C">
          <w:rPr>
            <w:rFonts w:cs="FrankRuehl"/>
            <w:u w:val="single"/>
            <w:rtl/>
          </w:rPr>
          <w:t xml:space="preserve"> </w:t>
        </w:r>
        <w:r w:rsidRPr="00AD414C">
          <w:rPr>
            <w:rFonts w:cs="FrankRuehl" w:hint="eastAsia"/>
            <w:u w:val="single"/>
            <w:rtl/>
          </w:rPr>
          <w:t>התכנון</w:t>
        </w:r>
        <w:r w:rsidRPr="00AD414C">
          <w:rPr>
            <w:rFonts w:cs="FrankRuehl"/>
            <w:u w:val="single"/>
            <w:rtl/>
          </w:rPr>
          <w:t xml:space="preserve"> </w:t>
        </w:r>
        <w:r w:rsidRPr="00AD414C">
          <w:rPr>
            <w:rFonts w:cs="FrankRuehl" w:hint="eastAsia"/>
            <w:u w:val="single"/>
            <w:rtl/>
          </w:rPr>
          <w:t>והבנייה</w:t>
        </w:r>
      </w:hyperlink>
      <w:r w:rsidRPr="00AD414C">
        <w:rPr>
          <w:rFonts w:cs="FrankRuehl"/>
          <w:rtl/>
        </w:rPr>
        <w:t xml:space="preserve"> במסגרת ערר היא פועל יוצא של טעמים אלה. </w:t>
      </w:r>
      <w:r w:rsidRPr="00AD414C">
        <w:rPr>
          <w:rFonts w:cs="FrankRuehl"/>
          <w:u w:val="single"/>
          <w:rtl/>
        </w:rPr>
        <w:t>ועדת הערר תיטה לאמץ את חוות דעתו של השמאי וככלל התערבותה תוגבל למקרים שבהם נפלה בה טעות מהותית או דופי חמור</w:t>
      </w:r>
      <w:r w:rsidRPr="00AD414C">
        <w:rPr>
          <w:rFonts w:cs="FrankRuehl"/>
          <w:rtl/>
        </w:rPr>
        <w:t xml:space="preserve"> (ראו, למשל, </w:t>
      </w:r>
      <w:hyperlink r:id="rId13" w:history="1">
        <w:r w:rsidRPr="00AD414C">
          <w:rPr>
            <w:rFonts w:cs="FrankRuehl" w:hint="eastAsia"/>
            <w:u w:val="single"/>
            <w:rtl/>
          </w:rPr>
          <w:t>בר</w:t>
        </w:r>
        <w:r w:rsidRPr="00AD414C">
          <w:rPr>
            <w:rFonts w:cs="FrankRuehl"/>
            <w:u w:val="single"/>
            <w:rtl/>
          </w:rPr>
          <w:t>"</w:t>
        </w:r>
        <w:r w:rsidRPr="00AD414C">
          <w:rPr>
            <w:rFonts w:cs="FrankRuehl" w:hint="eastAsia"/>
            <w:u w:val="single"/>
            <w:rtl/>
          </w:rPr>
          <w:t>ם</w:t>
        </w:r>
        <w:r w:rsidRPr="00AD414C">
          <w:rPr>
            <w:rFonts w:cs="FrankRuehl"/>
            <w:u w:val="single"/>
            <w:rtl/>
          </w:rPr>
          <w:t xml:space="preserve"> 4372/07</w:t>
        </w:r>
      </w:hyperlink>
      <w:r w:rsidRPr="00AD414C">
        <w:rPr>
          <w:rFonts w:cs="FrankRuehl"/>
          <w:rtl/>
        </w:rPr>
        <w:t xml:space="preserve"> ועדה מקומית לתכנון ובניה קרית אתא נ' עזבון המנוח ירימי אברהם, פסקה 3 [פורסם בנבו] (31.7.2007) (להלן: עניין קרית אתא); </w:t>
      </w:r>
      <w:hyperlink r:id="rId14" w:history="1">
        <w:r w:rsidRPr="00AD414C">
          <w:rPr>
            <w:rFonts w:cs="FrankRuehl" w:hint="eastAsia"/>
            <w:u w:val="single"/>
            <w:rtl/>
          </w:rPr>
          <w:t>בר</w:t>
        </w:r>
        <w:r w:rsidRPr="00AD414C">
          <w:rPr>
            <w:rFonts w:cs="FrankRuehl"/>
            <w:u w:val="single"/>
            <w:rtl/>
          </w:rPr>
          <w:t>"</w:t>
        </w:r>
        <w:r w:rsidRPr="00AD414C">
          <w:rPr>
            <w:rFonts w:cs="FrankRuehl" w:hint="eastAsia"/>
            <w:u w:val="single"/>
            <w:rtl/>
          </w:rPr>
          <w:t>ם</w:t>
        </w:r>
        <w:r w:rsidRPr="00AD414C">
          <w:rPr>
            <w:rFonts w:cs="FrankRuehl"/>
            <w:u w:val="single"/>
            <w:rtl/>
          </w:rPr>
          <w:t xml:space="preserve"> 3052/06</w:t>
        </w:r>
      </w:hyperlink>
      <w:r w:rsidRPr="00AD414C">
        <w:rPr>
          <w:rFonts w:cs="FrankRuehl"/>
          <w:rtl/>
        </w:rPr>
        <w:t xml:space="preserve"> הוועדה המקומית לתכנון ובניה ירושלים נ' פלבר, פסקה 5 [פורסם בנבו] (30.10.2006); לצד זאת, ראו </w:t>
      </w:r>
      <w:hyperlink r:id="rId15" w:history="1">
        <w:r w:rsidRPr="00AD414C">
          <w:rPr>
            <w:rFonts w:cs="FrankRuehl" w:hint="eastAsia"/>
            <w:u w:val="single"/>
            <w:rtl/>
          </w:rPr>
          <w:t>בר</w:t>
        </w:r>
        <w:r w:rsidRPr="00AD414C">
          <w:rPr>
            <w:rFonts w:cs="FrankRuehl"/>
            <w:u w:val="single"/>
            <w:rtl/>
          </w:rPr>
          <w:t>"</w:t>
        </w:r>
        <w:r w:rsidRPr="00AD414C">
          <w:rPr>
            <w:rFonts w:cs="FrankRuehl" w:hint="eastAsia"/>
            <w:u w:val="single"/>
            <w:rtl/>
          </w:rPr>
          <w:t>ם</w:t>
        </w:r>
        <w:r w:rsidRPr="00AD414C">
          <w:rPr>
            <w:rFonts w:cs="FrankRuehl"/>
            <w:u w:val="single"/>
            <w:rtl/>
          </w:rPr>
          <w:t xml:space="preserve"> 9547/10</w:t>
        </w:r>
      </w:hyperlink>
      <w:r w:rsidRPr="00AD414C">
        <w:rPr>
          <w:rFonts w:cs="FrankRuehl"/>
          <w:rtl/>
        </w:rPr>
        <w:t xml:space="preserve"> הוועדה המקומית לתכנון ולבניה מודיעין מכבים רעות נ' גונן, פסקה 12 [פורסם בנבו] (24.11.2008) המתייחס לאמת המידה להתערבות בשומה מכרעת במקרה שבו לא הוגש ערר). כך, למשל, ועדת </w:t>
      </w:r>
      <w:r w:rsidRPr="00AD414C">
        <w:rPr>
          <w:rFonts w:cs="FrankRuehl"/>
          <w:u w:val="single"/>
          <w:rtl/>
        </w:rPr>
        <w:t>הערר תיטה לאמץ את שיקול דעתו של השמאי אם מסקנותיו הושתתו על שיטה שמאית מקובלת ועל מסד עובדתי הולם, וזאת אף אם קיימות גישות מקצועיות שונות בשאלה שבמחלוקת</w:t>
      </w:r>
      <w:r w:rsidRPr="00AD414C">
        <w:rPr>
          <w:rFonts w:cs="FrankRuehl"/>
          <w:rtl/>
        </w:rPr>
        <w:t xml:space="preserve"> (ראו, למשל, עניין קרית אתא, פסקה 3; </w:t>
      </w:r>
      <w:hyperlink r:id="rId16" w:history="1">
        <w:r w:rsidRPr="00AD414C">
          <w:rPr>
            <w:rFonts w:cs="FrankRuehl" w:hint="eastAsia"/>
            <w:u w:val="single"/>
            <w:rtl/>
          </w:rPr>
          <w:t>בר</w:t>
        </w:r>
        <w:r w:rsidRPr="00AD414C">
          <w:rPr>
            <w:rFonts w:cs="FrankRuehl"/>
            <w:u w:val="single"/>
            <w:rtl/>
          </w:rPr>
          <w:t>"</w:t>
        </w:r>
        <w:r w:rsidRPr="00AD414C">
          <w:rPr>
            <w:rFonts w:cs="FrankRuehl" w:hint="eastAsia"/>
            <w:u w:val="single"/>
            <w:rtl/>
          </w:rPr>
          <w:t>ם</w:t>
        </w:r>
        <w:r w:rsidRPr="00AD414C">
          <w:rPr>
            <w:rFonts w:cs="FrankRuehl"/>
            <w:u w:val="single"/>
            <w:rtl/>
          </w:rPr>
          <w:t xml:space="preserve"> 9556/06</w:t>
        </w:r>
      </w:hyperlink>
      <w:r w:rsidRPr="00AD414C">
        <w:rPr>
          <w:rFonts w:cs="FrankRuehl"/>
          <w:rtl/>
        </w:rPr>
        <w:t xml:space="preserve"> הועדה המקומית לתכנון ולבניה פתח תקווה נ' מיטרני, פסקאות 3-2 [פורסם בנבו] (4.1.2007)). </w:t>
      </w:r>
      <w:r w:rsidRPr="00AD414C">
        <w:rPr>
          <w:rFonts w:cs="FrankRuehl"/>
          <w:u w:val="single"/>
          <w:rtl/>
        </w:rPr>
        <w:t>לעומת זאת, תיטה ועדת הערר להתערב בקביעות או בממצאים שקבע השמאי אם נמצא שהם נסמכים על מסד עובדתי בלתי הולם, או כשהוכח שההנחות העומדות בבסיס חוות הדעת לא הגיוניות, או שהשמאי לא סיפק הסבר מניח את הדעת לשאלות שנשאל, או כשחוות הדעת נסמכה על תשתית משפטית חסרה או שגויה</w:t>
      </w:r>
      <w:r w:rsidRPr="00AD414C">
        <w:rPr>
          <w:rFonts w:cs="FrankRuehl"/>
          <w:rtl/>
        </w:rPr>
        <w:t xml:space="preserve"> (ראו, למשל, </w:t>
      </w:r>
      <w:hyperlink r:id="rId17" w:history="1">
        <w:r w:rsidRPr="00AD414C">
          <w:rPr>
            <w:rFonts w:cs="FrankRuehl" w:hint="eastAsia"/>
            <w:u w:val="single"/>
            <w:rtl/>
          </w:rPr>
          <w:t>בר</w:t>
        </w:r>
        <w:r w:rsidRPr="00AD414C">
          <w:rPr>
            <w:rFonts w:cs="FrankRuehl"/>
            <w:u w:val="single"/>
            <w:rtl/>
          </w:rPr>
          <w:t>"</w:t>
        </w:r>
        <w:r w:rsidRPr="00AD414C">
          <w:rPr>
            <w:rFonts w:cs="FrankRuehl" w:hint="eastAsia"/>
            <w:u w:val="single"/>
            <w:rtl/>
          </w:rPr>
          <w:t>ם</w:t>
        </w:r>
        <w:r w:rsidRPr="00AD414C">
          <w:rPr>
            <w:rFonts w:cs="FrankRuehl"/>
            <w:u w:val="single"/>
            <w:rtl/>
          </w:rPr>
          <w:t xml:space="preserve"> 8282/07</w:t>
        </w:r>
      </w:hyperlink>
      <w:r w:rsidRPr="00AD414C">
        <w:rPr>
          <w:rFonts w:cs="FrankRuehl"/>
          <w:rtl/>
        </w:rPr>
        <w:t xml:space="preserve"> הוועדה המקומית לתכנון ולבנייה אשקלון נ' גינוסר, פסקה 5 [פורסם בנבו] (20.8.2008) (להלן: עניין גינוסר)). כמו כן, וכמובן מאליו, תקום עילה להתערב בחוות דעתו של שמאי מכריע אם נפל בה </w:t>
      </w:r>
      <w:r w:rsidRPr="00AD414C">
        <w:rPr>
          <w:rFonts w:cs="FrankRuehl"/>
          <w:u w:val="single"/>
          <w:rtl/>
        </w:rPr>
        <w:t>פגם היורד לשורש המעשה המינהלי</w:t>
      </w:r>
      <w:r w:rsidRPr="00AD414C">
        <w:rPr>
          <w:rFonts w:cs="FrankRuehl"/>
          <w:rtl/>
        </w:rPr>
        <w:t xml:space="preserve"> כגון ניגוד עניינים, משוא פנים, חוסר תום לב וכיוצא באלה (השוו: </w:t>
      </w:r>
      <w:hyperlink r:id="rId18" w:history="1">
        <w:r w:rsidRPr="00AD414C">
          <w:rPr>
            <w:rFonts w:cs="FrankRuehl" w:hint="eastAsia"/>
            <w:u w:val="single"/>
            <w:rtl/>
          </w:rPr>
          <w:t>בר</w:t>
        </w:r>
        <w:r w:rsidRPr="00AD414C">
          <w:rPr>
            <w:rFonts w:cs="FrankRuehl"/>
            <w:u w:val="single"/>
            <w:rtl/>
          </w:rPr>
          <w:t>"</w:t>
        </w:r>
        <w:r w:rsidRPr="00AD414C">
          <w:rPr>
            <w:rFonts w:cs="FrankRuehl" w:hint="eastAsia"/>
            <w:u w:val="single"/>
            <w:rtl/>
          </w:rPr>
          <w:t>ם</w:t>
        </w:r>
        <w:r w:rsidRPr="00AD414C">
          <w:rPr>
            <w:rFonts w:cs="FrankRuehl"/>
            <w:u w:val="single"/>
            <w:rtl/>
          </w:rPr>
          <w:t xml:space="preserve"> 9093/07</w:t>
        </w:r>
      </w:hyperlink>
      <w:r w:rsidRPr="00AD414C">
        <w:rPr>
          <w:rFonts w:cs="FrankRuehl"/>
          <w:rtl/>
        </w:rPr>
        <w:t xml:space="preserve"> הועדה המקומית לתכנון ובניה באר טוביה נ' קי.בי.ע – קבוצת בוני ערים בע"מ, פסקה 3 [פורסם בנבו] (14.5.2008))."</w:t>
      </w:r>
    </w:p>
    <w:p w14:paraId="69C95317" w14:textId="77777777" w:rsidR="00AD414C" w:rsidRPr="00AD414C" w:rsidRDefault="00AD414C" w:rsidP="00AD414C">
      <w:pPr>
        <w:pStyle w:val="P00"/>
        <w:tabs>
          <w:tab w:val="clear" w:pos="624"/>
          <w:tab w:val="clear" w:pos="1928"/>
          <w:tab w:val="clear" w:pos="2381"/>
          <w:tab w:val="clear" w:pos="2835"/>
          <w:tab w:val="left" w:pos="893"/>
        </w:tabs>
        <w:spacing w:before="72" w:after="240"/>
        <w:ind w:left="1460" w:right="993" w:hanging="382"/>
        <w:jc w:val="right"/>
        <w:rPr>
          <w:rStyle w:val="big-number"/>
          <w:rFonts w:ascii="David" w:hAnsi="David" w:cs="David"/>
          <w:noProof w:val="0"/>
          <w:sz w:val="24"/>
          <w:szCs w:val="24"/>
          <w:rtl/>
        </w:rPr>
      </w:pPr>
      <w:r w:rsidRPr="00AD414C">
        <w:rPr>
          <w:rStyle w:val="big-number"/>
          <w:rFonts w:ascii="David" w:hAnsi="David" w:cs="David"/>
          <w:noProof w:val="0"/>
          <w:sz w:val="24"/>
          <w:szCs w:val="24"/>
          <w:rtl/>
        </w:rPr>
        <w:t>(ההדגשות אינן במקור, מ.א.)</w:t>
      </w:r>
    </w:p>
    <w:p w14:paraId="6B858493" w14:textId="77777777" w:rsidR="00B5124C" w:rsidRPr="00B5124C" w:rsidRDefault="00B5124C" w:rsidP="004042DC">
      <w:pPr>
        <w:pStyle w:val="a"/>
        <w:ind w:left="468" w:hanging="425"/>
        <w:contextualSpacing w:val="0"/>
        <w:rPr>
          <w:rFonts w:ascii="David" w:hAnsi="David"/>
        </w:rPr>
      </w:pPr>
      <w:r>
        <w:rPr>
          <w:rFonts w:ascii="David" w:hAnsi="David" w:hint="cs"/>
          <w:rtl/>
        </w:rPr>
        <w:t xml:space="preserve">הנה כי כן, </w:t>
      </w:r>
      <w:r w:rsidRPr="00B5124C">
        <w:rPr>
          <w:rFonts w:ascii="David" w:hAnsi="David"/>
          <w:rtl/>
        </w:rPr>
        <w:t xml:space="preserve">התערבות ועדת הערר בשומה מכרעת מצומצמת למקרים חריגים בלבד, בהם נפל פגם משפטי, סטייה מכללי שמאות מקובלים או </w:t>
      </w:r>
      <w:r w:rsidRPr="004042DC">
        <w:rPr>
          <w:rtl/>
        </w:rPr>
        <w:t>טעות</w:t>
      </w:r>
      <w:r w:rsidRPr="00B5124C">
        <w:rPr>
          <w:rFonts w:ascii="David" w:hAnsi="David"/>
          <w:rtl/>
        </w:rPr>
        <w:t xml:space="preserve"> מהותית היורדת לשורש השומה</w:t>
      </w:r>
      <w:r w:rsidRPr="00B5124C">
        <w:rPr>
          <w:rFonts w:ascii="David" w:hAnsi="David"/>
        </w:rPr>
        <w:t>.</w:t>
      </w:r>
      <w:r>
        <w:rPr>
          <w:rFonts w:ascii="David" w:hAnsi="David" w:hint="cs"/>
          <w:rtl/>
        </w:rPr>
        <w:t xml:space="preserve"> ועדת הערר לא תתערב בשיקול דעת שמאי מכריע, שמסקנותיו הושתתו על שיטה שמאית מקובלת ועל מסד עובדתי הולם, גם אם קיימות גישות מקצועיות שונות בשאלה שבמחלוקת.</w:t>
      </w:r>
    </w:p>
    <w:p w14:paraId="7C3BF8D4" w14:textId="77777777" w:rsidR="004C079C" w:rsidRDefault="00AD414C" w:rsidP="004042DC">
      <w:pPr>
        <w:pStyle w:val="a"/>
        <w:ind w:left="468" w:hanging="425"/>
        <w:contextualSpacing w:val="0"/>
      </w:pPr>
      <w:r w:rsidRPr="00AD414C">
        <w:rPr>
          <w:rtl/>
        </w:rPr>
        <w:t xml:space="preserve">הלכה זו, שהתייחסה אמנם לשומה </w:t>
      </w:r>
      <w:r w:rsidRPr="009324F3">
        <w:rPr>
          <w:rtl/>
        </w:rPr>
        <w:t xml:space="preserve">מכרעת מכוח </w:t>
      </w:r>
      <w:hyperlink r:id="rId19" w:history="1">
        <w:r w:rsidRPr="004C079C">
          <w:rPr>
            <w:rStyle w:val="Hyperlink"/>
            <w:color w:val="auto"/>
            <w:u w:val="none"/>
            <w:rtl/>
          </w:rPr>
          <w:t>סעיף 198</w:t>
        </w:r>
      </w:hyperlink>
      <w:r w:rsidRPr="009324F3">
        <w:rPr>
          <w:rtl/>
        </w:rPr>
        <w:t xml:space="preserve"> לחוק, בנוגע לתביעה מכוח </w:t>
      </w:r>
      <w:hyperlink r:id="rId20" w:history="1">
        <w:r w:rsidRPr="004C079C">
          <w:rPr>
            <w:rStyle w:val="Hyperlink"/>
            <w:color w:val="auto"/>
            <w:u w:val="none"/>
            <w:rtl/>
          </w:rPr>
          <w:t>סעיף 197</w:t>
        </w:r>
      </w:hyperlink>
      <w:r w:rsidRPr="009324F3">
        <w:rPr>
          <w:rtl/>
        </w:rPr>
        <w:t xml:space="preserve"> לחוק, מורה עד היום את הדרך לבחינת שומות מכריעות גם בהקשר של חיוב בהיטל השבחה. </w:t>
      </w:r>
    </w:p>
    <w:p w14:paraId="23C5DFEB" w14:textId="3207045A" w:rsidR="00AD414C" w:rsidRPr="00AD414C" w:rsidRDefault="004C079C" w:rsidP="004042DC">
      <w:pPr>
        <w:pStyle w:val="a"/>
        <w:numPr>
          <w:ilvl w:val="0"/>
          <w:numId w:val="0"/>
        </w:numPr>
        <w:ind w:left="468"/>
        <w:contextualSpacing w:val="0"/>
      </w:pPr>
      <w:r>
        <w:rPr>
          <w:rFonts w:hint="cs"/>
          <w:rtl/>
        </w:rPr>
        <w:t xml:space="preserve">ראו: </w:t>
      </w:r>
      <w:r w:rsidRPr="009324F3">
        <w:rPr>
          <w:rtl/>
        </w:rPr>
        <w:t xml:space="preserve">פסק דינו של כב' </w:t>
      </w:r>
      <w:proofErr w:type="spellStart"/>
      <w:r w:rsidRPr="009324F3">
        <w:rPr>
          <w:rtl/>
        </w:rPr>
        <w:t>הש</w:t>
      </w:r>
      <w:proofErr w:type="spellEnd"/>
      <w:r w:rsidRPr="009324F3">
        <w:rPr>
          <w:rtl/>
        </w:rPr>
        <w:t xml:space="preserve">' גלעד הס </w:t>
      </w:r>
      <w:proofErr w:type="spellStart"/>
      <w:r w:rsidRPr="009324F3">
        <w:rPr>
          <w:rtl/>
        </w:rPr>
        <w:t>ב</w:t>
      </w:r>
      <w:hyperlink r:id="rId21" w:history="1">
        <w:r w:rsidRPr="004C079C">
          <w:rPr>
            <w:rStyle w:val="Hyperlink"/>
            <w:color w:val="auto"/>
            <w:u w:val="none"/>
            <w:rtl/>
          </w:rPr>
          <w:t>עמ"ן</w:t>
        </w:r>
        <w:proofErr w:type="spellEnd"/>
        <w:r w:rsidRPr="004C079C">
          <w:rPr>
            <w:rStyle w:val="Hyperlink"/>
            <w:color w:val="auto"/>
            <w:u w:val="none"/>
            <w:rtl/>
          </w:rPr>
          <w:t xml:space="preserve"> (ת"א) 34680-03-22</w:t>
        </w:r>
      </w:hyperlink>
      <w:r w:rsidRPr="00AD414C">
        <w:rPr>
          <w:rtl/>
        </w:rPr>
        <w:t xml:space="preserve"> </w:t>
      </w:r>
      <w:r w:rsidRPr="004C079C">
        <w:rPr>
          <w:b/>
          <w:bCs/>
          <w:rtl/>
        </w:rPr>
        <w:t xml:space="preserve">שמי </w:t>
      </w:r>
      <w:proofErr w:type="spellStart"/>
      <w:r w:rsidRPr="004C079C">
        <w:rPr>
          <w:b/>
          <w:bCs/>
          <w:rtl/>
        </w:rPr>
        <w:t>אשקלוני</w:t>
      </w:r>
      <w:proofErr w:type="spellEnd"/>
      <w:r w:rsidRPr="004C079C">
        <w:rPr>
          <w:b/>
          <w:bCs/>
          <w:rtl/>
        </w:rPr>
        <w:t xml:space="preserve"> בע"מ נ' הוועדה המקומית לתכנון ולבנייה רמת גן</w:t>
      </w:r>
      <w:r w:rsidRPr="00AD414C">
        <w:rPr>
          <w:rtl/>
        </w:rPr>
        <w:t xml:space="preserve"> (פורסם בנבו, 1.5.2023)</w:t>
      </w:r>
      <w:r>
        <w:rPr>
          <w:rFonts w:ascii="David" w:hAnsi="David" w:hint="cs"/>
          <w:rtl/>
        </w:rPr>
        <w:t xml:space="preserve">; </w:t>
      </w:r>
      <w:hyperlink r:id="rId22" w:history="1">
        <w:r w:rsidR="00AD414C" w:rsidRPr="009324F3">
          <w:rPr>
            <w:rFonts w:hint="cs"/>
            <w:rtl/>
          </w:rPr>
          <w:t>ערר</w:t>
        </w:r>
        <w:r w:rsidR="00AD414C" w:rsidRPr="009324F3">
          <w:rPr>
            <w:rtl/>
          </w:rPr>
          <w:t xml:space="preserve"> (</w:t>
        </w:r>
        <w:r w:rsidR="00AD414C" w:rsidRPr="009324F3">
          <w:rPr>
            <w:rFonts w:hint="cs"/>
            <w:rtl/>
          </w:rPr>
          <w:t>מרכז</w:t>
        </w:r>
        <w:r w:rsidR="00AD414C" w:rsidRPr="009324F3">
          <w:rPr>
            <w:rtl/>
          </w:rPr>
          <w:t>) 8024-03-22</w:t>
        </w:r>
      </w:hyperlink>
      <w:r w:rsidR="00AD414C" w:rsidRPr="009324F3">
        <w:rPr>
          <w:rtl/>
        </w:rPr>
        <w:t xml:space="preserve"> </w:t>
      </w:r>
      <w:r w:rsidR="00AD414C" w:rsidRPr="009324F3">
        <w:rPr>
          <w:b/>
          <w:bCs/>
          <w:rtl/>
        </w:rPr>
        <w:t>יד העשרה פיתוח והשקעות בע"מ ו- 88 אחרים נ' הוועדה המקומית לתכנון ולבנייה הוד השרון</w:t>
      </w:r>
      <w:r w:rsidR="00AD414C" w:rsidRPr="009324F3">
        <w:rPr>
          <w:rtl/>
        </w:rPr>
        <w:t xml:space="preserve"> (פורסם בנבו, 16.7.2023); </w:t>
      </w:r>
      <w:hyperlink r:id="rId23" w:history="1">
        <w:r w:rsidR="00AD414C" w:rsidRPr="009324F3">
          <w:rPr>
            <w:rFonts w:hint="cs"/>
            <w:rtl/>
          </w:rPr>
          <w:t>ערר</w:t>
        </w:r>
        <w:r w:rsidR="00AD414C" w:rsidRPr="009324F3">
          <w:rPr>
            <w:rtl/>
          </w:rPr>
          <w:t xml:space="preserve"> (</w:t>
        </w:r>
        <w:r w:rsidR="00AD414C" w:rsidRPr="009324F3">
          <w:rPr>
            <w:rFonts w:hint="cs"/>
            <w:rtl/>
          </w:rPr>
          <w:t>מרכז</w:t>
        </w:r>
        <w:r w:rsidR="00AD414C" w:rsidRPr="009324F3">
          <w:rPr>
            <w:rtl/>
          </w:rPr>
          <w:t>) 8116-12-20</w:t>
        </w:r>
      </w:hyperlink>
      <w:r w:rsidR="00AD414C" w:rsidRPr="009324F3">
        <w:rPr>
          <w:rtl/>
        </w:rPr>
        <w:t>22</w:t>
      </w:r>
      <w:r w:rsidR="00AD414C" w:rsidRPr="009324F3">
        <w:rPr>
          <w:b/>
          <w:bCs/>
          <w:rtl/>
        </w:rPr>
        <w:t xml:space="preserve"> ע.ט. חברה להתחדשות עירונית ישראל (נופי הגבעה) נ' הוועדה המקומית לתכנון ולבנייה גבעת שמואל</w:t>
      </w:r>
      <w:r w:rsidR="00AD414C" w:rsidRPr="00AD414C">
        <w:rPr>
          <w:rtl/>
        </w:rPr>
        <w:t xml:space="preserve"> (פורסם בנבו, 28.8.2025).</w:t>
      </w:r>
    </w:p>
    <w:p w14:paraId="792BFA6E" w14:textId="7BAC080A" w:rsidR="00B5124C" w:rsidRDefault="00B5124C" w:rsidP="004042DC">
      <w:pPr>
        <w:pStyle w:val="a"/>
        <w:ind w:left="468" w:hanging="425"/>
        <w:contextualSpacing w:val="0"/>
      </w:pPr>
      <w:r w:rsidRPr="00AD414C">
        <w:rPr>
          <w:rtl/>
        </w:rPr>
        <w:lastRenderedPageBreak/>
        <w:t>עבודתו של שמאי מכריע מתאפיינת בשיקול דעת מקצועי רחב. שמאי מכריע מחויב לבחון בעצמו את מסד הנתונים והעסקאות, מאפייני הקרקע והזכויות בהם, וכל מידע רלוונטי אחר לצורך עריכת שומתו, ולגבש על בסיסם את חוות הדעת המקצועית שלו, כשהוא אינו כפוף לשומות הצדדים. ראו</w:t>
      </w:r>
      <w:r>
        <w:rPr>
          <w:rFonts w:hint="cs"/>
          <w:rtl/>
        </w:rPr>
        <w:t xml:space="preserve">: </w:t>
      </w:r>
      <w:hyperlink r:id="rId24" w:history="1">
        <w:r w:rsidRPr="00AD414C">
          <w:rPr>
            <w:rStyle w:val="Hyperlink"/>
            <w:color w:val="auto"/>
            <w:u w:val="none"/>
            <w:rtl/>
          </w:rPr>
          <w:t>ערר (מרכז) 170/17</w:t>
        </w:r>
      </w:hyperlink>
      <w:r w:rsidRPr="00AD414C">
        <w:rPr>
          <w:rtl/>
        </w:rPr>
        <w:t xml:space="preserve"> </w:t>
      </w:r>
      <w:r w:rsidRPr="00AD414C">
        <w:rPr>
          <w:b/>
          <w:bCs/>
          <w:rtl/>
        </w:rPr>
        <w:t xml:space="preserve">יקותיאל אמיר </w:t>
      </w:r>
      <w:proofErr w:type="spellStart"/>
      <w:r w:rsidRPr="00AD414C">
        <w:rPr>
          <w:b/>
          <w:bCs/>
          <w:rtl/>
        </w:rPr>
        <w:t>ורוית</w:t>
      </w:r>
      <w:proofErr w:type="spellEnd"/>
      <w:r w:rsidRPr="00AD414C">
        <w:rPr>
          <w:b/>
          <w:bCs/>
          <w:rtl/>
        </w:rPr>
        <w:t xml:space="preserve"> נ' ועדה מקומית לתכנון ובנייה הוד השרון</w:t>
      </w:r>
      <w:r w:rsidRPr="00AD414C">
        <w:rPr>
          <w:rtl/>
        </w:rPr>
        <w:t xml:space="preserve"> (פורסם בנבו, 23.6.2022).</w:t>
      </w:r>
      <w:r>
        <w:rPr>
          <w:rFonts w:hint="cs"/>
          <w:rtl/>
        </w:rPr>
        <w:t xml:space="preserve"> </w:t>
      </w:r>
      <w:r w:rsidRPr="00AD414C">
        <w:rPr>
          <w:rtl/>
        </w:rPr>
        <w:t>בשומת מקרקעין יש על כן מרכיב לא מבוטל של שיקול דעת</w:t>
      </w:r>
      <w:r w:rsidR="004C079C">
        <w:rPr>
          <w:rFonts w:hint="cs"/>
          <w:rtl/>
        </w:rPr>
        <w:t>, כפי שציין כ</w:t>
      </w:r>
      <w:r w:rsidRPr="00AD414C">
        <w:rPr>
          <w:rtl/>
        </w:rPr>
        <w:t xml:space="preserve">ב' </w:t>
      </w:r>
      <w:proofErr w:type="spellStart"/>
      <w:r w:rsidRPr="00AD414C">
        <w:rPr>
          <w:rtl/>
        </w:rPr>
        <w:t>הש</w:t>
      </w:r>
      <w:proofErr w:type="spellEnd"/>
      <w:r w:rsidRPr="00AD414C">
        <w:rPr>
          <w:rtl/>
        </w:rPr>
        <w:t xml:space="preserve">' חגי ברנר </w:t>
      </w:r>
      <w:proofErr w:type="spellStart"/>
      <w:r w:rsidRPr="00AD414C">
        <w:rPr>
          <w:rtl/>
        </w:rPr>
        <w:t>ב</w:t>
      </w:r>
      <w:hyperlink r:id="rId25" w:history="1">
        <w:r w:rsidRPr="00AD414C">
          <w:rPr>
            <w:rStyle w:val="Hyperlink"/>
            <w:color w:val="auto"/>
            <w:u w:val="none"/>
            <w:rtl/>
          </w:rPr>
          <w:t>עמ"ן</w:t>
        </w:r>
        <w:proofErr w:type="spellEnd"/>
        <w:r w:rsidRPr="00AD414C">
          <w:rPr>
            <w:rStyle w:val="Hyperlink"/>
            <w:color w:val="auto"/>
            <w:u w:val="none"/>
            <w:rtl/>
          </w:rPr>
          <w:t xml:space="preserve"> 24543-01-18</w:t>
        </w:r>
      </w:hyperlink>
      <w:r w:rsidRPr="00AD414C">
        <w:rPr>
          <w:rtl/>
        </w:rPr>
        <w:t xml:space="preserve"> </w:t>
      </w:r>
      <w:proofErr w:type="spellStart"/>
      <w:r w:rsidRPr="00AD414C">
        <w:rPr>
          <w:b/>
          <w:bCs/>
          <w:rtl/>
        </w:rPr>
        <w:t>בלכמן</w:t>
      </w:r>
      <w:proofErr w:type="spellEnd"/>
      <w:r w:rsidRPr="00AD414C">
        <w:rPr>
          <w:b/>
          <w:bCs/>
          <w:rtl/>
        </w:rPr>
        <w:t xml:space="preserve"> נ' הוועדה המקומית לתכנון ולבנייה גבעתיים</w:t>
      </w:r>
      <w:r w:rsidRPr="00AD414C">
        <w:rPr>
          <w:rtl/>
        </w:rPr>
        <w:t xml:space="preserve"> (פורסם בנבו, 11.11.2018)</w:t>
      </w:r>
      <w:r>
        <w:rPr>
          <w:rFonts w:hint="cs"/>
          <w:rtl/>
        </w:rPr>
        <w:t>.</w:t>
      </w:r>
    </w:p>
    <w:p w14:paraId="273359C7" w14:textId="77777777" w:rsidR="00B5124C" w:rsidRPr="00AD414C" w:rsidRDefault="00B5124C" w:rsidP="004042DC">
      <w:pPr>
        <w:pStyle w:val="a"/>
        <w:ind w:left="468" w:hanging="425"/>
        <w:contextualSpacing w:val="0"/>
      </w:pPr>
      <w:r w:rsidRPr="006670A0">
        <w:rPr>
          <w:rFonts w:ascii="David" w:hAnsi="David"/>
          <w:rtl/>
        </w:rPr>
        <w:t>התערבות ועדת הערר בשומות מכריעות באה על חשבון השגת תכליותיו המרכזיות של מוסד השמאות המכרעת</w:t>
      </w:r>
      <w:r w:rsidRPr="006670A0">
        <w:rPr>
          <w:rFonts w:ascii="David" w:hAnsi="David" w:hint="cs"/>
          <w:rtl/>
        </w:rPr>
        <w:t xml:space="preserve">, בשני המובנים הבאים: ראשית, </w:t>
      </w:r>
      <w:r w:rsidRPr="006670A0">
        <w:rPr>
          <w:rFonts w:ascii="David" w:hAnsi="David"/>
          <w:rtl/>
        </w:rPr>
        <w:t>התערבות ועדת הערר מאריכה את ההתדיינות, ומחייבת הפעלת ערכאות נוספות, על כל הכרוך בכך</w:t>
      </w:r>
      <w:r w:rsidRPr="006670A0">
        <w:rPr>
          <w:rFonts w:ascii="David" w:hAnsi="David" w:hint="cs"/>
          <w:rtl/>
        </w:rPr>
        <w:t xml:space="preserve">; ושנית: </w:t>
      </w:r>
      <w:r w:rsidRPr="006670A0">
        <w:rPr>
          <w:rFonts w:ascii="David" w:hAnsi="David"/>
          <w:rtl/>
        </w:rPr>
        <w:t xml:space="preserve">התערבות </w:t>
      </w:r>
      <w:r w:rsidRPr="004042DC">
        <w:rPr>
          <w:rtl/>
        </w:rPr>
        <w:t>תכופה</w:t>
      </w:r>
      <w:r w:rsidRPr="006670A0">
        <w:rPr>
          <w:rFonts w:ascii="David" w:hAnsi="David"/>
          <w:rtl/>
        </w:rPr>
        <w:t xml:space="preserve"> בשומות מכריעות מפחיתה </w:t>
      </w:r>
      <w:r w:rsidRPr="006670A0">
        <w:rPr>
          <w:rFonts w:ascii="David" w:hAnsi="David" w:hint="cs"/>
          <w:rtl/>
        </w:rPr>
        <w:t xml:space="preserve">את </w:t>
      </w:r>
      <w:r w:rsidRPr="006670A0">
        <w:rPr>
          <w:rFonts w:ascii="David" w:hAnsi="David"/>
          <w:rtl/>
        </w:rPr>
        <w:t xml:space="preserve">אמון הציבור במוסד השמאות </w:t>
      </w:r>
      <w:r w:rsidRPr="00B5124C">
        <w:rPr>
          <w:rStyle w:val="Hyperlink"/>
          <w:color w:val="auto"/>
          <w:u w:val="none"/>
          <w:rtl/>
        </w:rPr>
        <w:t>המכרעת</w:t>
      </w:r>
      <w:r w:rsidRPr="006670A0">
        <w:rPr>
          <w:rFonts w:ascii="David" w:hAnsi="David"/>
          <w:rtl/>
        </w:rPr>
        <w:t xml:space="preserve">. </w:t>
      </w:r>
      <w:r>
        <w:rPr>
          <w:rFonts w:hint="cs"/>
          <w:rtl/>
        </w:rPr>
        <w:t xml:space="preserve">ראו: </w:t>
      </w:r>
      <w:hyperlink r:id="rId26" w:history="1">
        <w:r w:rsidRPr="001F4F4D">
          <w:rPr>
            <w:rFonts w:hint="cs"/>
            <w:rtl/>
          </w:rPr>
          <w:t>ערר</w:t>
        </w:r>
        <w:r w:rsidRPr="001F4F4D">
          <w:rPr>
            <w:rtl/>
          </w:rPr>
          <w:t xml:space="preserve"> (</w:t>
        </w:r>
        <w:r w:rsidRPr="001F4F4D">
          <w:rPr>
            <w:rFonts w:hint="cs"/>
            <w:rtl/>
          </w:rPr>
          <w:t>מרכז</w:t>
        </w:r>
        <w:r w:rsidRPr="001F4F4D">
          <w:rPr>
            <w:rtl/>
          </w:rPr>
          <w:t>) 8054-11-20</w:t>
        </w:r>
      </w:hyperlink>
      <w:r w:rsidRPr="001F4F4D">
        <w:rPr>
          <w:rtl/>
        </w:rPr>
        <w:t xml:space="preserve"> </w:t>
      </w:r>
      <w:r w:rsidRPr="006670A0">
        <w:rPr>
          <w:b/>
          <w:bCs/>
          <w:rtl/>
        </w:rPr>
        <w:t xml:space="preserve">הוועדה המקומית לתכנון ולבנייה רעננה נ' ארזה בן עמי ארמה </w:t>
      </w:r>
      <w:r w:rsidRPr="001F4F4D">
        <w:rPr>
          <w:rtl/>
        </w:rPr>
        <w:t>(פורסם בנבו, 4.12.2023</w:t>
      </w:r>
      <w:r>
        <w:rPr>
          <w:rFonts w:hint="cs"/>
          <w:rtl/>
        </w:rPr>
        <w:t>) (להלן: "</w:t>
      </w:r>
      <w:r w:rsidRPr="007737A7">
        <w:rPr>
          <w:rFonts w:hint="cs"/>
          <w:b/>
          <w:bCs/>
          <w:rtl/>
        </w:rPr>
        <w:t>ארמה</w:t>
      </w:r>
      <w:r>
        <w:rPr>
          <w:rFonts w:hint="cs"/>
          <w:rtl/>
        </w:rPr>
        <w:t>").</w:t>
      </w:r>
    </w:p>
    <w:p w14:paraId="7807FF08" w14:textId="77777777" w:rsidR="00AD414C" w:rsidRPr="00AD414C" w:rsidRDefault="00AD414C" w:rsidP="004042DC">
      <w:pPr>
        <w:pStyle w:val="a"/>
        <w:ind w:left="468" w:hanging="425"/>
        <w:contextualSpacing w:val="0"/>
        <w:rPr>
          <w:rFonts w:ascii="David" w:hAnsi="David"/>
        </w:rPr>
      </w:pPr>
      <w:r w:rsidRPr="00AD414C">
        <w:rPr>
          <w:rFonts w:ascii="David" w:hAnsi="David"/>
          <w:rtl/>
        </w:rPr>
        <w:t xml:space="preserve">על רקע כל אלו נבחן את ההצדקה להתערבות </w:t>
      </w:r>
      <w:r w:rsidRPr="004042DC">
        <w:rPr>
          <w:rtl/>
        </w:rPr>
        <w:t>בשומות</w:t>
      </w:r>
      <w:r w:rsidRPr="00AD414C">
        <w:rPr>
          <w:rFonts w:ascii="David" w:hAnsi="David"/>
          <w:rtl/>
        </w:rPr>
        <w:t xml:space="preserve"> המכריעות במקרה שבפנינו.</w:t>
      </w:r>
    </w:p>
    <w:p w14:paraId="65CFCAA4" w14:textId="77777777" w:rsidR="00904A20" w:rsidRDefault="00904A20" w:rsidP="000118A5">
      <w:pPr>
        <w:spacing w:after="80" w:line="360" w:lineRule="auto"/>
        <w:ind w:firstLine="43"/>
        <w:jc w:val="both"/>
        <w:rPr>
          <w:rFonts w:cs="David"/>
          <w:b/>
          <w:bCs/>
          <w:sz w:val="24"/>
          <w:szCs w:val="24"/>
          <w:u w:val="single"/>
          <w:rtl/>
        </w:rPr>
      </w:pPr>
    </w:p>
    <w:p w14:paraId="6F9DF5C7" w14:textId="77777777" w:rsidR="000118A5" w:rsidRDefault="004C079C" w:rsidP="000118A5">
      <w:pPr>
        <w:spacing w:after="80" w:line="360" w:lineRule="auto"/>
        <w:ind w:firstLine="43"/>
        <w:jc w:val="both"/>
        <w:rPr>
          <w:rFonts w:cs="David"/>
          <w:b/>
          <w:bCs/>
          <w:sz w:val="24"/>
          <w:szCs w:val="24"/>
          <w:u w:val="single"/>
          <w:rtl/>
        </w:rPr>
      </w:pPr>
      <w:r>
        <w:rPr>
          <w:rFonts w:cs="David" w:hint="cs"/>
          <w:b/>
          <w:bCs/>
          <w:sz w:val="24"/>
          <w:szCs w:val="24"/>
          <w:u w:val="single"/>
          <w:rtl/>
        </w:rPr>
        <w:t>קביעת שווי המקרקעין במצב הקודם לתוכנית המשביחה</w:t>
      </w:r>
    </w:p>
    <w:p w14:paraId="19EACB55" w14:textId="77777777" w:rsidR="000118A5" w:rsidRDefault="000118A5" w:rsidP="004042DC">
      <w:pPr>
        <w:pStyle w:val="a"/>
        <w:ind w:left="468" w:hanging="425"/>
        <w:contextualSpacing w:val="0"/>
      </w:pPr>
      <w:r w:rsidRPr="000118A5">
        <w:rPr>
          <w:rFonts w:hint="cs"/>
          <w:rtl/>
        </w:rPr>
        <w:t xml:space="preserve">כפי שציינו בדיון </w:t>
      </w:r>
      <w:proofErr w:type="spellStart"/>
      <w:r w:rsidRPr="000118A5">
        <w:rPr>
          <w:rFonts w:hint="cs"/>
          <w:rtl/>
        </w:rPr>
        <w:t>בעררים</w:t>
      </w:r>
      <w:proofErr w:type="spellEnd"/>
      <w:r w:rsidRPr="000118A5">
        <w:rPr>
          <w:rFonts w:hint="cs"/>
          <w:rtl/>
        </w:rPr>
        <w:t xml:space="preserve">, ארבע השומות המכריעות שנתקפו במסגרת </w:t>
      </w:r>
      <w:proofErr w:type="spellStart"/>
      <w:r w:rsidRPr="000118A5">
        <w:rPr>
          <w:rFonts w:hint="cs"/>
          <w:rtl/>
        </w:rPr>
        <w:t>העררים</w:t>
      </w:r>
      <w:proofErr w:type="spellEnd"/>
      <w:r w:rsidRPr="000118A5">
        <w:rPr>
          <w:rFonts w:hint="cs"/>
          <w:rtl/>
        </w:rPr>
        <w:t xml:space="preserve"> שלפנינו לא נערכו בחלל ריק. לפניהן ו</w:t>
      </w:r>
      <w:r w:rsidR="00DC29C5">
        <w:rPr>
          <w:rFonts w:hint="cs"/>
          <w:rtl/>
        </w:rPr>
        <w:t>ל</w:t>
      </w:r>
      <w:r w:rsidRPr="000118A5">
        <w:rPr>
          <w:rFonts w:hint="cs"/>
          <w:rtl/>
        </w:rPr>
        <w:t>אחריהן נערכו שומות מכריעות רבות, על ידי שמאים מכריעים שונים, שהגיעו למסקנה כי שווי הקרקע החקלאית במצב הקודם היה 300 ₪ למ"ר.</w:t>
      </w:r>
    </w:p>
    <w:p w14:paraId="5F872F0E" w14:textId="77777777" w:rsidR="004E492E" w:rsidRDefault="00565B18" w:rsidP="004042DC">
      <w:pPr>
        <w:pStyle w:val="a"/>
        <w:ind w:left="468" w:hanging="425"/>
        <w:contextualSpacing w:val="0"/>
      </w:pPr>
      <w:r>
        <w:rPr>
          <w:rFonts w:hint="cs"/>
          <w:rtl/>
        </w:rPr>
        <w:t xml:space="preserve">יתרה מזאת, עניינו של שווי קרקע חקלאית במצב הקודם בתחום התוכנית המשביחה המסוימת נדון גם בסדרה של עררים שהוגשו לוועדת הערר המחוזית, אשר נתנו תוקף לקביעות </w:t>
      </w:r>
      <w:r w:rsidR="004E492E">
        <w:rPr>
          <w:rFonts w:hint="cs"/>
          <w:rtl/>
        </w:rPr>
        <w:t>הללו</w:t>
      </w:r>
      <w:r>
        <w:rPr>
          <w:rFonts w:hint="cs"/>
          <w:rtl/>
        </w:rPr>
        <w:t xml:space="preserve">. </w:t>
      </w:r>
    </w:p>
    <w:p w14:paraId="6025083F" w14:textId="77777777" w:rsidR="00565B18" w:rsidRDefault="00565B18" w:rsidP="004042DC">
      <w:pPr>
        <w:pStyle w:val="a"/>
        <w:numPr>
          <w:ilvl w:val="0"/>
          <w:numId w:val="0"/>
        </w:numPr>
        <w:ind w:left="468"/>
        <w:contextualSpacing w:val="0"/>
      </w:pPr>
      <w:r>
        <w:rPr>
          <w:rFonts w:hint="cs"/>
          <w:rtl/>
        </w:rPr>
        <w:t>ראו החלטת ועדת הערר המחוזית בראשות עו"ד איל תיאודור שרון ב</w:t>
      </w:r>
      <w:r w:rsidRPr="00565B18">
        <w:rPr>
          <w:rtl/>
        </w:rPr>
        <w:t>ערר (מרכז) 8047-10-20 </w:t>
      </w:r>
      <w:r w:rsidRPr="00565B18">
        <w:rPr>
          <w:b/>
          <w:bCs/>
          <w:rtl/>
        </w:rPr>
        <w:t xml:space="preserve">דוד </w:t>
      </w:r>
      <w:proofErr w:type="spellStart"/>
      <w:r w:rsidRPr="00565B18">
        <w:rPr>
          <w:b/>
          <w:bCs/>
          <w:rtl/>
        </w:rPr>
        <w:t>שבדרון</w:t>
      </w:r>
      <w:proofErr w:type="spellEnd"/>
      <w:r w:rsidRPr="00565B18">
        <w:rPr>
          <w:rFonts w:hint="cs"/>
          <w:b/>
          <w:bCs/>
          <w:rtl/>
        </w:rPr>
        <w:t xml:space="preserve"> נ' </w:t>
      </w:r>
      <w:r w:rsidRPr="00565B18">
        <w:rPr>
          <w:b/>
          <w:bCs/>
        </w:rPr>
        <w:t> </w:t>
      </w:r>
      <w:r w:rsidRPr="00565B18">
        <w:rPr>
          <w:b/>
          <w:bCs/>
          <w:rtl/>
        </w:rPr>
        <w:t xml:space="preserve">הוועדה המקומית לתכנון ולבניה </w:t>
      </w:r>
      <w:proofErr w:type="spellStart"/>
      <w:r w:rsidRPr="00565B18">
        <w:rPr>
          <w:b/>
          <w:bCs/>
          <w:rtl/>
        </w:rPr>
        <w:t>שרונים</w:t>
      </w:r>
      <w:proofErr w:type="spellEnd"/>
      <w:r>
        <w:rPr>
          <w:rFonts w:hint="cs"/>
          <w:rtl/>
        </w:rPr>
        <w:t xml:space="preserve"> (פורסם בנבו, 25.4.2021) (להלן: "</w:t>
      </w:r>
      <w:proofErr w:type="spellStart"/>
      <w:r w:rsidRPr="00565B18">
        <w:rPr>
          <w:rFonts w:hint="cs"/>
          <w:b/>
          <w:bCs/>
          <w:rtl/>
        </w:rPr>
        <w:t>שבדרון</w:t>
      </w:r>
      <w:proofErr w:type="spellEnd"/>
      <w:r>
        <w:rPr>
          <w:rFonts w:hint="cs"/>
          <w:rtl/>
        </w:rPr>
        <w:t xml:space="preserve">"); והחלטת ועדת הערר המחוזית בראשות הח"מ בערר (מרכז) 8050/1020 </w:t>
      </w:r>
      <w:r w:rsidRPr="00565B18">
        <w:rPr>
          <w:rFonts w:hint="cs"/>
          <w:b/>
          <w:bCs/>
          <w:rtl/>
        </w:rPr>
        <w:t xml:space="preserve">מאירה </w:t>
      </w:r>
      <w:proofErr w:type="spellStart"/>
      <w:r w:rsidRPr="00565B18">
        <w:rPr>
          <w:rFonts w:hint="cs"/>
          <w:b/>
          <w:bCs/>
          <w:rtl/>
        </w:rPr>
        <w:t>זלץ</w:t>
      </w:r>
      <w:proofErr w:type="spellEnd"/>
      <w:r w:rsidRPr="00565B18">
        <w:rPr>
          <w:rFonts w:hint="cs"/>
          <w:b/>
          <w:bCs/>
          <w:rtl/>
        </w:rPr>
        <w:t xml:space="preserve"> נ' הוועדה המקומית לתכנון ולבנייה </w:t>
      </w:r>
      <w:proofErr w:type="spellStart"/>
      <w:r w:rsidRPr="00565B18">
        <w:rPr>
          <w:rFonts w:hint="cs"/>
          <w:b/>
          <w:bCs/>
          <w:rtl/>
        </w:rPr>
        <w:t>שרונים</w:t>
      </w:r>
      <w:proofErr w:type="spellEnd"/>
      <w:r w:rsidRPr="00565B18">
        <w:rPr>
          <w:rFonts w:hint="cs"/>
          <w:b/>
          <w:bCs/>
          <w:rtl/>
        </w:rPr>
        <w:t xml:space="preserve"> </w:t>
      </w:r>
      <w:r w:rsidRPr="00565B18">
        <w:rPr>
          <w:rFonts w:hint="cs"/>
          <w:rtl/>
        </w:rPr>
        <w:t xml:space="preserve">(פורסם בנבו, </w:t>
      </w:r>
      <w:r>
        <w:rPr>
          <w:rFonts w:hint="cs"/>
          <w:rtl/>
        </w:rPr>
        <w:t>28</w:t>
      </w:r>
      <w:r w:rsidRPr="00565B18">
        <w:rPr>
          <w:rFonts w:hint="cs"/>
          <w:rtl/>
        </w:rPr>
        <w:t>.</w:t>
      </w:r>
      <w:r>
        <w:rPr>
          <w:rFonts w:hint="cs"/>
          <w:rtl/>
        </w:rPr>
        <w:t>11</w:t>
      </w:r>
      <w:r w:rsidRPr="00565B18">
        <w:rPr>
          <w:rFonts w:hint="cs"/>
          <w:rtl/>
        </w:rPr>
        <w:t>.202</w:t>
      </w:r>
      <w:r>
        <w:rPr>
          <w:rFonts w:hint="cs"/>
          <w:rtl/>
        </w:rPr>
        <w:t>3</w:t>
      </w:r>
      <w:r w:rsidRPr="00565B18">
        <w:rPr>
          <w:rFonts w:hint="cs"/>
          <w:rtl/>
        </w:rPr>
        <w:t>)</w:t>
      </w:r>
      <w:r>
        <w:rPr>
          <w:rFonts w:hint="cs"/>
          <w:rtl/>
        </w:rPr>
        <w:t xml:space="preserve"> (להלן: "</w:t>
      </w:r>
      <w:r w:rsidRPr="00565B18">
        <w:rPr>
          <w:rFonts w:hint="cs"/>
          <w:b/>
          <w:bCs/>
          <w:rtl/>
        </w:rPr>
        <w:t xml:space="preserve">עניין </w:t>
      </w:r>
      <w:proofErr w:type="spellStart"/>
      <w:r w:rsidRPr="00565B18">
        <w:rPr>
          <w:rFonts w:hint="cs"/>
          <w:b/>
          <w:bCs/>
          <w:rtl/>
        </w:rPr>
        <w:t>זלץ</w:t>
      </w:r>
      <w:proofErr w:type="spellEnd"/>
      <w:r>
        <w:rPr>
          <w:rFonts w:hint="cs"/>
          <w:rtl/>
        </w:rPr>
        <w:t>")</w:t>
      </w:r>
      <w:r w:rsidR="004E492E">
        <w:rPr>
          <w:rFonts w:hint="cs"/>
          <w:rtl/>
        </w:rPr>
        <w:t>.</w:t>
      </w:r>
    </w:p>
    <w:p w14:paraId="07BA42C4" w14:textId="77777777" w:rsidR="006670A0" w:rsidRPr="006670A0" w:rsidRDefault="006670A0" w:rsidP="004042DC">
      <w:pPr>
        <w:pStyle w:val="a"/>
        <w:ind w:left="468" w:hanging="425"/>
        <w:contextualSpacing w:val="0"/>
        <w:rPr>
          <w:rFonts w:ascii="David" w:hAnsi="David"/>
        </w:rPr>
      </w:pPr>
      <w:r w:rsidRPr="006670A0">
        <w:rPr>
          <w:rFonts w:ascii="David" w:hAnsi="David"/>
          <w:rtl/>
        </w:rPr>
        <w:t>בהחלטת ועדת הערר המחוזית ב</w:t>
      </w:r>
      <w:hyperlink r:id="rId27" w:history="1">
        <w:r w:rsidRPr="006670A0">
          <w:rPr>
            <w:rStyle w:val="Hyperlink"/>
            <w:rFonts w:ascii="David" w:hAnsi="David"/>
            <w:color w:val="auto"/>
            <w:u w:val="none"/>
            <w:rtl/>
          </w:rPr>
          <w:t>ערר (מרכז) 8068/0822</w:t>
        </w:r>
      </w:hyperlink>
      <w:r w:rsidRPr="006670A0">
        <w:rPr>
          <w:rFonts w:ascii="David" w:hAnsi="David"/>
          <w:rtl/>
        </w:rPr>
        <w:t xml:space="preserve">  </w:t>
      </w:r>
      <w:r w:rsidRPr="006670A0">
        <w:rPr>
          <w:rFonts w:ascii="David" w:hAnsi="David"/>
          <w:b/>
          <w:bCs/>
          <w:rtl/>
        </w:rPr>
        <w:t>הוועדה המקומית לתכנון ולבנייה הוד השרון</w:t>
      </w:r>
      <w:r w:rsidRPr="006670A0">
        <w:rPr>
          <w:rFonts w:ascii="David" w:hAnsi="David"/>
          <w:rtl/>
        </w:rPr>
        <w:t xml:space="preserve"> </w:t>
      </w:r>
      <w:r w:rsidRPr="006670A0">
        <w:rPr>
          <w:rFonts w:ascii="David" w:hAnsi="David"/>
          <w:b/>
          <w:bCs/>
          <w:rtl/>
        </w:rPr>
        <w:t>נ' רן חיים בוגין</w:t>
      </w:r>
      <w:r w:rsidRPr="006670A0">
        <w:rPr>
          <w:rFonts w:ascii="David" w:hAnsi="David"/>
          <w:rtl/>
        </w:rPr>
        <w:t xml:space="preserve"> (פורסם בנבו, 19.6.2024)</w:t>
      </w:r>
      <w:r w:rsidR="00565B18">
        <w:rPr>
          <w:rFonts w:ascii="David" w:hAnsi="David" w:hint="cs"/>
          <w:rtl/>
        </w:rPr>
        <w:t xml:space="preserve"> הודגשה חשיבות </w:t>
      </w:r>
      <w:r w:rsidR="00565B18" w:rsidRPr="004042DC">
        <w:rPr>
          <w:rFonts w:hint="cs"/>
          <w:rtl/>
        </w:rPr>
        <w:t>השמירה</w:t>
      </w:r>
      <w:r w:rsidR="00565B18">
        <w:rPr>
          <w:rFonts w:ascii="David" w:hAnsi="David" w:hint="cs"/>
          <w:rtl/>
        </w:rPr>
        <w:t xml:space="preserve"> על יציבות וודאות בשוק הנדל"ן, ועל תפ</w:t>
      </w:r>
      <w:r w:rsidR="004E492E">
        <w:rPr>
          <w:rFonts w:ascii="David" w:hAnsi="David" w:hint="cs"/>
          <w:rtl/>
        </w:rPr>
        <w:t>קידם של השמאים המכריעים בהקשר זה</w:t>
      </w:r>
      <w:r w:rsidRPr="006670A0">
        <w:rPr>
          <w:rFonts w:ascii="David" w:hAnsi="David"/>
          <w:rtl/>
        </w:rPr>
        <w:t>:</w:t>
      </w:r>
    </w:p>
    <w:p w14:paraId="0F9FFF92" w14:textId="77777777" w:rsidR="006670A0" w:rsidRPr="006670A0" w:rsidRDefault="006670A0" w:rsidP="006670A0">
      <w:pPr>
        <w:pStyle w:val="a9"/>
        <w:spacing w:line="240" w:lineRule="auto"/>
        <w:ind w:left="1744" w:right="851" w:hanging="425"/>
        <w:rPr>
          <w:rFonts w:ascii="FrankRuehl" w:hAnsi="FrankRuehl" w:cs="FrankRuehl"/>
        </w:rPr>
      </w:pPr>
      <w:r>
        <w:rPr>
          <w:rFonts w:ascii="FrankRuehl" w:hAnsi="FrankRuehl" w:cs="FrankRuehl" w:hint="cs"/>
          <w:rtl/>
        </w:rPr>
        <w:t xml:space="preserve">"48. [...] </w:t>
      </w:r>
      <w:r w:rsidRPr="006670A0">
        <w:rPr>
          <w:rFonts w:ascii="FrankRuehl" w:hAnsi="FrankRuehl" w:cs="FrankRuehl" w:hint="cs"/>
          <w:rtl/>
        </w:rPr>
        <w:t xml:space="preserve">יש חשיבות רבה בשמירה על אחידות, יציבות ומידה כזו או אחרת של ודאות בשוק. על שמאים מכריעים להתייחס בכובד ראש לערכים שנקבעו בשומות מכריעות קודמות, ולנמק בבהירות ובפירוט את החלטתם לסטות מערכים אלו. כשיעור הסטייה, כך היקף ועומק ההנמקה שנדרשת. כל שמאי מכריע נושא עימו בצקלונו את אמון הציבור במוסד השמאות המכרעת, ואת היציבות והוודאות בשוק. שׂוּמה על כל שמאי מכריע </w:t>
      </w:r>
      <w:proofErr w:type="spellStart"/>
      <w:r w:rsidRPr="006670A0">
        <w:rPr>
          <w:rFonts w:ascii="FrankRuehl" w:hAnsi="FrankRuehl" w:cs="FrankRuehl" w:hint="cs"/>
          <w:rtl/>
        </w:rPr>
        <w:t>ליקח</w:t>
      </w:r>
      <w:proofErr w:type="spellEnd"/>
      <w:r w:rsidRPr="006670A0">
        <w:rPr>
          <w:rFonts w:ascii="FrankRuehl" w:hAnsi="FrankRuehl" w:cs="FrankRuehl" w:hint="cs"/>
          <w:rtl/>
        </w:rPr>
        <w:t xml:space="preserve"> בחשבון, בעת עריכת שומתו, את האופן שבו נתפסים בציבור פערים ניכרים בערכים, במקדמים ובמסקנות הנכללים בשומות מכריעות שונות</w:t>
      </w:r>
      <w:r>
        <w:rPr>
          <w:rFonts w:ascii="FrankRuehl" w:hAnsi="FrankRuehl" w:cs="FrankRuehl" w:hint="cs"/>
          <w:rtl/>
        </w:rPr>
        <w:t>."</w:t>
      </w:r>
    </w:p>
    <w:p w14:paraId="081C3785" w14:textId="77777777" w:rsidR="006670A0" w:rsidRDefault="00DC29C5" w:rsidP="004042DC">
      <w:pPr>
        <w:pStyle w:val="a"/>
        <w:ind w:left="468" w:hanging="425"/>
        <w:contextualSpacing w:val="0"/>
      </w:pPr>
      <w:r w:rsidRPr="004C079C">
        <w:rPr>
          <w:rFonts w:ascii="David" w:hAnsi="David" w:hint="cs"/>
          <w:rtl/>
        </w:rPr>
        <w:lastRenderedPageBreak/>
        <w:t>אמנם, אין באמור כדי לקעקע את שיקול הדעת העצמאי שנדרש כל שמאי מכריע להפעיל בעת עריכת שומתו. שמאי מכריע מחויב לבחון בעצמו את מסד הנתונים והעסקאות, מאפייני הקרקע והזכויות בהם, וכל מידע רלבנטי אחר לצורך עריכת שומתו, ולגבש על בסיסם את חוות הדעת המקצועית שלו.</w:t>
      </w:r>
      <w:r w:rsidR="004C079C" w:rsidRPr="004C079C">
        <w:rPr>
          <w:rFonts w:ascii="David" w:hAnsi="David" w:hint="cs"/>
          <w:rtl/>
        </w:rPr>
        <w:t xml:space="preserve"> </w:t>
      </w:r>
      <w:r>
        <w:rPr>
          <w:rFonts w:hint="cs"/>
          <w:rtl/>
        </w:rPr>
        <w:t>אולם</w:t>
      </w:r>
      <w:r w:rsidR="004E492E">
        <w:rPr>
          <w:rFonts w:hint="cs"/>
          <w:rtl/>
        </w:rPr>
        <w:t xml:space="preserve">, </w:t>
      </w:r>
      <w:r w:rsidR="006670A0">
        <w:rPr>
          <w:rFonts w:hint="cs"/>
          <w:rtl/>
        </w:rPr>
        <w:t xml:space="preserve">לא בנקל תתערב ועדת הערר בשומה מכרעת, מנומקת, מבוססת וערוכה כדין, שתוצאתה הסופית אינה סוטה מהותית משומות </w:t>
      </w:r>
      <w:r w:rsidR="006670A0" w:rsidRPr="004C079C">
        <w:rPr>
          <w:rFonts w:ascii="David" w:hAnsi="David" w:hint="cs"/>
          <w:rtl/>
        </w:rPr>
        <w:t>קודמות</w:t>
      </w:r>
      <w:r w:rsidR="006670A0">
        <w:rPr>
          <w:rFonts w:hint="cs"/>
          <w:rtl/>
        </w:rPr>
        <w:t xml:space="preserve">; לא כל שכן </w:t>
      </w:r>
      <w:r w:rsidR="006670A0">
        <w:rPr>
          <w:rtl/>
        </w:rPr>
        <w:t>–</w:t>
      </w:r>
      <w:r w:rsidR="006670A0">
        <w:rPr>
          <w:rFonts w:hint="cs"/>
          <w:rtl/>
        </w:rPr>
        <w:t xml:space="preserve"> זהה להן לחלוטין.</w:t>
      </w:r>
    </w:p>
    <w:p w14:paraId="3D8A94A0" w14:textId="77777777" w:rsidR="006670A0" w:rsidRPr="004E492E" w:rsidRDefault="00DC29C5" w:rsidP="004042DC">
      <w:pPr>
        <w:pStyle w:val="a"/>
        <w:ind w:left="468" w:hanging="425"/>
        <w:contextualSpacing w:val="0"/>
        <w:rPr>
          <w:rFonts w:ascii="David" w:hAnsi="David"/>
        </w:rPr>
      </w:pPr>
      <w:r>
        <w:rPr>
          <w:rFonts w:ascii="David" w:hAnsi="David" w:hint="cs"/>
          <w:rtl/>
        </w:rPr>
        <w:t>במקרה שלפנינו</w:t>
      </w:r>
      <w:r w:rsidR="006670A0" w:rsidRPr="004E492E">
        <w:rPr>
          <w:rFonts w:ascii="David" w:hAnsi="David" w:hint="cs"/>
          <w:rtl/>
        </w:rPr>
        <w:t>, עיון בכל ארבע השומות המכריעות מעלה, כי הן מבוססות על עבודה שמאית מקיפה, יסודית ומנומקת היטב - הן ביחס למצב החדש והן ביחס למצב הקודם (שאליו מכוונים עיקר חיציהן של העוררות). השומות המכריעות כוללות דיון מעמיק בטענות הצדדים, בחינה עצמאית של עסקאות השוואה וניתוח של שומות מכריעות רבות קודמות שנערכו בתחום התוכנית. קביעות השמאים המכריעים נומקו היטב, והן נהירות וברורות.</w:t>
      </w:r>
    </w:p>
    <w:p w14:paraId="08749785" w14:textId="77777777" w:rsidR="004E492E" w:rsidRDefault="004E492E" w:rsidP="004042DC">
      <w:pPr>
        <w:pStyle w:val="a"/>
        <w:ind w:left="468" w:hanging="425"/>
        <w:contextualSpacing w:val="0"/>
        <w:rPr>
          <w:rFonts w:ascii="David" w:hAnsi="David"/>
        </w:rPr>
      </w:pPr>
      <w:r>
        <w:rPr>
          <w:rFonts w:ascii="David" w:hAnsi="David" w:hint="cs"/>
          <w:rtl/>
        </w:rPr>
        <w:t xml:space="preserve">על מנת לקבוע שווי שוק </w:t>
      </w:r>
      <w:r w:rsidR="004C079C">
        <w:rPr>
          <w:rFonts w:ascii="David" w:hAnsi="David" w:hint="cs"/>
          <w:rtl/>
        </w:rPr>
        <w:t>שונה לחלוטין</w:t>
      </w:r>
      <w:r>
        <w:rPr>
          <w:rFonts w:ascii="David" w:hAnsi="David" w:hint="cs"/>
          <w:rtl/>
        </w:rPr>
        <w:t xml:space="preserve"> מזה שנקבע במספר רב של שומות מכריעות קודמות נדרש להראות טעות גסה וחמורה שדבקה בכלל השומות המכריעות האחרות; טעות שפשוט אינה מאפשרת להותיר את השומות המכריעות על כנן, חרף הפגיעה הברורה בוודאות והיציבות בשוק הנדל"ן באליכין, ובאמון הציבור בשומות מכריעות בכלל. </w:t>
      </w:r>
    </w:p>
    <w:p w14:paraId="7BE5712D" w14:textId="77777777" w:rsidR="004E492E" w:rsidRDefault="004E492E" w:rsidP="004042DC">
      <w:pPr>
        <w:pStyle w:val="a"/>
        <w:ind w:left="468" w:hanging="425"/>
        <w:contextualSpacing w:val="0"/>
        <w:rPr>
          <w:rFonts w:ascii="David" w:hAnsi="David"/>
        </w:rPr>
      </w:pPr>
      <w:r>
        <w:rPr>
          <w:rFonts w:ascii="David" w:hAnsi="David" w:hint="cs"/>
          <w:rtl/>
        </w:rPr>
        <w:t>העוררות לא הרימו ולו במקצת את הנטל הכבד המוטל עליהן</w:t>
      </w:r>
      <w:r w:rsidR="00DC29C5">
        <w:rPr>
          <w:rFonts w:ascii="David" w:hAnsi="David" w:hint="cs"/>
          <w:rtl/>
        </w:rPr>
        <w:t>.</w:t>
      </w:r>
      <w:r>
        <w:rPr>
          <w:rFonts w:ascii="David" w:hAnsi="David" w:hint="cs"/>
          <w:rtl/>
        </w:rPr>
        <w:t xml:space="preserve"> </w:t>
      </w:r>
      <w:r w:rsidR="004C079C">
        <w:rPr>
          <w:rFonts w:ascii="David" w:hAnsi="David" w:hint="cs"/>
          <w:rtl/>
        </w:rPr>
        <w:t xml:space="preserve">למעשה, </w:t>
      </w:r>
      <w:r>
        <w:rPr>
          <w:rFonts w:ascii="David" w:hAnsi="David" w:hint="cs"/>
          <w:rtl/>
        </w:rPr>
        <w:t>כפי שנראה להלן</w:t>
      </w:r>
      <w:r w:rsidR="00DC29C5">
        <w:rPr>
          <w:rFonts w:ascii="David" w:hAnsi="David" w:hint="cs"/>
          <w:rtl/>
        </w:rPr>
        <w:t xml:space="preserve">, למעט </w:t>
      </w:r>
      <w:r w:rsidR="004C079C">
        <w:rPr>
          <w:rFonts w:ascii="David" w:hAnsi="David" w:hint="cs"/>
          <w:rtl/>
        </w:rPr>
        <w:t xml:space="preserve">טענה </w:t>
      </w:r>
      <w:r w:rsidR="00DC29C5">
        <w:rPr>
          <w:rFonts w:ascii="David" w:hAnsi="David" w:hint="cs"/>
          <w:rtl/>
        </w:rPr>
        <w:t>נקודתי</w:t>
      </w:r>
      <w:r w:rsidR="004C079C">
        <w:rPr>
          <w:rFonts w:ascii="David" w:hAnsi="David" w:hint="cs"/>
          <w:rtl/>
        </w:rPr>
        <w:t>ת</w:t>
      </w:r>
      <w:r w:rsidR="00DC29C5">
        <w:rPr>
          <w:rFonts w:ascii="David" w:hAnsi="David" w:hint="cs"/>
          <w:rtl/>
        </w:rPr>
        <w:t xml:space="preserve"> אח</w:t>
      </w:r>
      <w:r w:rsidR="004C079C">
        <w:rPr>
          <w:rFonts w:ascii="David" w:hAnsi="David" w:hint="cs"/>
          <w:rtl/>
        </w:rPr>
        <w:t>ת</w:t>
      </w:r>
      <w:r w:rsidR="00DC29C5">
        <w:rPr>
          <w:rFonts w:ascii="David" w:hAnsi="David" w:hint="cs"/>
          <w:rtl/>
        </w:rPr>
        <w:t xml:space="preserve">, </w:t>
      </w:r>
      <w:r w:rsidR="004C079C">
        <w:rPr>
          <w:rFonts w:ascii="David" w:hAnsi="David" w:hint="cs"/>
          <w:rtl/>
        </w:rPr>
        <w:t>שלא הוכרעה פוזיטיבית</w:t>
      </w:r>
      <w:r w:rsidR="00DC29C5">
        <w:rPr>
          <w:rFonts w:ascii="David" w:hAnsi="David" w:hint="cs"/>
          <w:rtl/>
        </w:rPr>
        <w:t xml:space="preserve"> באחת השומות, לא נפל כל פגם בשומות המכריעות שבפנינו.</w:t>
      </w:r>
    </w:p>
    <w:p w14:paraId="2C33BD77" w14:textId="77777777" w:rsidR="004E492E" w:rsidRPr="004C079C" w:rsidRDefault="004E492E">
      <w:pPr>
        <w:spacing w:after="80" w:line="360" w:lineRule="auto"/>
        <w:ind w:firstLine="43"/>
        <w:jc w:val="both"/>
        <w:rPr>
          <w:rFonts w:cs="David"/>
          <w:b/>
          <w:bCs/>
          <w:sz w:val="24"/>
          <w:szCs w:val="24"/>
          <w:u w:val="single"/>
          <w:rtl/>
        </w:rPr>
      </w:pPr>
    </w:p>
    <w:p w14:paraId="57F84A48" w14:textId="77777777" w:rsidR="00C24698" w:rsidRPr="004042DC" w:rsidRDefault="004E492E" w:rsidP="004042DC">
      <w:pPr>
        <w:spacing w:after="80" w:line="360" w:lineRule="auto"/>
        <w:ind w:firstLine="43"/>
        <w:jc w:val="both"/>
        <w:rPr>
          <w:rFonts w:cs="David"/>
          <w:b/>
          <w:bCs/>
          <w:sz w:val="24"/>
          <w:szCs w:val="24"/>
          <w:u w:val="single"/>
        </w:rPr>
      </w:pPr>
      <w:r w:rsidRPr="004042DC">
        <w:rPr>
          <w:rFonts w:cs="David" w:hint="cs"/>
          <w:b/>
          <w:bCs/>
          <w:sz w:val="24"/>
          <w:szCs w:val="24"/>
          <w:u w:val="single"/>
          <w:rtl/>
        </w:rPr>
        <w:t xml:space="preserve">התחשבות בעסקות </w:t>
      </w:r>
      <w:proofErr w:type="spellStart"/>
      <w:r w:rsidRPr="004042DC">
        <w:rPr>
          <w:rFonts w:cs="David" w:hint="cs"/>
          <w:b/>
          <w:bCs/>
          <w:sz w:val="24"/>
          <w:szCs w:val="24"/>
          <w:u w:val="single"/>
          <w:rtl/>
        </w:rPr>
        <w:t>סיחור</w:t>
      </w:r>
      <w:proofErr w:type="spellEnd"/>
      <w:r w:rsidRPr="004042DC">
        <w:rPr>
          <w:rFonts w:cs="David" w:hint="cs"/>
          <w:b/>
          <w:bCs/>
          <w:sz w:val="24"/>
          <w:szCs w:val="24"/>
          <w:u w:val="single"/>
          <w:rtl/>
        </w:rPr>
        <w:t xml:space="preserve"> אופציה</w:t>
      </w:r>
      <w:r w:rsidR="00493761" w:rsidRPr="004042DC">
        <w:rPr>
          <w:rFonts w:cs="David" w:hint="cs"/>
          <w:b/>
          <w:bCs/>
          <w:sz w:val="24"/>
          <w:szCs w:val="24"/>
          <w:u w:val="single"/>
          <w:rtl/>
        </w:rPr>
        <w:t xml:space="preserve"> </w:t>
      </w:r>
      <w:r w:rsidR="001C1960" w:rsidRPr="004042DC">
        <w:rPr>
          <w:rFonts w:cs="David" w:hint="cs"/>
          <w:b/>
          <w:bCs/>
          <w:sz w:val="24"/>
          <w:szCs w:val="24"/>
          <w:u w:val="single"/>
          <w:rtl/>
        </w:rPr>
        <w:t>א</w:t>
      </w:r>
      <w:r w:rsidR="00493761" w:rsidRPr="004042DC">
        <w:rPr>
          <w:rFonts w:cs="David" w:hint="cs"/>
          <w:b/>
          <w:bCs/>
          <w:sz w:val="24"/>
          <w:szCs w:val="24"/>
          <w:u w:val="single"/>
          <w:rtl/>
        </w:rPr>
        <w:t>ו</w:t>
      </w:r>
      <w:r w:rsidR="001C1960" w:rsidRPr="004042DC">
        <w:rPr>
          <w:rFonts w:cs="David" w:hint="cs"/>
          <w:b/>
          <w:bCs/>
          <w:sz w:val="24"/>
          <w:szCs w:val="24"/>
          <w:u w:val="single"/>
          <w:rtl/>
        </w:rPr>
        <w:t xml:space="preserve"> </w:t>
      </w:r>
      <w:r w:rsidR="00493761" w:rsidRPr="004042DC">
        <w:rPr>
          <w:rFonts w:cs="David" w:hint="cs"/>
          <w:b/>
          <w:bCs/>
          <w:sz w:val="24"/>
          <w:szCs w:val="24"/>
          <w:u w:val="single"/>
          <w:rtl/>
        </w:rPr>
        <w:t>בציפיות כלליות</w:t>
      </w:r>
    </w:p>
    <w:p w14:paraId="6B469401" w14:textId="77777777" w:rsidR="004E492E" w:rsidRPr="004042DC" w:rsidRDefault="004C079C" w:rsidP="004042DC">
      <w:pPr>
        <w:pStyle w:val="a"/>
        <w:ind w:left="468" w:hanging="425"/>
        <w:contextualSpacing w:val="0"/>
        <w:rPr>
          <w:rFonts w:ascii="David" w:hAnsi="David"/>
        </w:rPr>
      </w:pPr>
      <w:r w:rsidRPr="004042DC">
        <w:rPr>
          <w:rFonts w:ascii="David" w:hAnsi="David" w:hint="cs"/>
          <w:rtl/>
        </w:rPr>
        <w:t xml:space="preserve">הטענה המרכזית שבה התמקדו העוררות בדיון בערר הייתה הניתוח שערך דדון בשומה מכרעת אפי קפיטל 2023, ובו הגדיר את </w:t>
      </w:r>
      <w:r w:rsidR="004E492E" w:rsidRPr="004042DC">
        <w:rPr>
          <w:rFonts w:ascii="David" w:hAnsi="David" w:hint="cs"/>
          <w:rtl/>
        </w:rPr>
        <w:t xml:space="preserve">התשלום הנוסף עבור </w:t>
      </w:r>
      <w:proofErr w:type="spellStart"/>
      <w:r w:rsidR="004E492E" w:rsidRPr="004042DC">
        <w:rPr>
          <w:rFonts w:ascii="David" w:hAnsi="David" w:hint="cs"/>
          <w:rtl/>
        </w:rPr>
        <w:t>סיחור</w:t>
      </w:r>
      <w:proofErr w:type="spellEnd"/>
      <w:r w:rsidR="004E492E" w:rsidRPr="004042DC">
        <w:rPr>
          <w:rFonts w:ascii="David" w:hAnsi="David" w:hint="cs"/>
          <w:rtl/>
        </w:rPr>
        <w:t xml:space="preserve"> אופציה בנכס מקרקעין כ"דמי תיווך"</w:t>
      </w:r>
      <w:r w:rsidRPr="004042DC">
        <w:rPr>
          <w:rFonts w:ascii="David" w:hAnsi="David" w:hint="cs"/>
          <w:rtl/>
        </w:rPr>
        <w:t>.</w:t>
      </w:r>
    </w:p>
    <w:p w14:paraId="0DA8E121" w14:textId="77777777" w:rsidR="000C7E71" w:rsidRPr="004042DC" w:rsidRDefault="004C079C" w:rsidP="004042DC">
      <w:pPr>
        <w:pStyle w:val="a"/>
        <w:ind w:left="468" w:hanging="425"/>
        <w:contextualSpacing w:val="0"/>
        <w:rPr>
          <w:rFonts w:ascii="David" w:hAnsi="David"/>
        </w:rPr>
      </w:pPr>
      <w:r w:rsidRPr="004042DC">
        <w:rPr>
          <w:rFonts w:ascii="David" w:hAnsi="David" w:hint="cs"/>
          <w:rtl/>
        </w:rPr>
        <w:t>אפשר</w:t>
      </w:r>
      <w:r w:rsidR="00CA7342" w:rsidRPr="004042DC">
        <w:rPr>
          <w:rFonts w:ascii="David" w:hAnsi="David" w:hint="cs"/>
          <w:rtl/>
        </w:rPr>
        <w:t xml:space="preserve"> שהגדרה זו אכן אינה מדויקת מבחינה משפטית, </w:t>
      </w:r>
      <w:r w:rsidR="004E492E" w:rsidRPr="004042DC">
        <w:rPr>
          <w:rFonts w:ascii="David" w:hAnsi="David" w:hint="cs"/>
          <w:rtl/>
        </w:rPr>
        <w:t>אולם אין בכך כל רבותא: תפקידו של שמאי מכריע אינו לבצע ניתוח משפטי</w:t>
      </w:r>
      <w:r w:rsidRPr="004042DC">
        <w:rPr>
          <w:rFonts w:ascii="David" w:hAnsi="David" w:hint="cs"/>
          <w:rtl/>
        </w:rPr>
        <w:t>,</w:t>
      </w:r>
      <w:r w:rsidR="004E492E" w:rsidRPr="004042DC">
        <w:rPr>
          <w:rFonts w:ascii="David" w:hAnsi="David" w:hint="cs"/>
          <w:rtl/>
        </w:rPr>
        <w:t xml:space="preserve"> אלא לבצע ניתוח שמאי, ובזה האחרון </w:t>
      </w:r>
      <w:r w:rsidR="004E492E" w:rsidRPr="004042DC">
        <w:rPr>
          <w:rFonts w:ascii="David" w:hAnsi="David"/>
          <w:rtl/>
        </w:rPr>
        <w:t>–</w:t>
      </w:r>
      <w:r w:rsidR="004E492E" w:rsidRPr="004042DC">
        <w:rPr>
          <w:rFonts w:ascii="David" w:hAnsi="David" w:hint="cs"/>
          <w:rtl/>
        </w:rPr>
        <w:t xml:space="preserve"> לא נפלה שגיאה. </w:t>
      </w:r>
    </w:p>
    <w:p w14:paraId="22D15EB8" w14:textId="77777777" w:rsidR="00C24698" w:rsidRPr="004042DC" w:rsidRDefault="000C7E71" w:rsidP="004042DC">
      <w:pPr>
        <w:pStyle w:val="a"/>
        <w:ind w:left="468" w:hanging="425"/>
        <w:contextualSpacing w:val="0"/>
        <w:rPr>
          <w:rFonts w:ascii="David" w:hAnsi="David"/>
        </w:rPr>
      </w:pPr>
      <w:r w:rsidRPr="004042DC">
        <w:rPr>
          <w:rFonts w:ascii="David" w:hAnsi="David" w:hint="cs"/>
          <w:rtl/>
        </w:rPr>
        <w:t>מ</w:t>
      </w:r>
      <w:r w:rsidR="004E492E" w:rsidRPr="004042DC">
        <w:rPr>
          <w:rFonts w:ascii="David" w:hAnsi="David" w:hint="cs"/>
          <w:rtl/>
        </w:rPr>
        <w:t xml:space="preserve">ן המפורסמות היא, כי </w:t>
      </w:r>
      <w:r w:rsidR="001D685A" w:rsidRPr="004042DC">
        <w:rPr>
          <w:rFonts w:ascii="David" w:hAnsi="David" w:hint="cs"/>
          <w:rtl/>
        </w:rPr>
        <w:t xml:space="preserve">המחירים המשולמים בעסקאות </w:t>
      </w:r>
      <w:r w:rsidR="004C079C" w:rsidRPr="004042DC">
        <w:rPr>
          <w:rFonts w:ascii="David" w:hAnsi="David" w:hint="cs"/>
          <w:rtl/>
        </w:rPr>
        <w:t xml:space="preserve">המתייחסות לנתחים זעירים של </w:t>
      </w:r>
      <w:r w:rsidR="001D685A" w:rsidRPr="004042DC">
        <w:rPr>
          <w:rFonts w:ascii="David" w:hAnsi="David" w:hint="cs"/>
          <w:rtl/>
        </w:rPr>
        <w:t xml:space="preserve">קרקע חקלאית משקפים </w:t>
      </w:r>
      <w:r w:rsidR="004C079C" w:rsidRPr="004042DC">
        <w:rPr>
          <w:rFonts w:ascii="David" w:hAnsi="David" w:hint="cs"/>
          <w:rtl/>
        </w:rPr>
        <w:t xml:space="preserve">במידה רבה </w:t>
      </w:r>
      <w:r w:rsidR="001D685A" w:rsidRPr="004042DC">
        <w:rPr>
          <w:rFonts w:ascii="David" w:hAnsi="David" w:hint="cs"/>
          <w:rtl/>
        </w:rPr>
        <w:t>את הציפיה לשינוי ייעוד עתידי, ולא את שוויה של הקרקע החקלאית בייעודה הנוכחי.</w:t>
      </w:r>
    </w:p>
    <w:p w14:paraId="552B875E" w14:textId="7D93700D" w:rsidR="00E777A6" w:rsidRPr="004042DC" w:rsidRDefault="000C7E71" w:rsidP="004042DC">
      <w:pPr>
        <w:pStyle w:val="a"/>
        <w:ind w:left="468" w:hanging="425"/>
        <w:contextualSpacing w:val="0"/>
        <w:rPr>
          <w:rFonts w:ascii="David" w:hAnsi="David"/>
        </w:rPr>
      </w:pPr>
      <w:r w:rsidRPr="004042DC">
        <w:rPr>
          <w:rFonts w:ascii="David" w:hAnsi="David" w:hint="cs"/>
          <w:rtl/>
        </w:rPr>
        <w:t>לא אחת נמצא, כי שטחים חקלאיים גדולים משווקים פ</w:t>
      </w:r>
      <w:r w:rsidR="00E777A6" w:rsidRPr="004042DC">
        <w:rPr>
          <w:rFonts w:ascii="David" w:hAnsi="David" w:hint="cs"/>
          <w:rtl/>
        </w:rPr>
        <w:t>ּ</w:t>
      </w:r>
      <w:r w:rsidRPr="004042DC">
        <w:rPr>
          <w:rFonts w:ascii="David" w:hAnsi="David" w:hint="cs"/>
          <w:rtl/>
        </w:rPr>
        <w:t>יסו</w:t>
      </w:r>
      <w:r w:rsidR="00E777A6" w:rsidRPr="004042DC">
        <w:rPr>
          <w:rFonts w:ascii="David" w:hAnsi="David" w:hint="cs"/>
          <w:rtl/>
        </w:rPr>
        <w:t>ֹ</w:t>
      </w:r>
      <w:r w:rsidRPr="004042DC">
        <w:rPr>
          <w:rFonts w:ascii="David" w:hAnsi="David" w:hint="cs"/>
          <w:rtl/>
        </w:rPr>
        <w:t xml:space="preserve">ת </w:t>
      </w:r>
      <w:r w:rsidR="00E777A6" w:rsidRPr="004042DC">
        <w:rPr>
          <w:rFonts w:ascii="David" w:hAnsi="David"/>
          <w:rtl/>
        </w:rPr>
        <w:t>–</w:t>
      </w:r>
      <w:r w:rsidR="00E777A6" w:rsidRPr="004042DC">
        <w:rPr>
          <w:rFonts w:ascii="David" w:hAnsi="David" w:hint="cs"/>
          <w:rtl/>
        </w:rPr>
        <w:t xml:space="preserve"> פּיסוֹת לאנשי</w:t>
      </w:r>
      <w:r w:rsidRPr="004042DC">
        <w:rPr>
          <w:rFonts w:ascii="David" w:hAnsi="David" w:hint="cs"/>
          <w:rtl/>
        </w:rPr>
        <w:t>ם פרטיים, שחולמים לזכות ביח"ד למגורים</w:t>
      </w:r>
      <w:r w:rsidR="00E777A6" w:rsidRPr="004042DC">
        <w:rPr>
          <w:rFonts w:ascii="David" w:hAnsi="David" w:hint="cs"/>
          <w:rtl/>
        </w:rPr>
        <w:t>. עסקאות אלו, נערכות ברמות מחירים שאינן מאפיינות קרקע לעיבוד חקלאי רגיל, אלא קרקע חקלאית עם חלום שביום מן הימים היא "תופשר" למגורים.</w:t>
      </w:r>
    </w:p>
    <w:p w14:paraId="01F508C7" w14:textId="77777777" w:rsidR="008837E6" w:rsidRDefault="004C079C" w:rsidP="004042DC">
      <w:pPr>
        <w:pStyle w:val="a"/>
        <w:ind w:left="468" w:hanging="425"/>
        <w:contextualSpacing w:val="0"/>
      </w:pPr>
      <w:r w:rsidRPr="004042DC">
        <w:rPr>
          <w:rFonts w:ascii="David" w:hAnsi="David" w:hint="cs"/>
          <w:rtl/>
        </w:rPr>
        <w:t xml:space="preserve">לא בכדי התגייס מחוקק המשנה להגנה על </w:t>
      </w:r>
      <w:r w:rsidR="008837E6" w:rsidRPr="004042DC">
        <w:rPr>
          <w:rFonts w:ascii="David" w:hAnsi="David" w:hint="cs"/>
          <w:rtl/>
        </w:rPr>
        <w:t xml:space="preserve">צרכנים שאינם בקיאים </w:t>
      </w:r>
      <w:r w:rsidR="004C277A" w:rsidRPr="004042DC">
        <w:rPr>
          <w:rFonts w:ascii="David" w:hAnsi="David" w:hint="cs"/>
          <w:rtl/>
        </w:rPr>
        <w:t>בענייני</w:t>
      </w:r>
      <w:r w:rsidR="008837E6" w:rsidRPr="004042DC">
        <w:rPr>
          <w:rFonts w:ascii="David" w:hAnsi="David" w:hint="cs"/>
          <w:rtl/>
        </w:rPr>
        <w:t xml:space="preserve"> תכנון, והתקין את</w:t>
      </w:r>
      <w:r w:rsidRPr="004042DC">
        <w:rPr>
          <w:rFonts w:ascii="David" w:hAnsi="David" w:hint="cs"/>
          <w:rtl/>
        </w:rPr>
        <w:t xml:space="preserve"> </w:t>
      </w:r>
      <w:r w:rsidRPr="004042DC">
        <w:rPr>
          <w:rFonts w:ascii="David" w:hAnsi="David"/>
          <w:rtl/>
        </w:rPr>
        <w:t xml:space="preserve">תקנות הגנת הצרכן </w:t>
      </w:r>
      <w:r w:rsidRPr="004042DC">
        <w:rPr>
          <w:rFonts w:ascii="David" w:hAnsi="David" w:hint="cs"/>
          <w:rtl/>
        </w:rPr>
        <w:t>(</w:t>
      </w:r>
      <w:r w:rsidRPr="004042DC">
        <w:rPr>
          <w:rFonts w:ascii="David" w:hAnsi="David"/>
          <w:rtl/>
        </w:rPr>
        <w:t>חובת גילוי פרטים במכירת קרקע שאינה זמינה לבנייה</w:t>
      </w:r>
      <w:r w:rsidRPr="004042DC">
        <w:rPr>
          <w:rFonts w:ascii="David" w:hAnsi="David" w:hint="cs"/>
          <w:rtl/>
        </w:rPr>
        <w:t xml:space="preserve">), </w:t>
      </w:r>
      <w:r w:rsidRPr="004042DC">
        <w:rPr>
          <w:rFonts w:ascii="David" w:hAnsi="David"/>
          <w:rtl/>
        </w:rPr>
        <w:t>תשע"ז</w:t>
      </w:r>
      <w:r w:rsidRPr="004042DC">
        <w:rPr>
          <w:rFonts w:ascii="David" w:hAnsi="David" w:hint="cs"/>
          <w:rtl/>
        </w:rPr>
        <w:t xml:space="preserve"> </w:t>
      </w:r>
      <w:r w:rsidRPr="004042DC">
        <w:rPr>
          <w:rFonts w:ascii="David" w:hAnsi="David"/>
          <w:rtl/>
        </w:rPr>
        <w:t>–</w:t>
      </w:r>
      <w:r w:rsidRPr="004042DC">
        <w:rPr>
          <w:rFonts w:ascii="David" w:hAnsi="David" w:hint="cs"/>
          <w:rtl/>
        </w:rPr>
        <w:t xml:space="preserve"> 2016</w:t>
      </w:r>
      <w:r w:rsidR="008837E6" w:rsidRPr="004042DC">
        <w:rPr>
          <w:rFonts w:ascii="David" w:hAnsi="David" w:hint="cs"/>
          <w:rtl/>
        </w:rPr>
        <w:t>. תקנות אלו</w:t>
      </w:r>
      <w:r w:rsidRPr="004042DC">
        <w:rPr>
          <w:rFonts w:ascii="David" w:hAnsi="David" w:hint="cs"/>
          <w:rtl/>
        </w:rPr>
        <w:t xml:space="preserve"> מחייבות להציג לקונה של</w:t>
      </w:r>
      <w:r w:rsidRPr="004042DC">
        <w:rPr>
          <w:rFonts w:ascii="David" w:hAnsi="David"/>
          <w:rtl/>
        </w:rPr>
        <w:t xml:space="preserve"> קרקע חקלאית למכירה</w:t>
      </w:r>
      <w:r w:rsidRPr="004042DC">
        <w:rPr>
          <w:rFonts w:ascii="David" w:hAnsi="David" w:hint="cs"/>
          <w:rtl/>
        </w:rPr>
        <w:t>,</w:t>
      </w:r>
      <w:r w:rsidRPr="004042DC">
        <w:rPr>
          <w:rFonts w:ascii="David" w:hAnsi="David"/>
          <w:rtl/>
        </w:rPr>
        <w:t xml:space="preserve"> על בסיס ציפייה כי היא תופשר לבניה</w:t>
      </w:r>
      <w:r w:rsidRPr="004042DC">
        <w:rPr>
          <w:rFonts w:ascii="David" w:hAnsi="David" w:hint="cs"/>
          <w:rtl/>
        </w:rPr>
        <w:t xml:space="preserve"> </w:t>
      </w:r>
      <w:r w:rsidRPr="004042DC">
        <w:rPr>
          <w:rFonts w:ascii="David" w:hAnsi="David"/>
          <w:rtl/>
        </w:rPr>
        <w:t>בעתיד</w:t>
      </w:r>
      <w:r w:rsidRPr="004042DC">
        <w:rPr>
          <w:rFonts w:ascii="David" w:hAnsi="David" w:hint="cs"/>
          <w:rtl/>
        </w:rPr>
        <w:t xml:space="preserve">, </w:t>
      </w:r>
      <w:r w:rsidRPr="004042DC">
        <w:rPr>
          <w:rFonts w:ascii="David" w:hAnsi="David"/>
          <w:rtl/>
        </w:rPr>
        <w:lastRenderedPageBreak/>
        <w:t xml:space="preserve">שומת מקרקעין הערוכה לפי </w:t>
      </w:r>
      <w:r w:rsidR="008837E6" w:rsidRPr="004042DC">
        <w:rPr>
          <w:rFonts w:ascii="David" w:hAnsi="David" w:hint="cs"/>
          <w:rtl/>
        </w:rPr>
        <w:t>תקן 22.0 בדבר פ</w:t>
      </w:r>
      <w:r w:rsidR="008837E6" w:rsidRPr="004042DC">
        <w:rPr>
          <w:rFonts w:ascii="David" w:hAnsi="David"/>
          <w:rtl/>
        </w:rPr>
        <w:t>רוט מזערי נדרש בשומה לקרקע המשווקת לציבור על</w:t>
      </w:r>
      <w:r w:rsidR="008837E6" w:rsidRPr="00E777A6">
        <w:rPr>
          <w:rtl/>
        </w:rPr>
        <w:t xml:space="preserve"> בסיס ציפיות</w:t>
      </w:r>
      <w:r w:rsidR="008837E6">
        <w:rPr>
          <w:rFonts w:hint="cs"/>
          <w:rtl/>
        </w:rPr>
        <w:t xml:space="preserve"> מחודש אוקטובר 2014 (להלן: "</w:t>
      </w:r>
      <w:r w:rsidR="008837E6" w:rsidRPr="00E777A6">
        <w:rPr>
          <w:rFonts w:hint="cs"/>
          <w:b/>
          <w:bCs/>
          <w:rtl/>
        </w:rPr>
        <w:t>תקן 22</w:t>
      </w:r>
      <w:r w:rsidR="008837E6">
        <w:rPr>
          <w:rFonts w:hint="cs"/>
          <w:rtl/>
        </w:rPr>
        <w:t>").</w:t>
      </w:r>
    </w:p>
    <w:p w14:paraId="305E75CA" w14:textId="77777777" w:rsidR="00E777A6" w:rsidRPr="008837E6" w:rsidRDefault="00E777A6" w:rsidP="00E1333E">
      <w:pPr>
        <w:pStyle w:val="af1"/>
        <w:numPr>
          <w:ilvl w:val="0"/>
          <w:numId w:val="1"/>
        </w:numPr>
        <w:spacing w:after="120" w:line="360" w:lineRule="auto"/>
        <w:ind w:left="470" w:right="-142" w:hanging="425"/>
        <w:contextualSpacing w:val="0"/>
        <w:jc w:val="both"/>
        <w:rPr>
          <w:rFonts w:cs="David"/>
          <w:sz w:val="24"/>
          <w:szCs w:val="24"/>
        </w:rPr>
      </w:pPr>
      <w:r w:rsidRPr="008837E6">
        <w:rPr>
          <w:rFonts w:cs="David" w:hint="cs"/>
          <w:sz w:val="24"/>
          <w:szCs w:val="24"/>
          <w:rtl/>
        </w:rPr>
        <w:t xml:space="preserve">במבוא לתקן </w:t>
      </w:r>
      <w:r w:rsidR="008837E6">
        <w:rPr>
          <w:rFonts w:cs="David" w:hint="cs"/>
          <w:sz w:val="24"/>
          <w:szCs w:val="24"/>
          <w:rtl/>
        </w:rPr>
        <w:t xml:space="preserve">22 </w:t>
      </w:r>
      <w:r w:rsidR="004C277A">
        <w:rPr>
          <w:rFonts w:cs="David" w:hint="cs"/>
          <w:sz w:val="24"/>
          <w:szCs w:val="24"/>
          <w:rtl/>
        </w:rPr>
        <w:t>הוסברה מטרתו - להזהיר את הקונים של קרקע חקלאית ספקולטיבית</w:t>
      </w:r>
      <w:r w:rsidRPr="008837E6">
        <w:rPr>
          <w:rFonts w:cs="David" w:hint="cs"/>
          <w:sz w:val="24"/>
          <w:szCs w:val="24"/>
          <w:rtl/>
        </w:rPr>
        <w:t>:</w:t>
      </w:r>
    </w:p>
    <w:p w14:paraId="32D98267" w14:textId="77777777" w:rsidR="00E777A6" w:rsidRDefault="00E777A6" w:rsidP="00E777A6">
      <w:pPr>
        <w:pStyle w:val="P00"/>
        <w:tabs>
          <w:tab w:val="clear" w:pos="624"/>
          <w:tab w:val="clear" w:pos="1928"/>
          <w:tab w:val="clear" w:pos="2381"/>
          <w:tab w:val="clear" w:pos="2835"/>
          <w:tab w:val="left" w:pos="893"/>
        </w:tabs>
        <w:spacing w:before="72" w:after="240"/>
        <w:ind w:left="1179" w:right="1134"/>
        <w:rPr>
          <w:rStyle w:val="big-number"/>
          <w:rFonts w:ascii="FrankRuehl" w:hAnsi="FrankRuehl"/>
          <w:noProof w:val="0"/>
          <w:sz w:val="24"/>
          <w:szCs w:val="24"/>
          <w:rtl/>
        </w:rPr>
      </w:pPr>
      <w:r w:rsidRPr="00E777A6">
        <w:rPr>
          <w:rStyle w:val="big-number"/>
          <w:rFonts w:ascii="FrankRuehl" w:hAnsi="FrankRuehl" w:hint="cs"/>
          <w:noProof w:val="0"/>
          <w:sz w:val="24"/>
          <w:szCs w:val="24"/>
          <w:rtl/>
        </w:rPr>
        <w:t>"</w:t>
      </w:r>
      <w:r w:rsidR="000E1D98">
        <w:rPr>
          <w:rStyle w:val="big-number"/>
          <w:rFonts w:ascii="FrankRuehl" w:hAnsi="FrankRuehl" w:hint="cs"/>
          <w:noProof w:val="0"/>
          <w:sz w:val="24"/>
          <w:szCs w:val="24"/>
          <w:rtl/>
        </w:rPr>
        <w:t xml:space="preserve">1.2 </w:t>
      </w:r>
      <w:r w:rsidRPr="00E777A6">
        <w:rPr>
          <w:rStyle w:val="big-number"/>
          <w:rFonts w:ascii="FrankRuehl" w:hAnsi="FrankRuehl" w:hint="cs"/>
          <w:noProof w:val="0"/>
          <w:sz w:val="24"/>
          <w:szCs w:val="24"/>
          <w:rtl/>
        </w:rPr>
        <w:t>במקרים רבים המשווקים אינם נותנים בידי הרוכשים הפוטנציאליים את המידע המלא והנדרש לקבלת החלטה מושכלת לגבי רכישת הקרקע, ולרוכש אין את הכלים לאמוד נכונה את הסבירות והסיכויים להפיכת הקרקע לזמינה לבנייה על פי המוצג, וכן את הסיכונים הכרוכים בהליכים הנדרשים. כך גם אין ביכולתו של הרוכש הפוטנציאלי לאמוד את משך הזמן ואת העלויות הכרוכים בהפיכת הקרקע לזמינה לבניה, ככל וזו תאושר בעתיד.</w:t>
      </w:r>
    </w:p>
    <w:p w14:paraId="5D6C86DA" w14:textId="77777777" w:rsidR="000E1D98" w:rsidRDefault="000E1D98" w:rsidP="00E777A6">
      <w:pPr>
        <w:pStyle w:val="P00"/>
        <w:tabs>
          <w:tab w:val="clear" w:pos="624"/>
          <w:tab w:val="clear" w:pos="1928"/>
          <w:tab w:val="clear" w:pos="2381"/>
          <w:tab w:val="clear" w:pos="2835"/>
          <w:tab w:val="left" w:pos="893"/>
        </w:tabs>
        <w:spacing w:before="72" w:after="240"/>
        <w:ind w:left="1179" w:right="1134"/>
        <w:rPr>
          <w:rStyle w:val="big-number"/>
          <w:rFonts w:ascii="FrankRuehl" w:hAnsi="FrankRuehl"/>
          <w:noProof w:val="0"/>
          <w:sz w:val="24"/>
          <w:szCs w:val="24"/>
          <w:rtl/>
        </w:rPr>
      </w:pPr>
      <w:r>
        <w:rPr>
          <w:rStyle w:val="big-number"/>
          <w:rFonts w:ascii="FrankRuehl" w:hAnsi="FrankRuehl" w:hint="cs"/>
          <w:noProof w:val="0"/>
          <w:sz w:val="24"/>
          <w:szCs w:val="24"/>
          <w:rtl/>
        </w:rPr>
        <w:t>1.3 תקן זה נועד לאפשר לציבור השוקל רכישה של קרקע (כפי שתוגדר להלן) לקבל מהמציע, או מהמשווק, את המידע המלא הנדרש ותמונה מקיפה לצורך קבלת החלטוה מושכלת האם לרכוש את הקרקע המוצעת לו."</w:t>
      </w:r>
    </w:p>
    <w:p w14:paraId="277E4671" w14:textId="6F4609FB" w:rsidR="000E1D98" w:rsidRPr="004C277A" w:rsidRDefault="000E1D98" w:rsidP="004042DC">
      <w:pPr>
        <w:pStyle w:val="a"/>
        <w:ind w:left="468" w:hanging="425"/>
        <w:contextualSpacing w:val="0"/>
      </w:pPr>
      <w:r w:rsidRPr="004C277A">
        <w:rPr>
          <w:rFonts w:hint="cs"/>
          <w:rtl/>
        </w:rPr>
        <w:t xml:space="preserve">איננו מקבלות את טענת העוררות, כי </w:t>
      </w:r>
      <w:r w:rsidR="004C277A" w:rsidRPr="004C277A">
        <w:rPr>
          <w:rFonts w:hint="cs"/>
          <w:rtl/>
        </w:rPr>
        <w:t>מן החובה להציג בפני קונה שומת מקרקעין לפי תקן 22 עולה,</w:t>
      </w:r>
      <w:r w:rsidR="004C277A">
        <w:rPr>
          <w:rFonts w:hint="cs"/>
          <w:rtl/>
        </w:rPr>
        <w:t xml:space="preserve"> שקרקע חקלאית ספקולטיבית נמכרת במחיר של קרקע חקלאית לעיבוד חקלאי</w:t>
      </w:r>
      <w:r w:rsidRPr="004C277A">
        <w:rPr>
          <w:rFonts w:hint="cs"/>
          <w:rtl/>
        </w:rPr>
        <w:t>.</w:t>
      </w:r>
      <w:r w:rsidR="004C277A">
        <w:rPr>
          <w:rFonts w:hint="cs"/>
          <w:rtl/>
        </w:rPr>
        <w:t xml:space="preserve"> ההיפך הוא הנכון: </w:t>
      </w:r>
      <w:r w:rsidRPr="004C277A">
        <w:rPr>
          <w:rFonts w:hint="cs"/>
          <w:rtl/>
        </w:rPr>
        <w:t xml:space="preserve">חובה </w:t>
      </w:r>
      <w:r w:rsidR="004C277A">
        <w:rPr>
          <w:rFonts w:hint="cs"/>
          <w:rtl/>
        </w:rPr>
        <w:t xml:space="preserve">זו שקולה </w:t>
      </w:r>
      <w:r w:rsidRPr="004C277A">
        <w:rPr>
          <w:rFonts w:hint="cs"/>
          <w:rtl/>
        </w:rPr>
        <w:t xml:space="preserve">לחובה לסמן במדבקה אדומה מוצרים ארוזים המכילים </w:t>
      </w:r>
      <w:r w:rsidRPr="004042DC">
        <w:rPr>
          <w:rFonts w:ascii="David" w:hAnsi="David" w:hint="cs"/>
          <w:rtl/>
        </w:rPr>
        <w:t>כמויות</w:t>
      </w:r>
      <w:r w:rsidRPr="004C277A">
        <w:rPr>
          <w:rFonts w:hint="cs"/>
          <w:rtl/>
        </w:rPr>
        <w:t xml:space="preserve"> גבוהות של סוכר, נתרן או שומן רווי</w:t>
      </w:r>
      <w:r w:rsidR="004C277A">
        <w:rPr>
          <w:rFonts w:hint="cs"/>
          <w:rtl/>
        </w:rPr>
        <w:t>. מטרת החובה: לגרום לכך שקונה</w:t>
      </w:r>
      <w:r w:rsidRPr="004C277A">
        <w:rPr>
          <w:rFonts w:hint="cs"/>
          <w:rtl/>
        </w:rPr>
        <w:t xml:space="preserve"> יֵדַע </w:t>
      </w:r>
      <w:r w:rsidR="004C277A">
        <w:rPr>
          <w:rFonts w:hint="cs"/>
          <w:rtl/>
        </w:rPr>
        <w:t>ו</w:t>
      </w:r>
      <w:r w:rsidRPr="004C277A">
        <w:rPr>
          <w:rFonts w:hint="cs"/>
          <w:rtl/>
        </w:rPr>
        <w:t xml:space="preserve">ייקח בחשבון את הסיכון בעת שהוא </w:t>
      </w:r>
      <w:r w:rsidR="00356BC2" w:rsidRPr="004C277A">
        <w:rPr>
          <w:rFonts w:hint="cs"/>
          <w:rtl/>
        </w:rPr>
        <w:t>מתקשר בעסקה</w:t>
      </w:r>
      <w:r w:rsidRPr="004C277A">
        <w:rPr>
          <w:rFonts w:hint="cs"/>
          <w:rtl/>
        </w:rPr>
        <w:t>.</w:t>
      </w:r>
      <w:r w:rsidR="00B51362" w:rsidRPr="004C277A">
        <w:rPr>
          <w:rFonts w:hint="cs"/>
          <w:rtl/>
        </w:rPr>
        <w:t xml:space="preserve"> </w:t>
      </w:r>
    </w:p>
    <w:p w14:paraId="32613072" w14:textId="77777777" w:rsidR="001E4CF0" w:rsidRPr="00DD1F45" w:rsidRDefault="004C277A" w:rsidP="004042DC">
      <w:pPr>
        <w:pStyle w:val="a"/>
        <w:ind w:left="468" w:hanging="425"/>
        <w:contextualSpacing w:val="0"/>
      </w:pPr>
      <w:r w:rsidRPr="00DD1F45">
        <w:rPr>
          <w:rFonts w:hint="cs"/>
          <w:rtl/>
        </w:rPr>
        <w:t xml:space="preserve">על כן, לא נפל פגם בעצם ההבחנה שערכו השמאים המכריעים בין שווי קרקע חקלאית הכוללת ציפיות לשווי קרקע חקלאית שאינה כוללת </w:t>
      </w:r>
      <w:r w:rsidR="001E4CF0" w:rsidRPr="00DD1F45">
        <w:rPr>
          <w:rFonts w:hint="cs"/>
          <w:rtl/>
        </w:rPr>
        <w:t>חלום לשינוי ייעודה למגורים.</w:t>
      </w:r>
      <w:r w:rsidRPr="00DD1F45">
        <w:rPr>
          <w:rFonts w:hint="cs"/>
          <w:rtl/>
        </w:rPr>
        <w:t xml:space="preserve"> השאלה </w:t>
      </w:r>
      <w:r w:rsidR="001E4CF0" w:rsidRPr="004042DC">
        <w:rPr>
          <w:rFonts w:ascii="David" w:hAnsi="David" w:hint="cs"/>
          <w:rtl/>
        </w:rPr>
        <w:t>הנשאלת</w:t>
      </w:r>
      <w:r w:rsidR="001E4CF0" w:rsidRPr="00DD1F45">
        <w:rPr>
          <w:rFonts w:hint="cs"/>
          <w:rtl/>
        </w:rPr>
        <w:t xml:space="preserve"> היא, </w:t>
      </w:r>
      <w:r w:rsidR="00DD1F45">
        <w:rPr>
          <w:rFonts w:hint="cs"/>
          <w:rtl/>
        </w:rPr>
        <w:t xml:space="preserve">מהו השווי הרלוונטי שיילקח בחשבון בשומת </w:t>
      </w:r>
      <w:r w:rsidR="001E4CF0" w:rsidRPr="00DD1F45">
        <w:rPr>
          <w:rFonts w:hint="cs"/>
          <w:rtl/>
        </w:rPr>
        <w:t xml:space="preserve">היטל השבחה </w:t>
      </w:r>
      <w:r w:rsidR="00DD1F45">
        <w:rPr>
          <w:rFonts w:hint="cs"/>
          <w:rtl/>
        </w:rPr>
        <w:t xml:space="preserve">הנערכת </w:t>
      </w:r>
      <w:r w:rsidR="001E4CF0" w:rsidRPr="00DD1F45">
        <w:rPr>
          <w:rFonts w:hint="cs"/>
          <w:rtl/>
        </w:rPr>
        <w:t>בעקבות אישור תוכנית לשינוי ייעוד המקרקעין למגורים.</w:t>
      </w:r>
    </w:p>
    <w:p w14:paraId="558C659F" w14:textId="77777777" w:rsidR="00BC4D83" w:rsidRDefault="001E4CF0" w:rsidP="004042DC">
      <w:pPr>
        <w:pStyle w:val="a"/>
        <w:ind w:left="468" w:hanging="425"/>
        <w:contextualSpacing w:val="0"/>
      </w:pPr>
      <w:r w:rsidRPr="00BC4D83">
        <w:rPr>
          <w:rFonts w:hint="cs"/>
          <w:rtl/>
        </w:rPr>
        <w:t xml:space="preserve">ההלכה לעניין התחשבות בציפיות תכנוניות בעת עריכת שומת היטל השבחה נקבעה בפסק הדין </w:t>
      </w:r>
      <w:proofErr w:type="spellStart"/>
      <w:r w:rsidRPr="00BC4D83">
        <w:rPr>
          <w:rFonts w:hint="cs"/>
          <w:rtl/>
        </w:rPr>
        <w:t>ב</w:t>
      </w:r>
      <w:r w:rsidRPr="00BC4D83">
        <w:rPr>
          <w:rtl/>
        </w:rPr>
        <w:t>רע"א</w:t>
      </w:r>
      <w:proofErr w:type="spellEnd"/>
      <w:r w:rsidRPr="00BC4D83">
        <w:rPr>
          <w:rtl/>
        </w:rPr>
        <w:t xml:space="preserve"> 4487/01 </w:t>
      </w:r>
      <w:r w:rsidRPr="00BC4D83">
        <w:rPr>
          <w:b/>
          <w:bCs/>
          <w:rtl/>
        </w:rPr>
        <w:t xml:space="preserve">הוועדה המקומית לתכנון ולבנייה רחובות נ' מ. </w:t>
      </w:r>
      <w:proofErr w:type="spellStart"/>
      <w:r w:rsidRPr="00BC4D83">
        <w:rPr>
          <w:b/>
          <w:bCs/>
          <w:rtl/>
        </w:rPr>
        <w:t>לוסטרניק</w:t>
      </w:r>
      <w:proofErr w:type="spellEnd"/>
      <w:r w:rsidRPr="00BC4D83">
        <w:rPr>
          <w:b/>
          <w:bCs/>
          <w:rtl/>
        </w:rPr>
        <w:t xml:space="preserve"> ובנו</w:t>
      </w:r>
      <w:r w:rsidRPr="00BC4D83">
        <w:rPr>
          <w:rFonts w:hint="cs"/>
          <w:rtl/>
        </w:rPr>
        <w:t xml:space="preserve"> (</w:t>
      </w:r>
      <w:r w:rsidRPr="00BC4D83">
        <w:rPr>
          <w:rtl/>
        </w:rPr>
        <w:t>פורסם בנבו, 22.6.2003)</w:t>
      </w:r>
      <w:r w:rsidR="00BC4D83" w:rsidRPr="00BC4D83">
        <w:rPr>
          <w:rFonts w:hint="cs"/>
          <w:rtl/>
        </w:rPr>
        <w:t xml:space="preserve"> (להלן: "</w:t>
      </w:r>
      <w:proofErr w:type="spellStart"/>
      <w:r w:rsidR="00BC4D83" w:rsidRPr="00BC4D83">
        <w:rPr>
          <w:rFonts w:hint="cs"/>
          <w:b/>
          <w:bCs/>
          <w:rtl/>
        </w:rPr>
        <w:t>לוסטרניק</w:t>
      </w:r>
      <w:proofErr w:type="spellEnd"/>
      <w:r w:rsidR="00BC4D83" w:rsidRPr="00BC4D83">
        <w:rPr>
          <w:rFonts w:hint="cs"/>
          <w:rtl/>
        </w:rPr>
        <w:t xml:space="preserve">"). בעניין </w:t>
      </w:r>
      <w:proofErr w:type="spellStart"/>
      <w:r w:rsidR="00BC4D83" w:rsidRPr="00BC4D83">
        <w:rPr>
          <w:rFonts w:hint="cs"/>
          <w:b/>
          <w:bCs/>
          <w:rtl/>
        </w:rPr>
        <w:t>לוסטרניק</w:t>
      </w:r>
      <w:proofErr w:type="spellEnd"/>
      <w:r w:rsidR="00BC4D83" w:rsidRPr="00BC4D83">
        <w:rPr>
          <w:rFonts w:hint="cs"/>
          <w:rtl/>
        </w:rPr>
        <w:t xml:space="preserve"> נקבע, כי </w:t>
      </w:r>
      <w:r w:rsidR="00BC4D83" w:rsidRPr="00BC4D83">
        <w:rPr>
          <w:rtl/>
        </w:rPr>
        <w:t>בשומת מקרקעין ניתן לכלול ציפיות כלליות</w:t>
      </w:r>
      <w:r w:rsidR="00BC4D83" w:rsidRPr="00BC4D83">
        <w:rPr>
          <w:rFonts w:hint="cs"/>
          <w:rtl/>
        </w:rPr>
        <w:t xml:space="preserve"> </w:t>
      </w:r>
      <w:r w:rsidR="00BC4D83" w:rsidRPr="00BC4D83">
        <w:rPr>
          <w:rtl/>
        </w:rPr>
        <w:t>לפיתוח המקרקעין,</w:t>
      </w:r>
      <w:r w:rsidR="00BC4D83">
        <w:rPr>
          <w:rFonts w:hint="cs"/>
          <w:rtl/>
        </w:rPr>
        <w:t xml:space="preserve"> כגון בשל סוג הנכס ומיקומו, אך</w:t>
      </w:r>
      <w:r w:rsidR="00BC4D83" w:rsidRPr="00BC4D83">
        <w:rPr>
          <w:rtl/>
        </w:rPr>
        <w:t xml:space="preserve"> </w:t>
      </w:r>
      <w:r w:rsidR="00BC4D83" w:rsidRPr="00BC4D83">
        <w:rPr>
          <w:rFonts w:hint="cs"/>
          <w:rtl/>
        </w:rPr>
        <w:t xml:space="preserve">לא </w:t>
      </w:r>
      <w:r w:rsidR="00BC4D83" w:rsidRPr="00BC4D83">
        <w:rPr>
          <w:rtl/>
        </w:rPr>
        <w:t xml:space="preserve">ציפיות </w:t>
      </w:r>
      <w:r w:rsidR="00BC4D83" w:rsidRPr="00BC4D83">
        <w:rPr>
          <w:rFonts w:hint="cs"/>
          <w:rtl/>
        </w:rPr>
        <w:t xml:space="preserve">מסוימות, </w:t>
      </w:r>
      <w:r w:rsidR="00BC4D83" w:rsidRPr="00BC4D83">
        <w:rPr>
          <w:rtl/>
        </w:rPr>
        <w:t>הנובעות באופן ישיר</w:t>
      </w:r>
      <w:r w:rsidR="00BC4D83">
        <w:rPr>
          <w:rFonts w:hint="cs"/>
          <w:rtl/>
        </w:rPr>
        <w:t xml:space="preserve"> </w:t>
      </w:r>
      <w:r w:rsidR="00BC4D83" w:rsidRPr="00BC4D83">
        <w:rPr>
          <w:rtl/>
        </w:rPr>
        <w:t>מהת</w:t>
      </w:r>
      <w:r w:rsidR="00BC4D83">
        <w:rPr>
          <w:rFonts w:hint="cs"/>
          <w:rtl/>
        </w:rPr>
        <w:t>ו</w:t>
      </w:r>
      <w:r w:rsidR="00BC4D83" w:rsidRPr="00BC4D83">
        <w:rPr>
          <w:rtl/>
        </w:rPr>
        <w:t>כנית המשביחה</w:t>
      </w:r>
      <w:r w:rsidR="00BC4D83">
        <w:rPr>
          <w:rFonts w:hint="cs"/>
          <w:rtl/>
        </w:rPr>
        <w:t xml:space="preserve">. התחשבות בעליית ערך הנובעת מהציפייה לאישור תוכנית משביחה תביא לצמצום, ואף לאיון, ההשבחה הנובעת מהתוכנית שבגינה משולם היטל ההשבחה. המבחן שננקט בעניין </w:t>
      </w:r>
      <w:proofErr w:type="spellStart"/>
      <w:r w:rsidR="00BC4D83" w:rsidRPr="00BC4D83">
        <w:rPr>
          <w:rFonts w:hint="cs"/>
          <w:b/>
          <w:bCs/>
          <w:rtl/>
        </w:rPr>
        <w:t>לוסטרניק</w:t>
      </w:r>
      <w:proofErr w:type="spellEnd"/>
      <w:r w:rsidR="00BC4D83">
        <w:rPr>
          <w:rFonts w:hint="cs"/>
          <w:rtl/>
        </w:rPr>
        <w:t xml:space="preserve"> הוא מבחן הקשר הסיבתי בין התוכנית המשביחה לבין עליית הערך.</w:t>
      </w:r>
    </w:p>
    <w:p w14:paraId="0623674C" w14:textId="3EC5B0DA" w:rsidR="00BC4D83" w:rsidRDefault="00BC4D83" w:rsidP="006F0476">
      <w:pPr>
        <w:pStyle w:val="af1"/>
        <w:numPr>
          <w:ilvl w:val="0"/>
          <w:numId w:val="1"/>
        </w:numPr>
        <w:spacing w:after="120" w:line="360" w:lineRule="auto"/>
        <w:ind w:left="470" w:right="-142" w:hanging="425"/>
        <w:contextualSpacing w:val="0"/>
        <w:jc w:val="both"/>
        <w:rPr>
          <w:rFonts w:cs="David"/>
          <w:sz w:val="24"/>
          <w:szCs w:val="24"/>
        </w:rPr>
      </w:pPr>
      <w:proofErr w:type="spellStart"/>
      <w:r>
        <w:rPr>
          <w:rFonts w:cs="David" w:hint="cs"/>
          <w:sz w:val="24"/>
          <w:szCs w:val="24"/>
          <w:rtl/>
        </w:rPr>
        <w:t>בבר"ם</w:t>
      </w:r>
      <w:proofErr w:type="spellEnd"/>
      <w:r>
        <w:rPr>
          <w:rFonts w:cs="David" w:hint="cs"/>
          <w:sz w:val="24"/>
          <w:szCs w:val="24"/>
          <w:rtl/>
        </w:rPr>
        <w:t xml:space="preserve"> 1975/24 </w:t>
      </w:r>
      <w:r w:rsidRPr="00BC4D83">
        <w:rPr>
          <w:rFonts w:cs="David" w:hint="cs"/>
          <w:b/>
          <w:bCs/>
          <w:sz w:val="24"/>
          <w:szCs w:val="24"/>
          <w:rtl/>
        </w:rPr>
        <w:t xml:space="preserve">הוועדה המקומית לתכנון ולבנייה תל אביב נ' </w:t>
      </w:r>
      <w:proofErr w:type="spellStart"/>
      <w:r w:rsidRPr="00BC4D83">
        <w:rPr>
          <w:rFonts w:cs="David" w:hint="cs"/>
          <w:b/>
          <w:bCs/>
          <w:sz w:val="24"/>
          <w:szCs w:val="24"/>
          <w:rtl/>
        </w:rPr>
        <w:t>לויתן</w:t>
      </w:r>
      <w:proofErr w:type="spellEnd"/>
      <w:r w:rsidRPr="00BC4D83">
        <w:rPr>
          <w:rFonts w:cs="David" w:hint="cs"/>
          <w:b/>
          <w:bCs/>
          <w:sz w:val="24"/>
          <w:szCs w:val="24"/>
          <w:rtl/>
        </w:rPr>
        <w:t xml:space="preserve"> אדיב שמואל</w:t>
      </w:r>
      <w:r>
        <w:rPr>
          <w:rFonts w:cs="David" w:hint="cs"/>
          <w:sz w:val="24"/>
          <w:szCs w:val="24"/>
          <w:rtl/>
        </w:rPr>
        <w:t xml:space="preserve"> (פורסם בנבו, 16.10.2025) נפסק, כי ציפיות שמתעוררות בעקבות תמ"א 38 דומות יותר במהותן לציפייה כללית לשינוי תכנוני, שאותה אין לנטרל לפי הלכת </w:t>
      </w:r>
      <w:proofErr w:type="spellStart"/>
      <w:r w:rsidRPr="00BC4D83">
        <w:rPr>
          <w:rFonts w:cs="David" w:hint="cs"/>
          <w:b/>
          <w:bCs/>
          <w:sz w:val="24"/>
          <w:szCs w:val="24"/>
          <w:rtl/>
        </w:rPr>
        <w:t>לוסטרניק</w:t>
      </w:r>
      <w:proofErr w:type="spellEnd"/>
      <w:r>
        <w:rPr>
          <w:rFonts w:cs="David" w:hint="cs"/>
          <w:sz w:val="24"/>
          <w:szCs w:val="24"/>
          <w:rtl/>
        </w:rPr>
        <w:t>.</w:t>
      </w:r>
      <w:r w:rsidR="0022145B">
        <w:rPr>
          <w:rFonts w:cs="David" w:hint="cs"/>
          <w:sz w:val="24"/>
          <w:szCs w:val="24"/>
          <w:rtl/>
        </w:rPr>
        <w:t xml:space="preserve"> אולם, לא זה המקרה שלפנינו.</w:t>
      </w:r>
    </w:p>
    <w:p w14:paraId="173E7C9E" w14:textId="4FEC89EC" w:rsidR="009338F3" w:rsidRDefault="00BC4D83" w:rsidP="004042DC">
      <w:pPr>
        <w:pStyle w:val="a"/>
        <w:ind w:left="468" w:hanging="425"/>
        <w:contextualSpacing w:val="0"/>
      </w:pPr>
      <w:r>
        <w:rPr>
          <w:rFonts w:hint="cs"/>
          <w:rtl/>
        </w:rPr>
        <w:t xml:space="preserve">במקרה שלפנינו, המקרקעין </w:t>
      </w:r>
      <w:r w:rsidR="00904A20">
        <w:rPr>
          <w:rFonts w:hint="cs"/>
          <w:rtl/>
        </w:rPr>
        <w:t xml:space="preserve">נכללו בתחום </w:t>
      </w:r>
      <w:r>
        <w:rPr>
          <w:rFonts w:hint="cs"/>
          <w:rtl/>
        </w:rPr>
        <w:t>תוכנית אב</w:t>
      </w:r>
      <w:r w:rsidR="00E74A8D">
        <w:rPr>
          <w:rFonts w:hint="cs"/>
          <w:rtl/>
        </w:rPr>
        <w:t xml:space="preserve"> להרחבת היישוב אליכין </w:t>
      </w:r>
      <w:r w:rsidR="00E74A8D">
        <w:rPr>
          <w:rtl/>
        </w:rPr>
        <w:t>–</w:t>
      </w:r>
      <w:r w:rsidR="00E74A8D">
        <w:rPr>
          <w:rFonts w:hint="cs"/>
          <w:rtl/>
        </w:rPr>
        <w:t xml:space="preserve"> תוכנית אב</w:t>
      </w:r>
      <w:r w:rsidR="00904A20">
        <w:rPr>
          <w:rFonts w:hint="cs"/>
          <w:rtl/>
        </w:rPr>
        <w:t xml:space="preserve"> ש</w:t>
      </w:r>
      <w:r w:rsidR="009338F3">
        <w:rPr>
          <w:rFonts w:hint="cs"/>
          <w:rtl/>
        </w:rPr>
        <w:t xml:space="preserve">אומצה על ידי הוועדה המחוזית </w:t>
      </w:r>
      <w:r w:rsidR="00E74A8D">
        <w:rPr>
          <w:rFonts w:hint="cs"/>
          <w:rtl/>
        </w:rPr>
        <w:t xml:space="preserve">לתכנון ולבנייה, </w:t>
      </w:r>
      <w:r w:rsidR="009338F3">
        <w:rPr>
          <w:rFonts w:hint="cs"/>
          <w:rtl/>
        </w:rPr>
        <w:t xml:space="preserve">ואשר על פיה נערכה ואושרה התוכנית המשביחה. </w:t>
      </w:r>
    </w:p>
    <w:p w14:paraId="533F811B" w14:textId="77777777" w:rsidR="0004601C" w:rsidRDefault="009338F3" w:rsidP="00A97567">
      <w:pPr>
        <w:pStyle w:val="af1"/>
        <w:numPr>
          <w:ilvl w:val="0"/>
          <w:numId w:val="1"/>
        </w:numPr>
        <w:spacing w:after="120" w:line="360" w:lineRule="auto"/>
        <w:ind w:left="470" w:right="-142" w:hanging="425"/>
        <w:contextualSpacing w:val="0"/>
        <w:jc w:val="both"/>
        <w:rPr>
          <w:rFonts w:cs="David"/>
          <w:sz w:val="24"/>
          <w:szCs w:val="24"/>
        </w:rPr>
      </w:pPr>
      <w:r w:rsidRPr="0004601C">
        <w:rPr>
          <w:rFonts w:cs="David" w:hint="cs"/>
          <w:sz w:val="24"/>
          <w:szCs w:val="24"/>
          <w:rtl/>
        </w:rPr>
        <w:t>בנסיבות אלו</w:t>
      </w:r>
      <w:r w:rsidR="00E74A8D" w:rsidRPr="0004601C">
        <w:rPr>
          <w:rFonts w:cs="David" w:hint="cs"/>
          <w:sz w:val="24"/>
          <w:szCs w:val="24"/>
          <w:rtl/>
        </w:rPr>
        <w:t xml:space="preserve">, אין ספק כי תוכנית האב מהווה חלק </w:t>
      </w:r>
      <w:r w:rsidR="00493761">
        <w:rPr>
          <w:rFonts w:cs="David" w:hint="cs"/>
          <w:sz w:val="24"/>
          <w:szCs w:val="24"/>
          <w:rtl/>
        </w:rPr>
        <w:t xml:space="preserve">משמעותי מן </w:t>
      </w:r>
      <w:r w:rsidR="00E74A8D" w:rsidRPr="0004601C">
        <w:rPr>
          <w:rFonts w:cs="David" w:hint="cs"/>
          <w:sz w:val="24"/>
          <w:szCs w:val="24"/>
          <w:rtl/>
        </w:rPr>
        <w:t>ההליך התכנוני</w:t>
      </w:r>
      <w:r w:rsidR="00493761">
        <w:rPr>
          <w:rFonts w:cs="David" w:hint="cs"/>
          <w:sz w:val="24"/>
          <w:szCs w:val="24"/>
          <w:rtl/>
        </w:rPr>
        <w:t>,</w:t>
      </w:r>
      <w:r w:rsidR="00E74A8D" w:rsidRPr="0004601C">
        <w:rPr>
          <w:rFonts w:cs="David" w:hint="cs"/>
          <w:sz w:val="24"/>
          <w:szCs w:val="24"/>
          <w:rtl/>
        </w:rPr>
        <w:t xml:space="preserve"> שהסתיים באישורה של התוכנית המשביחה,</w:t>
      </w:r>
      <w:r w:rsidR="0004601C" w:rsidRPr="0004601C">
        <w:rPr>
          <w:rFonts w:cs="David" w:hint="cs"/>
          <w:sz w:val="24"/>
          <w:szCs w:val="24"/>
          <w:rtl/>
        </w:rPr>
        <w:t xml:space="preserve"> ומן ההכרח לנטרל </w:t>
      </w:r>
      <w:r w:rsidR="00E74A8D" w:rsidRPr="0004601C">
        <w:rPr>
          <w:rFonts w:cs="David" w:hint="cs"/>
          <w:sz w:val="24"/>
          <w:szCs w:val="24"/>
          <w:rtl/>
        </w:rPr>
        <w:t xml:space="preserve">את השפעת תוכנית האב </w:t>
      </w:r>
      <w:r w:rsidR="0004601C">
        <w:rPr>
          <w:rFonts w:cs="David" w:hint="cs"/>
          <w:sz w:val="24"/>
          <w:szCs w:val="24"/>
          <w:rtl/>
        </w:rPr>
        <w:t>ע</w:t>
      </w:r>
      <w:r w:rsidR="00E74A8D" w:rsidRPr="0004601C">
        <w:rPr>
          <w:rFonts w:cs="David" w:hint="cs"/>
          <w:sz w:val="24"/>
          <w:szCs w:val="24"/>
          <w:rtl/>
        </w:rPr>
        <w:t>ל שווי המקרקעין במצב הקודם</w:t>
      </w:r>
      <w:r w:rsidR="0004601C">
        <w:rPr>
          <w:rFonts w:cs="David" w:hint="cs"/>
          <w:sz w:val="24"/>
          <w:szCs w:val="24"/>
          <w:rtl/>
        </w:rPr>
        <w:t>.</w:t>
      </w:r>
      <w:r w:rsidR="00DD1F45">
        <w:rPr>
          <w:rFonts w:cs="David" w:hint="cs"/>
          <w:sz w:val="24"/>
          <w:szCs w:val="24"/>
          <w:rtl/>
        </w:rPr>
        <w:t xml:space="preserve"> כך נקבע גם בהחלטה בעניין </w:t>
      </w:r>
      <w:proofErr w:type="spellStart"/>
      <w:r w:rsidR="00DD1F45" w:rsidRPr="00DD1F45">
        <w:rPr>
          <w:rFonts w:cs="David" w:hint="cs"/>
          <w:b/>
          <w:bCs/>
          <w:sz w:val="24"/>
          <w:szCs w:val="24"/>
          <w:rtl/>
        </w:rPr>
        <w:t>שבדרון</w:t>
      </w:r>
      <w:proofErr w:type="spellEnd"/>
      <w:r w:rsidR="00DD1F45">
        <w:rPr>
          <w:rFonts w:cs="David" w:hint="cs"/>
          <w:sz w:val="24"/>
          <w:szCs w:val="24"/>
          <w:rtl/>
        </w:rPr>
        <w:t>.</w:t>
      </w:r>
    </w:p>
    <w:p w14:paraId="4648BC21" w14:textId="77777777" w:rsidR="0004601C" w:rsidRDefault="0004601C" w:rsidP="0004601C">
      <w:pPr>
        <w:pStyle w:val="af1"/>
        <w:numPr>
          <w:ilvl w:val="0"/>
          <w:numId w:val="1"/>
        </w:numPr>
        <w:spacing w:after="120" w:line="360" w:lineRule="auto"/>
        <w:ind w:left="470" w:right="-142" w:hanging="425"/>
        <w:contextualSpacing w:val="0"/>
        <w:jc w:val="both"/>
        <w:rPr>
          <w:rFonts w:cs="David"/>
          <w:sz w:val="24"/>
          <w:szCs w:val="24"/>
        </w:rPr>
      </w:pPr>
      <w:r>
        <w:rPr>
          <w:rFonts w:cs="David" w:hint="cs"/>
          <w:sz w:val="24"/>
          <w:szCs w:val="24"/>
          <w:rtl/>
        </w:rPr>
        <w:lastRenderedPageBreak/>
        <w:t>דרך טובה לנטרל את השפעת תוכנית האב הינה לא להביא בחשבון עסקאות שהושפעו ממיקומן בשטח שיועד למגורים בתוכנית האב</w:t>
      </w:r>
      <w:r w:rsidR="00F60A6F">
        <w:rPr>
          <w:rFonts w:cs="David" w:hint="cs"/>
          <w:sz w:val="24"/>
          <w:szCs w:val="24"/>
          <w:rtl/>
        </w:rPr>
        <w:t>.</w:t>
      </w:r>
      <w:r>
        <w:rPr>
          <w:rFonts w:cs="David" w:hint="cs"/>
          <w:sz w:val="24"/>
          <w:szCs w:val="24"/>
          <w:rtl/>
        </w:rPr>
        <w:t xml:space="preserve"> </w:t>
      </w:r>
    </w:p>
    <w:p w14:paraId="6F66173A" w14:textId="77777777" w:rsidR="000D3808" w:rsidRDefault="00DC29C5">
      <w:pPr>
        <w:pStyle w:val="af1"/>
        <w:numPr>
          <w:ilvl w:val="0"/>
          <w:numId w:val="1"/>
        </w:numPr>
        <w:spacing w:after="120" w:line="360" w:lineRule="auto"/>
        <w:ind w:left="470" w:right="-142" w:hanging="425"/>
        <w:contextualSpacing w:val="0"/>
        <w:jc w:val="both"/>
        <w:rPr>
          <w:rFonts w:cs="David"/>
          <w:sz w:val="24"/>
          <w:szCs w:val="24"/>
        </w:rPr>
      </w:pPr>
      <w:r>
        <w:rPr>
          <w:rFonts w:cs="David" w:hint="cs"/>
          <w:sz w:val="24"/>
          <w:szCs w:val="24"/>
          <w:rtl/>
        </w:rPr>
        <w:t xml:space="preserve">גם </w:t>
      </w:r>
      <w:r w:rsidR="000D3808">
        <w:rPr>
          <w:rFonts w:cs="David" w:hint="cs"/>
          <w:sz w:val="24"/>
          <w:szCs w:val="24"/>
          <w:rtl/>
        </w:rPr>
        <w:t xml:space="preserve">בעניין </w:t>
      </w:r>
      <w:r w:rsidR="000D3808" w:rsidRPr="000D3808">
        <w:rPr>
          <w:rFonts w:cs="David" w:hint="cs"/>
          <w:b/>
          <w:bCs/>
          <w:sz w:val="24"/>
          <w:szCs w:val="24"/>
          <w:rtl/>
        </w:rPr>
        <w:t>ארמה</w:t>
      </w:r>
      <w:r w:rsidR="000D3808">
        <w:rPr>
          <w:rFonts w:cs="David" w:hint="cs"/>
          <w:sz w:val="24"/>
          <w:szCs w:val="24"/>
          <w:rtl/>
        </w:rPr>
        <w:t xml:space="preserve"> עמדה ועדת הערר על כך, שב</w:t>
      </w:r>
      <w:r w:rsidR="000D3808" w:rsidRPr="00E67803">
        <w:rPr>
          <w:rFonts w:cs="David" w:hint="cs"/>
          <w:sz w:val="24"/>
          <w:szCs w:val="24"/>
          <w:rtl/>
        </w:rPr>
        <w:t>ה</w:t>
      </w:r>
      <w:r w:rsidR="000D3808">
        <w:rPr>
          <w:rFonts w:cs="David" w:hint="cs"/>
          <w:sz w:val="24"/>
          <w:szCs w:val="24"/>
          <w:rtl/>
        </w:rPr>
        <w:t>ינתן ה</w:t>
      </w:r>
      <w:r w:rsidR="000D3808" w:rsidRPr="00E67803">
        <w:rPr>
          <w:rFonts w:cs="David" w:hint="cs"/>
          <w:sz w:val="24"/>
          <w:szCs w:val="24"/>
          <w:rtl/>
        </w:rPr>
        <w:t>קושי בהערכת שווי עסקאות ספקולטיביות בקרקע חקלאית</w:t>
      </w:r>
      <w:r w:rsidR="000D3808">
        <w:rPr>
          <w:rFonts w:cs="David" w:hint="cs"/>
          <w:sz w:val="24"/>
          <w:szCs w:val="24"/>
          <w:rtl/>
        </w:rPr>
        <w:t xml:space="preserve">, אין </w:t>
      </w:r>
      <w:r w:rsidR="000D3808" w:rsidRPr="00E67803">
        <w:rPr>
          <w:rFonts w:cs="David" w:hint="cs"/>
          <w:sz w:val="24"/>
          <w:szCs w:val="24"/>
          <w:rtl/>
        </w:rPr>
        <w:t>פגם עקרוני ב</w:t>
      </w:r>
      <w:r w:rsidR="000D3808">
        <w:rPr>
          <w:rFonts w:cs="David" w:hint="cs"/>
          <w:sz w:val="24"/>
          <w:szCs w:val="24"/>
          <w:rtl/>
        </w:rPr>
        <w:t>ה</w:t>
      </w:r>
      <w:r w:rsidR="000C7E71">
        <w:rPr>
          <w:rFonts w:cs="David" w:hint="cs"/>
          <w:sz w:val="24"/>
          <w:szCs w:val="24"/>
          <w:rtl/>
        </w:rPr>
        <w:t>רחבת יריעת הבדיקה גם אל עבר</w:t>
      </w:r>
      <w:r w:rsidR="000D3808" w:rsidRPr="00E67803">
        <w:rPr>
          <w:rFonts w:cs="David" w:hint="cs"/>
          <w:sz w:val="24"/>
          <w:szCs w:val="24"/>
          <w:rtl/>
        </w:rPr>
        <w:t xml:space="preserve"> קרקעות חקלאיות </w:t>
      </w:r>
      <w:r w:rsidR="000C7E71">
        <w:rPr>
          <w:rFonts w:cs="David" w:hint="cs"/>
          <w:sz w:val="24"/>
          <w:szCs w:val="24"/>
          <w:rtl/>
        </w:rPr>
        <w:t>ב</w:t>
      </w:r>
      <w:r w:rsidR="000D3808">
        <w:rPr>
          <w:rFonts w:cs="David" w:hint="cs"/>
          <w:sz w:val="24"/>
          <w:szCs w:val="24"/>
          <w:rtl/>
        </w:rPr>
        <w:t xml:space="preserve">מרחבי תכנון </w:t>
      </w:r>
      <w:r w:rsidR="000C7E71">
        <w:rPr>
          <w:rFonts w:cs="David" w:hint="cs"/>
          <w:sz w:val="24"/>
          <w:szCs w:val="24"/>
          <w:rtl/>
        </w:rPr>
        <w:t xml:space="preserve">סמוכים </w:t>
      </w:r>
      <w:r w:rsidR="000D3808">
        <w:rPr>
          <w:rFonts w:cs="David" w:hint="cs"/>
          <w:sz w:val="24"/>
          <w:szCs w:val="24"/>
          <w:rtl/>
        </w:rPr>
        <w:t>נוספים.</w:t>
      </w:r>
    </w:p>
    <w:p w14:paraId="3A95F2B9" w14:textId="77777777" w:rsidR="00C00B55" w:rsidRDefault="00F60A6F" w:rsidP="00F60A6F">
      <w:pPr>
        <w:pStyle w:val="af1"/>
        <w:numPr>
          <w:ilvl w:val="0"/>
          <w:numId w:val="1"/>
        </w:numPr>
        <w:spacing w:after="120" w:line="360" w:lineRule="auto"/>
        <w:ind w:left="470" w:right="-142" w:hanging="425"/>
        <w:contextualSpacing w:val="0"/>
        <w:jc w:val="both"/>
        <w:rPr>
          <w:rFonts w:cs="David"/>
          <w:sz w:val="24"/>
          <w:szCs w:val="24"/>
        </w:rPr>
      </w:pPr>
      <w:r>
        <w:rPr>
          <w:rFonts w:cs="David" w:hint="cs"/>
          <w:sz w:val="24"/>
          <w:szCs w:val="24"/>
          <w:rtl/>
        </w:rPr>
        <w:t>השומות המכריעות נערכו על יסוד עקרונות אלו, תוך סקירה מקיפה של עסקאות</w:t>
      </w:r>
      <w:r w:rsidR="00C73E33">
        <w:rPr>
          <w:rFonts w:cs="David" w:hint="cs"/>
          <w:sz w:val="24"/>
          <w:szCs w:val="24"/>
          <w:rtl/>
        </w:rPr>
        <w:t xml:space="preserve"> שנערכו</w:t>
      </w:r>
      <w:r>
        <w:rPr>
          <w:rFonts w:cs="David" w:hint="cs"/>
          <w:sz w:val="24"/>
          <w:szCs w:val="24"/>
          <w:rtl/>
        </w:rPr>
        <w:t xml:space="preserve"> בסביבתם הקרובה של המקרקעין, הן במרחב התכנון המקומי של </w:t>
      </w:r>
      <w:proofErr w:type="spellStart"/>
      <w:r>
        <w:rPr>
          <w:rFonts w:cs="David" w:hint="cs"/>
          <w:sz w:val="24"/>
          <w:szCs w:val="24"/>
          <w:rtl/>
        </w:rPr>
        <w:t>שרונים</w:t>
      </w:r>
      <w:proofErr w:type="spellEnd"/>
      <w:r>
        <w:rPr>
          <w:rFonts w:cs="David" w:hint="cs"/>
          <w:sz w:val="24"/>
          <w:szCs w:val="24"/>
          <w:rtl/>
        </w:rPr>
        <w:t xml:space="preserve"> והן במרחב התכנון המקומי הגובל של חדרה</w:t>
      </w:r>
      <w:r w:rsidR="00C00B55">
        <w:rPr>
          <w:rFonts w:cs="David" w:hint="cs"/>
          <w:sz w:val="24"/>
          <w:szCs w:val="24"/>
          <w:rtl/>
        </w:rPr>
        <w:t>, וזאת בטווח של שנתיים מהמועד הקובע כנדרש</w:t>
      </w:r>
      <w:r>
        <w:rPr>
          <w:rFonts w:cs="David" w:hint="cs"/>
          <w:sz w:val="24"/>
          <w:szCs w:val="24"/>
          <w:rtl/>
        </w:rPr>
        <w:t>.</w:t>
      </w:r>
      <w:r w:rsidR="00C73E33">
        <w:rPr>
          <w:rFonts w:cs="David" w:hint="cs"/>
          <w:sz w:val="24"/>
          <w:szCs w:val="24"/>
          <w:rtl/>
        </w:rPr>
        <w:t xml:space="preserve"> </w:t>
      </w:r>
      <w:r>
        <w:rPr>
          <w:rFonts w:cs="David" w:hint="cs"/>
          <w:sz w:val="24"/>
          <w:szCs w:val="24"/>
          <w:rtl/>
        </w:rPr>
        <w:t>בחירת העסקאות נומקה היטב</w:t>
      </w:r>
      <w:r w:rsidR="00C00B55">
        <w:rPr>
          <w:rFonts w:cs="David" w:hint="cs"/>
          <w:sz w:val="24"/>
          <w:szCs w:val="24"/>
          <w:rtl/>
        </w:rPr>
        <w:t xml:space="preserve"> בכל השומות המכריעות</w:t>
      </w:r>
      <w:r>
        <w:rPr>
          <w:rFonts w:cs="David" w:hint="cs"/>
          <w:sz w:val="24"/>
          <w:szCs w:val="24"/>
          <w:rtl/>
        </w:rPr>
        <w:t>, ונתמכה בממצאים שנקבעו בשומות מכריעות נוספות</w:t>
      </w:r>
      <w:r w:rsidR="00C00B55">
        <w:rPr>
          <w:rFonts w:cs="David" w:hint="cs"/>
          <w:sz w:val="24"/>
          <w:szCs w:val="24"/>
          <w:rtl/>
        </w:rPr>
        <w:t>, שערכו שמאים מכריעים אחרים קודם לכן</w:t>
      </w:r>
      <w:r>
        <w:rPr>
          <w:rFonts w:cs="David" w:hint="cs"/>
          <w:sz w:val="24"/>
          <w:szCs w:val="24"/>
          <w:rtl/>
        </w:rPr>
        <w:t xml:space="preserve">. </w:t>
      </w:r>
    </w:p>
    <w:p w14:paraId="258D775A" w14:textId="77777777" w:rsidR="00C00B55" w:rsidRDefault="00493761" w:rsidP="00C00B55">
      <w:pPr>
        <w:pStyle w:val="af1"/>
        <w:numPr>
          <w:ilvl w:val="0"/>
          <w:numId w:val="1"/>
        </w:numPr>
        <w:spacing w:after="120" w:line="360" w:lineRule="auto"/>
        <w:ind w:left="470" w:right="-142" w:hanging="425"/>
        <w:contextualSpacing w:val="0"/>
        <w:jc w:val="both"/>
        <w:rPr>
          <w:rFonts w:cs="David"/>
          <w:sz w:val="24"/>
          <w:szCs w:val="24"/>
        </w:rPr>
      </w:pPr>
      <w:r>
        <w:rPr>
          <w:rFonts w:cs="David" w:hint="cs"/>
          <w:sz w:val="24"/>
          <w:szCs w:val="24"/>
          <w:rtl/>
        </w:rPr>
        <w:t>איננו סבורות כי ניתן לנתק את הקשר בין תוכנית האב לבין מהלכים משלימים שנערכו, כמו המלצת ועדת הגבולות על העברת המקרקעין מתחום חדרה לתחום אליכין, או מיקומו של המושב בסמיכות למושב חרב לאת.</w:t>
      </w:r>
      <w:r w:rsidR="00C00B55" w:rsidRPr="00C00B55">
        <w:rPr>
          <w:rFonts w:cs="David" w:hint="cs"/>
          <w:sz w:val="24"/>
          <w:szCs w:val="24"/>
          <w:rtl/>
        </w:rPr>
        <w:t xml:space="preserve"> </w:t>
      </w:r>
      <w:r w:rsidR="00C00B55">
        <w:rPr>
          <w:rFonts w:cs="David" w:hint="cs"/>
          <w:sz w:val="24"/>
          <w:szCs w:val="24"/>
          <w:rtl/>
        </w:rPr>
        <w:t>לא מצאנו כי נפל פגם כלשהו בהעדר התחשבות בעסקאות בשווי כפול, שסביר כי אינן משקפות שווי חקלאי "נקי" מציפיות או מהשפעות אחרות.</w:t>
      </w:r>
    </w:p>
    <w:p w14:paraId="3F2890DC" w14:textId="068EB40A" w:rsidR="00C00B55" w:rsidRDefault="00C00B55" w:rsidP="00F60A6F">
      <w:pPr>
        <w:pStyle w:val="af1"/>
        <w:numPr>
          <w:ilvl w:val="0"/>
          <w:numId w:val="1"/>
        </w:numPr>
        <w:spacing w:after="120" w:line="360" w:lineRule="auto"/>
        <w:ind w:left="470" w:right="-142" w:hanging="425"/>
        <w:contextualSpacing w:val="0"/>
        <w:jc w:val="both"/>
        <w:rPr>
          <w:rFonts w:cs="David"/>
          <w:sz w:val="24"/>
          <w:szCs w:val="24"/>
        </w:rPr>
      </w:pPr>
      <w:r>
        <w:rPr>
          <w:rFonts w:cs="David" w:hint="cs"/>
          <w:sz w:val="24"/>
          <w:szCs w:val="24"/>
          <w:rtl/>
        </w:rPr>
        <w:t xml:space="preserve">כמו כן, בשומת דדון הוסבר, כי עסקאות בשכונת הארזים עשויות היות להיות מושפעות מסמיכות גיאוגרפית למושב חרב לאת ומריחוק מבית העלמין, בנוסף להיכללותה בתוכנית האב. על כן, לא זו בלבד שבחירת העסקאות נומקה, אלא שהמרחק מבית העלמין וממושב חרב לאת </w:t>
      </w:r>
      <w:r w:rsidR="0022145B">
        <w:rPr>
          <w:rFonts w:cs="David" w:hint="cs"/>
          <w:sz w:val="24"/>
          <w:szCs w:val="24"/>
          <w:rtl/>
        </w:rPr>
        <w:t xml:space="preserve">כן </w:t>
      </w:r>
      <w:r>
        <w:rPr>
          <w:rFonts w:cs="David" w:hint="cs"/>
          <w:sz w:val="24"/>
          <w:szCs w:val="24"/>
          <w:rtl/>
        </w:rPr>
        <w:t>הובא בחשבון בשומה מכרעת שקבעה שווי של 300 ₪ למ"ר.</w:t>
      </w:r>
    </w:p>
    <w:p w14:paraId="124A279C" w14:textId="77777777" w:rsidR="00C73E33" w:rsidRDefault="00C00B55" w:rsidP="00F60A6F">
      <w:pPr>
        <w:pStyle w:val="af1"/>
        <w:numPr>
          <w:ilvl w:val="0"/>
          <w:numId w:val="1"/>
        </w:numPr>
        <w:spacing w:after="120" w:line="360" w:lineRule="auto"/>
        <w:ind w:left="470" w:right="-142" w:hanging="425"/>
        <w:contextualSpacing w:val="0"/>
        <w:jc w:val="both"/>
        <w:rPr>
          <w:rFonts w:cs="David"/>
          <w:sz w:val="24"/>
          <w:szCs w:val="24"/>
        </w:rPr>
      </w:pPr>
      <w:r>
        <w:rPr>
          <w:rFonts w:cs="David" w:hint="cs"/>
          <w:sz w:val="24"/>
          <w:szCs w:val="24"/>
          <w:rtl/>
        </w:rPr>
        <w:t>לעניין שומת הרצברג,</w:t>
      </w:r>
      <w:r w:rsidR="004F0E01">
        <w:rPr>
          <w:rFonts w:cs="David" w:hint="cs"/>
          <w:sz w:val="24"/>
          <w:szCs w:val="24"/>
          <w:rtl/>
        </w:rPr>
        <w:t xml:space="preserve"> לא התרשמנו כי לנתונים שמופיעים באתר האינטרנט של המשיבה הייתה השפעה מכרעת על תוצאות השומה, באופן שעשוי להקים עיוות דין.</w:t>
      </w:r>
      <w:r w:rsidR="00C73E33">
        <w:rPr>
          <w:rFonts w:cs="David" w:hint="cs"/>
          <w:sz w:val="24"/>
          <w:szCs w:val="24"/>
          <w:rtl/>
        </w:rPr>
        <w:t xml:space="preserve"> </w:t>
      </w:r>
    </w:p>
    <w:p w14:paraId="41DE3D6D" w14:textId="6F58C074" w:rsidR="004F0E01" w:rsidRDefault="00C73E33" w:rsidP="00F60A6F">
      <w:pPr>
        <w:pStyle w:val="af1"/>
        <w:numPr>
          <w:ilvl w:val="0"/>
          <w:numId w:val="1"/>
        </w:numPr>
        <w:spacing w:after="120" w:line="360" w:lineRule="auto"/>
        <w:ind w:left="470" w:right="-142" w:hanging="425"/>
        <w:contextualSpacing w:val="0"/>
        <w:jc w:val="both"/>
        <w:rPr>
          <w:rFonts w:cs="David"/>
          <w:sz w:val="24"/>
          <w:szCs w:val="24"/>
        </w:rPr>
      </w:pPr>
      <w:r>
        <w:rPr>
          <w:rFonts w:cs="David" w:hint="cs"/>
          <w:sz w:val="24"/>
          <w:szCs w:val="24"/>
          <w:rtl/>
        </w:rPr>
        <w:t>זאת ועוד, לא ניתן לקבל את טענ</w:t>
      </w:r>
      <w:r w:rsidR="00C00B55">
        <w:rPr>
          <w:rFonts w:cs="David" w:hint="cs"/>
          <w:sz w:val="24"/>
          <w:szCs w:val="24"/>
          <w:rtl/>
        </w:rPr>
        <w:t>ת העוררות</w:t>
      </w:r>
      <w:r>
        <w:rPr>
          <w:rFonts w:cs="David" w:hint="cs"/>
          <w:sz w:val="24"/>
          <w:szCs w:val="24"/>
          <w:rtl/>
        </w:rPr>
        <w:t xml:space="preserve">, ששמאי מכריע אינו רשאי להסתמך, בין השאר, על עסקאות המפורסמות באתר מידע נדל"ן של רשות המסים, מבלי לבחון כל אחד ואחד מחוזי המכר של העסקאות עליהן הוא מבקש להסתמך. </w:t>
      </w:r>
      <w:r w:rsidR="00200F59">
        <w:rPr>
          <w:rFonts w:cs="David" w:hint="cs"/>
          <w:sz w:val="24"/>
          <w:szCs w:val="24"/>
          <w:rtl/>
        </w:rPr>
        <w:t>אכן, אתר אינטרנט שמפלח עסקאות ומסווג נתונים לקטיגוריות קבועות מראש אינו תחליף לניתוח פרטני של חוזה מכר מסוים. אולם, מעבר לעובדה</w:t>
      </w:r>
      <w:r w:rsidR="0022145B">
        <w:rPr>
          <w:rFonts w:cs="David" w:hint="cs"/>
          <w:sz w:val="24"/>
          <w:szCs w:val="24"/>
          <w:rtl/>
        </w:rPr>
        <w:t xml:space="preserve">, </w:t>
      </w:r>
      <w:r w:rsidR="00200F59">
        <w:rPr>
          <w:rFonts w:cs="David" w:hint="cs"/>
          <w:sz w:val="24"/>
          <w:szCs w:val="24"/>
          <w:rtl/>
        </w:rPr>
        <w:t xml:space="preserve">שניתוח מלא של חוזה מכר מצריך גם בחינה משפטית, </w:t>
      </w:r>
      <w:r>
        <w:rPr>
          <w:rFonts w:cs="David" w:hint="cs"/>
          <w:sz w:val="24"/>
          <w:szCs w:val="24"/>
          <w:rtl/>
        </w:rPr>
        <w:t xml:space="preserve">משמעות קביעה זו הינה הטלת נטל בלתי סביר בעליל על השמאים המכריעים ועל שמאי הצדדים, תוך הארכת ההתדיינויות וייקורן המשמעותי. </w:t>
      </w:r>
      <w:r w:rsidR="00200F59">
        <w:rPr>
          <w:rFonts w:cs="David" w:hint="cs"/>
          <w:sz w:val="24"/>
          <w:szCs w:val="24"/>
          <w:rtl/>
        </w:rPr>
        <w:t>קביעה שכזו תכביד שלא לצורך על מנגנון החיוב בהיטל השבחה, ותחתור תחת השאיפה לפשטו וליעלו ככל האפשר.</w:t>
      </w:r>
    </w:p>
    <w:p w14:paraId="05E74974" w14:textId="77777777" w:rsidR="00493761" w:rsidRDefault="001C1960" w:rsidP="009A04A3">
      <w:pPr>
        <w:pStyle w:val="af1"/>
        <w:numPr>
          <w:ilvl w:val="0"/>
          <w:numId w:val="1"/>
        </w:numPr>
        <w:spacing w:after="120" w:line="360" w:lineRule="auto"/>
        <w:ind w:left="470" w:right="-142" w:hanging="425"/>
        <w:contextualSpacing w:val="0"/>
        <w:jc w:val="both"/>
        <w:rPr>
          <w:rFonts w:cs="David"/>
          <w:sz w:val="24"/>
          <w:szCs w:val="24"/>
        </w:rPr>
      </w:pPr>
      <w:r>
        <w:rPr>
          <w:rFonts w:cs="David" w:hint="cs"/>
          <w:sz w:val="24"/>
          <w:szCs w:val="24"/>
          <w:rtl/>
        </w:rPr>
        <w:t>לבסוף</w:t>
      </w:r>
      <w:r w:rsidR="00200F59" w:rsidRPr="00200F59">
        <w:rPr>
          <w:rFonts w:cs="David" w:hint="cs"/>
          <w:sz w:val="24"/>
          <w:szCs w:val="24"/>
          <w:rtl/>
        </w:rPr>
        <w:t xml:space="preserve">: בניגוד לנטען, איננו סבורות שהפער בין שווי של 320 ₪ למ"ר שהתקבל בשומה מכרעת מסוימת לבין שווי של 300 ₪ למ"ר שהתקבל בשומות מכריעות אחרות מצדיק </w:t>
      </w:r>
      <w:r w:rsidR="00200F59">
        <w:rPr>
          <w:rFonts w:cs="David" w:hint="cs"/>
          <w:sz w:val="24"/>
          <w:szCs w:val="24"/>
          <w:rtl/>
        </w:rPr>
        <w:t xml:space="preserve">סטייה מקביעות קודמות בשומות מכריעות. </w:t>
      </w:r>
      <w:r w:rsidR="00493761">
        <w:rPr>
          <w:rFonts w:cs="David" w:hint="cs"/>
          <w:sz w:val="24"/>
          <w:szCs w:val="24"/>
          <w:rtl/>
        </w:rPr>
        <w:t xml:space="preserve">כפי שנקבע בהחלטת ועדת הערר בראשות הח"מ בערר (מרכז) 8084-12-21 </w:t>
      </w:r>
      <w:r w:rsidR="00493761" w:rsidRPr="001C1960">
        <w:rPr>
          <w:rFonts w:cs="David" w:hint="cs"/>
          <w:b/>
          <w:bCs/>
          <w:sz w:val="24"/>
          <w:szCs w:val="24"/>
          <w:rtl/>
        </w:rPr>
        <w:t>גפני יאיר נ' הוועדה המקומית לתכנון ולבנייה הוד השרון</w:t>
      </w:r>
      <w:r w:rsidR="00493761">
        <w:rPr>
          <w:rFonts w:cs="David" w:hint="cs"/>
          <w:sz w:val="24"/>
          <w:szCs w:val="24"/>
          <w:rtl/>
        </w:rPr>
        <w:t xml:space="preserve"> (פורסם בנבו, 7.10.2024):</w:t>
      </w:r>
    </w:p>
    <w:p w14:paraId="14F9AC3A" w14:textId="77777777" w:rsidR="00493761" w:rsidRPr="00493761" w:rsidRDefault="00493761" w:rsidP="00493761">
      <w:pPr>
        <w:pStyle w:val="P00"/>
        <w:tabs>
          <w:tab w:val="clear" w:pos="624"/>
          <w:tab w:val="clear" w:pos="1928"/>
          <w:tab w:val="clear" w:pos="2381"/>
          <w:tab w:val="clear" w:pos="2835"/>
          <w:tab w:val="left" w:pos="893"/>
        </w:tabs>
        <w:spacing w:before="72" w:after="240"/>
        <w:ind w:left="1179" w:right="1134"/>
        <w:rPr>
          <w:rStyle w:val="big-number"/>
          <w:rFonts w:ascii="FrankRuehl" w:hAnsi="FrankRuehl"/>
          <w:noProof w:val="0"/>
          <w:sz w:val="24"/>
          <w:szCs w:val="24"/>
        </w:rPr>
      </w:pPr>
      <w:r>
        <w:rPr>
          <w:rStyle w:val="big-number"/>
          <w:rFonts w:ascii="FrankRuehl" w:hAnsi="FrankRuehl" w:hint="cs"/>
          <w:noProof w:val="0"/>
          <w:sz w:val="24"/>
          <w:szCs w:val="24"/>
          <w:rtl/>
        </w:rPr>
        <w:t>"</w:t>
      </w:r>
      <w:r w:rsidRPr="00493761">
        <w:rPr>
          <w:rStyle w:val="big-number"/>
          <w:rFonts w:ascii="FrankRuehl" w:hAnsi="FrankRuehl" w:hint="cs"/>
          <w:noProof w:val="0"/>
          <w:sz w:val="24"/>
          <w:szCs w:val="24"/>
          <w:rtl/>
        </w:rPr>
        <w:t xml:space="preserve">אנו רואים בחיוב את המשקל שנתן כב' השמאי המכריע לקביעות בשומות מכריעות קודמות. עמדתו של כב' השמאי המכריע מתיישבת עם השאיפה לקדם את הוודאות בנושא החיוב בהיטל השבחה, ולהגביר את אמון הציבור במוסד השומה המכרעת. </w:t>
      </w:r>
    </w:p>
    <w:p w14:paraId="4950F2AE" w14:textId="77777777" w:rsidR="00493761" w:rsidRPr="00493761" w:rsidRDefault="00493761" w:rsidP="00493761">
      <w:pPr>
        <w:pStyle w:val="P00"/>
        <w:tabs>
          <w:tab w:val="clear" w:pos="624"/>
          <w:tab w:val="clear" w:pos="1928"/>
          <w:tab w:val="clear" w:pos="2381"/>
          <w:tab w:val="clear" w:pos="2835"/>
          <w:tab w:val="left" w:pos="893"/>
        </w:tabs>
        <w:spacing w:before="72" w:after="240"/>
        <w:ind w:left="1179" w:right="1134"/>
        <w:rPr>
          <w:rStyle w:val="big-number"/>
          <w:rFonts w:ascii="FrankRuehl" w:hAnsi="FrankRuehl"/>
          <w:noProof w:val="0"/>
          <w:sz w:val="24"/>
          <w:szCs w:val="24"/>
        </w:rPr>
      </w:pPr>
      <w:r w:rsidRPr="00493761">
        <w:rPr>
          <w:rStyle w:val="big-number"/>
          <w:rFonts w:ascii="FrankRuehl" w:hAnsi="FrankRuehl" w:hint="cs"/>
          <w:noProof w:val="0"/>
          <w:sz w:val="24"/>
          <w:szCs w:val="24"/>
          <w:rtl/>
        </w:rPr>
        <w:lastRenderedPageBreak/>
        <w:t>העובדה, כי במתחם הנכלל בתוכנית אחת, עשויות להיערך שומות מכריעות שונות, על ידי מספר רב של שמאים מכריעים, אין פירושה, כי מצופה מכל שמאי מכריע להגיע למסקנה שונה בשומתו על מנת להוכיח את עצמאותו. הסטייה מקביעה בעשרות שומות מכריעות אחרות - היא זו שמצריכה נימוק מיוחד, ולא התּוֹאַם לשומות מכריעות קודמות. נימוק מיוחד ומשמעותי שכזה, כגון טעות בוטה ומובהקת בכל השומות הקודמות, לא הוצג בפנינו.</w:t>
      </w:r>
      <w:r>
        <w:rPr>
          <w:rStyle w:val="big-number"/>
          <w:rFonts w:ascii="FrankRuehl" w:hAnsi="FrankRuehl" w:hint="cs"/>
          <w:noProof w:val="0"/>
          <w:sz w:val="24"/>
          <w:szCs w:val="24"/>
          <w:rtl/>
        </w:rPr>
        <w:t>"</w:t>
      </w:r>
    </w:p>
    <w:p w14:paraId="417ACD3C" w14:textId="1A93A8EF" w:rsidR="00C00B55" w:rsidRDefault="00C00B55" w:rsidP="00B471EE">
      <w:pPr>
        <w:pStyle w:val="af1"/>
        <w:numPr>
          <w:ilvl w:val="0"/>
          <w:numId w:val="1"/>
        </w:numPr>
        <w:spacing w:after="120" w:line="360" w:lineRule="auto"/>
        <w:ind w:left="470" w:right="-142" w:hanging="425"/>
        <w:contextualSpacing w:val="0"/>
        <w:jc w:val="both"/>
        <w:rPr>
          <w:rFonts w:cs="David"/>
          <w:sz w:val="24"/>
          <w:szCs w:val="24"/>
        </w:rPr>
      </w:pPr>
      <w:r>
        <w:rPr>
          <w:rFonts w:cs="David" w:hint="cs"/>
          <w:sz w:val="24"/>
          <w:szCs w:val="24"/>
          <w:rtl/>
        </w:rPr>
        <w:t>נוסיף, כי במקרה זה לא טענו העוררות לשווי של 320 ₪ למ"ר</w:t>
      </w:r>
      <w:r w:rsidR="00575EB5">
        <w:rPr>
          <w:rFonts w:cs="David" w:hint="cs"/>
          <w:sz w:val="24"/>
          <w:szCs w:val="24"/>
          <w:rtl/>
        </w:rPr>
        <w:t>,</w:t>
      </w:r>
      <w:r>
        <w:rPr>
          <w:rFonts w:cs="David" w:hint="cs"/>
          <w:sz w:val="24"/>
          <w:szCs w:val="24"/>
          <w:rtl/>
        </w:rPr>
        <w:t xml:space="preserve"> </w:t>
      </w:r>
      <w:r w:rsidR="00B471EE">
        <w:rPr>
          <w:rFonts w:cs="David" w:hint="cs"/>
          <w:sz w:val="24"/>
          <w:szCs w:val="24"/>
          <w:rtl/>
        </w:rPr>
        <w:t xml:space="preserve">אלא </w:t>
      </w:r>
      <w:r>
        <w:rPr>
          <w:rFonts w:cs="David" w:hint="cs"/>
          <w:sz w:val="24"/>
          <w:szCs w:val="24"/>
          <w:rtl/>
        </w:rPr>
        <w:t xml:space="preserve">לשווי של 600 </w:t>
      </w:r>
      <w:r>
        <w:rPr>
          <w:rFonts w:cs="David"/>
          <w:sz w:val="24"/>
          <w:szCs w:val="24"/>
          <w:rtl/>
        </w:rPr>
        <w:t>–</w:t>
      </w:r>
      <w:r>
        <w:rPr>
          <w:rFonts w:cs="David" w:hint="cs"/>
          <w:sz w:val="24"/>
          <w:szCs w:val="24"/>
          <w:rtl/>
        </w:rPr>
        <w:t xml:space="preserve"> 670 ₪ למ"ר, שאין לו </w:t>
      </w:r>
      <w:r w:rsidR="00B471EE">
        <w:rPr>
          <w:rFonts w:cs="David" w:hint="cs"/>
          <w:sz w:val="24"/>
          <w:szCs w:val="24"/>
          <w:rtl/>
        </w:rPr>
        <w:t>אח ורע</w:t>
      </w:r>
      <w:r>
        <w:rPr>
          <w:rFonts w:cs="David" w:hint="cs"/>
          <w:sz w:val="24"/>
          <w:szCs w:val="24"/>
          <w:rtl/>
        </w:rPr>
        <w:t xml:space="preserve"> בשום שומה מכריעה</w:t>
      </w:r>
      <w:r w:rsidR="00B471EE">
        <w:rPr>
          <w:rFonts w:cs="David" w:hint="cs"/>
          <w:sz w:val="24"/>
          <w:szCs w:val="24"/>
          <w:rtl/>
        </w:rPr>
        <w:t xml:space="preserve">. האפשרות לשוֹנוּת זעירה </w:t>
      </w:r>
      <w:r w:rsidR="0022145B">
        <w:rPr>
          <w:rFonts w:cs="David" w:hint="cs"/>
          <w:sz w:val="24"/>
          <w:szCs w:val="24"/>
          <w:rtl/>
        </w:rPr>
        <w:t>ב</w:t>
      </w:r>
      <w:r w:rsidR="00B471EE">
        <w:rPr>
          <w:rFonts w:cs="David" w:hint="cs"/>
          <w:sz w:val="24"/>
          <w:szCs w:val="24"/>
          <w:rtl/>
        </w:rPr>
        <w:t>ערכים הנעים סביב 300 ש"ח למ"ר אינה יכולה לתמו</w:t>
      </w:r>
      <w:r w:rsidR="0022145B">
        <w:rPr>
          <w:rFonts w:cs="David" w:hint="cs"/>
          <w:sz w:val="24"/>
          <w:szCs w:val="24"/>
          <w:rtl/>
        </w:rPr>
        <w:t>ך</w:t>
      </w:r>
      <w:r w:rsidR="00B471EE">
        <w:rPr>
          <w:rFonts w:cs="David" w:hint="cs"/>
          <w:sz w:val="24"/>
          <w:szCs w:val="24"/>
          <w:rtl/>
        </w:rPr>
        <w:t xml:space="preserve"> בערכים שנקבעו בשומות העוררות.</w:t>
      </w:r>
    </w:p>
    <w:p w14:paraId="1F205057" w14:textId="77777777" w:rsidR="00DC29C5" w:rsidRDefault="00DC29C5">
      <w:pPr>
        <w:pStyle w:val="af1"/>
        <w:numPr>
          <w:ilvl w:val="0"/>
          <w:numId w:val="1"/>
        </w:numPr>
        <w:spacing w:after="120" w:line="360" w:lineRule="auto"/>
        <w:ind w:left="470" w:right="-142" w:hanging="425"/>
        <w:contextualSpacing w:val="0"/>
        <w:jc w:val="both"/>
        <w:rPr>
          <w:rFonts w:cs="David"/>
          <w:sz w:val="24"/>
          <w:szCs w:val="24"/>
        </w:rPr>
      </w:pPr>
      <w:r>
        <w:rPr>
          <w:rFonts w:cs="David" w:hint="cs"/>
          <w:sz w:val="24"/>
          <w:szCs w:val="24"/>
          <w:rtl/>
        </w:rPr>
        <w:t>על כן א</w:t>
      </w:r>
      <w:r w:rsidR="004F0E01">
        <w:rPr>
          <w:rFonts w:cs="David" w:hint="cs"/>
          <w:sz w:val="24"/>
          <w:szCs w:val="24"/>
          <w:rtl/>
        </w:rPr>
        <w:t xml:space="preserve">יננו מקבלות את </w:t>
      </w:r>
      <w:r>
        <w:rPr>
          <w:rFonts w:cs="David" w:hint="cs"/>
          <w:sz w:val="24"/>
          <w:szCs w:val="24"/>
          <w:rtl/>
        </w:rPr>
        <w:t xml:space="preserve">טענות העוררות כנגד </w:t>
      </w:r>
      <w:r w:rsidR="00F60A6F">
        <w:rPr>
          <w:rFonts w:cs="David" w:hint="cs"/>
          <w:sz w:val="24"/>
          <w:szCs w:val="24"/>
          <w:rtl/>
        </w:rPr>
        <w:t>קביעת שווי הקרקע במצב הקודם כ- 300 ש"ח למ"ר</w:t>
      </w:r>
      <w:r>
        <w:rPr>
          <w:rFonts w:cs="David" w:hint="cs"/>
          <w:sz w:val="24"/>
          <w:szCs w:val="24"/>
          <w:rtl/>
        </w:rPr>
        <w:t>.</w:t>
      </w:r>
    </w:p>
    <w:p w14:paraId="35B6CF68" w14:textId="77777777" w:rsidR="001C1960" w:rsidRDefault="001C1960" w:rsidP="00DC29C5">
      <w:pPr>
        <w:spacing w:after="80" w:line="360" w:lineRule="auto"/>
        <w:ind w:firstLine="43"/>
        <w:jc w:val="both"/>
        <w:rPr>
          <w:rFonts w:cs="David"/>
          <w:b/>
          <w:bCs/>
          <w:sz w:val="24"/>
          <w:szCs w:val="24"/>
          <w:u w:val="single"/>
          <w:rtl/>
        </w:rPr>
      </w:pPr>
    </w:p>
    <w:p w14:paraId="413F8C4B" w14:textId="77777777" w:rsidR="00DC29C5" w:rsidRDefault="00DC29C5" w:rsidP="00DC29C5">
      <w:pPr>
        <w:spacing w:after="80" w:line="360" w:lineRule="auto"/>
        <w:ind w:firstLine="43"/>
        <w:jc w:val="both"/>
        <w:rPr>
          <w:rFonts w:cs="David"/>
          <w:b/>
          <w:bCs/>
          <w:sz w:val="24"/>
          <w:szCs w:val="24"/>
          <w:u w:val="single"/>
        </w:rPr>
      </w:pPr>
      <w:r>
        <w:rPr>
          <w:rFonts w:cs="David"/>
          <w:b/>
          <w:bCs/>
          <w:sz w:val="24"/>
          <w:szCs w:val="24"/>
          <w:u w:val="single"/>
          <w:rtl/>
        </w:rPr>
        <w:t xml:space="preserve">הטענה בדבר </w:t>
      </w:r>
      <w:r>
        <w:rPr>
          <w:rFonts w:cs="David" w:hint="cs"/>
          <w:b/>
          <w:bCs/>
          <w:sz w:val="24"/>
          <w:szCs w:val="24"/>
          <w:u w:val="single"/>
          <w:rtl/>
        </w:rPr>
        <w:t>התעלמות מהעסקה שבוצעה במקרקעין עצמם על ידי אפי קפיטל</w:t>
      </w:r>
    </w:p>
    <w:p w14:paraId="3DF5E5F9" w14:textId="77777777" w:rsidR="00DC29C5" w:rsidRPr="007651C2" w:rsidRDefault="00DF73D8" w:rsidP="007651C2">
      <w:pPr>
        <w:pStyle w:val="af1"/>
        <w:numPr>
          <w:ilvl w:val="0"/>
          <w:numId w:val="1"/>
        </w:numPr>
        <w:spacing w:after="120" w:line="360" w:lineRule="auto"/>
        <w:ind w:left="470" w:right="-142" w:hanging="425"/>
        <w:contextualSpacing w:val="0"/>
        <w:jc w:val="both"/>
        <w:rPr>
          <w:rFonts w:cs="David"/>
          <w:sz w:val="24"/>
          <w:szCs w:val="24"/>
        </w:rPr>
      </w:pPr>
      <w:r w:rsidRPr="007651C2">
        <w:rPr>
          <w:rFonts w:cs="David" w:hint="cs"/>
          <w:sz w:val="24"/>
          <w:szCs w:val="24"/>
          <w:rtl/>
        </w:rPr>
        <w:t xml:space="preserve">לטענת אפי קפיטל, בשומה מכרעת אפי קפיטל 2021 התעלם </w:t>
      </w:r>
      <w:r>
        <w:rPr>
          <w:rFonts w:cs="David" w:hint="cs"/>
          <w:sz w:val="24"/>
          <w:szCs w:val="24"/>
          <w:rtl/>
        </w:rPr>
        <w:t>השמאי המכרי</w:t>
      </w:r>
      <w:r w:rsidRPr="007651C2">
        <w:rPr>
          <w:rFonts w:cs="David" w:hint="cs"/>
          <w:sz w:val="24"/>
          <w:szCs w:val="24"/>
          <w:rtl/>
        </w:rPr>
        <w:t>ע</w:t>
      </w:r>
      <w:r>
        <w:rPr>
          <w:rFonts w:cs="David" w:hint="cs"/>
          <w:sz w:val="24"/>
          <w:szCs w:val="24"/>
          <w:rtl/>
        </w:rPr>
        <w:t xml:space="preserve"> מהעסקה שנערכה בנכס עצמו, שנמכר בעסקת נטו בסכום ש</w:t>
      </w:r>
      <w:r w:rsidRPr="007651C2">
        <w:rPr>
          <w:rFonts w:cs="David" w:hint="cs"/>
          <w:sz w:val="24"/>
          <w:szCs w:val="24"/>
          <w:rtl/>
        </w:rPr>
        <w:t>ל</w:t>
      </w:r>
      <w:r>
        <w:rPr>
          <w:rFonts w:cs="David" w:hint="cs"/>
          <w:sz w:val="24"/>
          <w:szCs w:val="24"/>
          <w:rtl/>
        </w:rPr>
        <w:t xml:space="preserve"> 748,800 ₪</w:t>
      </w:r>
      <w:r w:rsidRPr="007651C2">
        <w:rPr>
          <w:rFonts w:cs="David" w:hint="cs"/>
          <w:sz w:val="24"/>
          <w:szCs w:val="24"/>
          <w:rtl/>
        </w:rPr>
        <w:t>. בתוספת סכום היטל השבחה כפי שנקבע על ידי הוועדה המקומית, העסקה משקפת שווי של 1,230,000 ₪ נכון למועד ביצוע העסקה. לשיטת אפי קפיטל, מאחר שהעסקה נערכה שנה וחצי לאחר המועד הקובע, יש להפחית ממנה את מקדם הדחייה שנקבע על ידי השמאי המכריע בשיעור 6% לשנה ו- 9% לשנה וחצי, ומכאן שהשווי למועד הקובע הוא 1,119,300 ₪ בלבד (גם בהתעלם מעליית מחירים של 5% בשנה)</w:t>
      </w:r>
      <w:r w:rsidR="007651C2" w:rsidRPr="007651C2">
        <w:rPr>
          <w:rFonts w:cs="David" w:hint="cs"/>
          <w:sz w:val="24"/>
          <w:szCs w:val="24"/>
          <w:rtl/>
        </w:rPr>
        <w:t>. למרות זאת</w:t>
      </w:r>
      <w:r w:rsidRPr="007651C2">
        <w:rPr>
          <w:rFonts w:cs="David" w:hint="cs"/>
          <w:sz w:val="24"/>
          <w:szCs w:val="24"/>
          <w:rtl/>
        </w:rPr>
        <w:t>,</w:t>
      </w:r>
      <w:r w:rsidR="007651C2" w:rsidRPr="007651C2">
        <w:rPr>
          <w:rFonts w:cs="David" w:hint="cs"/>
          <w:sz w:val="24"/>
          <w:szCs w:val="24"/>
          <w:rtl/>
        </w:rPr>
        <w:t xml:space="preserve"> העריך השמאי המכריע את שווי המקרקעין במצב החדש בסך של </w:t>
      </w:r>
      <w:r>
        <w:rPr>
          <w:rFonts w:cs="David" w:hint="cs"/>
          <w:sz w:val="24"/>
          <w:szCs w:val="24"/>
          <w:rtl/>
        </w:rPr>
        <w:t xml:space="preserve">1,346,756 </w:t>
      </w:r>
      <w:r w:rsidR="007651C2" w:rsidRPr="007651C2">
        <w:rPr>
          <w:rFonts w:cs="David" w:hint="cs"/>
          <w:sz w:val="24"/>
          <w:szCs w:val="24"/>
          <w:rtl/>
        </w:rPr>
        <w:t>₪.</w:t>
      </w:r>
    </w:p>
    <w:p w14:paraId="4EB70134" w14:textId="4CF36A62" w:rsidR="004042DC" w:rsidRPr="004042DC" w:rsidRDefault="007651C2" w:rsidP="00E15384">
      <w:pPr>
        <w:pStyle w:val="af1"/>
        <w:numPr>
          <w:ilvl w:val="0"/>
          <w:numId w:val="1"/>
        </w:numPr>
        <w:spacing w:after="120" w:line="360" w:lineRule="auto"/>
        <w:ind w:right="-142"/>
        <w:contextualSpacing w:val="0"/>
        <w:jc w:val="both"/>
        <w:rPr>
          <w:rFonts w:cs="David"/>
          <w:sz w:val="24"/>
          <w:szCs w:val="24"/>
        </w:rPr>
      </w:pPr>
      <w:r w:rsidRPr="004042DC">
        <w:rPr>
          <w:rFonts w:cs="David" w:hint="cs"/>
          <w:sz w:val="24"/>
          <w:szCs w:val="24"/>
          <w:rtl/>
        </w:rPr>
        <w:t>יצוין כי טענה זו לא נכללה בשומה האחרת מטעם אפי קפיטל, ופרוטוקול הדיון בפני השמאי המכריע לא צורף לערר. על כן אין לנו אלא לצאת מהנחה</w:t>
      </w:r>
      <w:r w:rsidR="00DD1F45" w:rsidRPr="004042DC">
        <w:rPr>
          <w:rFonts w:cs="David" w:hint="cs"/>
          <w:sz w:val="24"/>
          <w:szCs w:val="24"/>
          <w:rtl/>
        </w:rPr>
        <w:t>,</w:t>
      </w:r>
      <w:r w:rsidRPr="004042DC">
        <w:rPr>
          <w:rFonts w:cs="David" w:hint="cs"/>
          <w:sz w:val="24"/>
          <w:szCs w:val="24"/>
          <w:rtl/>
        </w:rPr>
        <w:t xml:space="preserve"> כי טענה </w:t>
      </w:r>
      <w:r w:rsidR="004042DC">
        <w:rPr>
          <w:rFonts w:cs="David" w:hint="cs"/>
          <w:sz w:val="24"/>
          <w:szCs w:val="24"/>
          <w:rtl/>
        </w:rPr>
        <w:t xml:space="preserve">שמאית זו </w:t>
      </w:r>
      <w:r w:rsidRPr="004042DC">
        <w:rPr>
          <w:rFonts w:cs="David" w:hint="cs"/>
          <w:sz w:val="24"/>
          <w:szCs w:val="24"/>
          <w:rtl/>
        </w:rPr>
        <w:t>לא הוצגה בפני השמאי המכריע</w:t>
      </w:r>
      <w:r w:rsidR="00DD1F45" w:rsidRPr="004042DC">
        <w:rPr>
          <w:rFonts w:cs="David" w:hint="cs"/>
          <w:sz w:val="24"/>
          <w:szCs w:val="24"/>
          <w:rtl/>
        </w:rPr>
        <w:t xml:space="preserve"> והועלתה לראשונה בשלב הערר. </w:t>
      </w:r>
      <w:r w:rsidR="004042DC" w:rsidRPr="004042DC">
        <w:rPr>
          <w:rFonts w:cs="David" w:hint="cs"/>
          <w:sz w:val="24"/>
          <w:szCs w:val="24"/>
          <w:rtl/>
        </w:rPr>
        <w:t xml:space="preserve">עובדה זו כשלעצמה מקשה </w:t>
      </w:r>
      <w:r w:rsidR="004042DC">
        <w:rPr>
          <w:rFonts w:cs="David" w:hint="cs"/>
          <w:sz w:val="24"/>
          <w:szCs w:val="24"/>
          <w:rtl/>
        </w:rPr>
        <w:t xml:space="preserve">מאוד </w:t>
      </w:r>
      <w:r w:rsidR="004042DC" w:rsidRPr="004042DC">
        <w:rPr>
          <w:rFonts w:cs="David" w:hint="cs"/>
          <w:sz w:val="24"/>
          <w:szCs w:val="24"/>
          <w:rtl/>
        </w:rPr>
        <w:t xml:space="preserve">על קבלת הטענה. </w:t>
      </w:r>
      <w:r w:rsidR="00DD1F45" w:rsidRPr="004042DC">
        <w:rPr>
          <w:rFonts w:cs="David" w:hint="cs"/>
          <w:sz w:val="24"/>
          <w:szCs w:val="24"/>
          <w:rtl/>
        </w:rPr>
        <w:t>ראו:</w:t>
      </w:r>
      <w:r w:rsidR="004042DC" w:rsidRPr="004042DC">
        <w:rPr>
          <w:rFonts w:cs="David" w:hint="cs"/>
          <w:sz w:val="24"/>
          <w:szCs w:val="24"/>
          <w:rtl/>
        </w:rPr>
        <w:t xml:space="preserve"> </w:t>
      </w:r>
      <w:r w:rsidR="004042DC" w:rsidRPr="004042DC">
        <w:rPr>
          <w:rFonts w:cs="David"/>
          <w:sz w:val="24"/>
          <w:szCs w:val="24"/>
          <w:rtl/>
        </w:rPr>
        <w:t>ערר (מרכז) 8109-11-24 </w:t>
      </w:r>
      <w:r w:rsidR="004042DC" w:rsidRPr="004042DC">
        <w:rPr>
          <w:rFonts w:cs="David"/>
          <w:b/>
          <w:bCs/>
          <w:sz w:val="24"/>
          <w:szCs w:val="24"/>
          <w:rtl/>
        </w:rPr>
        <w:t>חברת שי חי אחזקות נדל"ן בע"מ </w:t>
      </w:r>
      <w:r w:rsidR="004042DC" w:rsidRPr="004042DC">
        <w:rPr>
          <w:rFonts w:cs="David" w:hint="cs"/>
          <w:b/>
          <w:bCs/>
          <w:sz w:val="24"/>
          <w:szCs w:val="24"/>
          <w:rtl/>
        </w:rPr>
        <w:t xml:space="preserve">נ' </w:t>
      </w:r>
      <w:r w:rsidR="004042DC" w:rsidRPr="004042DC">
        <w:rPr>
          <w:rFonts w:cs="David"/>
          <w:b/>
          <w:bCs/>
          <w:sz w:val="24"/>
          <w:szCs w:val="24"/>
          <w:rtl/>
        </w:rPr>
        <w:t xml:space="preserve">הוועדה המקומית לתכנון ולבנייה </w:t>
      </w:r>
      <w:proofErr w:type="spellStart"/>
      <w:r w:rsidR="004042DC" w:rsidRPr="004042DC">
        <w:rPr>
          <w:rFonts w:cs="David"/>
          <w:b/>
          <w:bCs/>
          <w:sz w:val="24"/>
          <w:szCs w:val="24"/>
          <w:rtl/>
        </w:rPr>
        <w:t>שרונים</w:t>
      </w:r>
      <w:proofErr w:type="spellEnd"/>
      <w:r w:rsidR="004042DC" w:rsidRPr="004042DC">
        <w:rPr>
          <w:rFonts w:cs="David" w:hint="cs"/>
          <w:sz w:val="24"/>
          <w:szCs w:val="24"/>
          <w:rtl/>
        </w:rPr>
        <w:t xml:space="preserve"> (פורסם בנבו, 7.9.2025); </w:t>
      </w:r>
      <w:hyperlink r:id="rId28" w:history="1">
        <w:r w:rsidR="004042DC" w:rsidRPr="004042DC">
          <w:rPr>
            <w:rFonts w:cs="David" w:hint="eastAsia"/>
            <w:sz w:val="24"/>
            <w:szCs w:val="24"/>
            <w:rtl/>
          </w:rPr>
          <w:t>ערר</w:t>
        </w:r>
        <w:r w:rsidR="004042DC" w:rsidRPr="004042DC">
          <w:rPr>
            <w:rFonts w:cs="David"/>
            <w:sz w:val="24"/>
            <w:szCs w:val="24"/>
            <w:rtl/>
          </w:rPr>
          <w:t xml:space="preserve"> (</w:t>
        </w:r>
        <w:r w:rsidR="004042DC" w:rsidRPr="004042DC">
          <w:rPr>
            <w:rFonts w:cs="David" w:hint="eastAsia"/>
            <w:sz w:val="24"/>
            <w:szCs w:val="24"/>
            <w:rtl/>
          </w:rPr>
          <w:t>מרכז</w:t>
        </w:r>
        <w:r w:rsidR="004042DC" w:rsidRPr="004042DC">
          <w:rPr>
            <w:rFonts w:cs="David"/>
            <w:sz w:val="24"/>
            <w:szCs w:val="24"/>
            <w:rtl/>
          </w:rPr>
          <w:t>) 9004-09-23</w:t>
        </w:r>
      </w:hyperlink>
      <w:r w:rsidR="004042DC" w:rsidRPr="004042DC">
        <w:rPr>
          <w:rFonts w:cs="David"/>
          <w:sz w:val="24"/>
          <w:szCs w:val="24"/>
          <w:rtl/>
        </w:rPr>
        <w:t xml:space="preserve"> </w:t>
      </w:r>
      <w:r w:rsidR="004042DC" w:rsidRPr="004042DC">
        <w:rPr>
          <w:rFonts w:cs="David"/>
          <w:b/>
          <w:bCs/>
          <w:sz w:val="24"/>
          <w:szCs w:val="24"/>
          <w:rtl/>
        </w:rPr>
        <w:t>תחנת הדלק שיאונה בע"מ נ' הוועדה המקומית לתכנון ולבנייה גבעת שמואל</w:t>
      </w:r>
      <w:r w:rsidR="004042DC" w:rsidRPr="004042DC">
        <w:rPr>
          <w:rFonts w:cs="David"/>
          <w:sz w:val="24"/>
          <w:szCs w:val="24"/>
          <w:rtl/>
        </w:rPr>
        <w:t xml:space="preserve"> (פורסם בנבו, 24.2.2025)</w:t>
      </w:r>
      <w:r w:rsidR="004042DC">
        <w:rPr>
          <w:rFonts w:cs="David" w:hint="cs"/>
          <w:sz w:val="24"/>
          <w:szCs w:val="24"/>
          <w:rtl/>
        </w:rPr>
        <w:t>.</w:t>
      </w:r>
    </w:p>
    <w:p w14:paraId="79AF4447" w14:textId="2F1E1009" w:rsidR="00754E65" w:rsidRPr="00547FD5" w:rsidRDefault="00547FD5" w:rsidP="004042DC">
      <w:pPr>
        <w:pStyle w:val="af1"/>
        <w:numPr>
          <w:ilvl w:val="0"/>
          <w:numId w:val="1"/>
        </w:numPr>
        <w:spacing w:after="120" w:line="360" w:lineRule="auto"/>
        <w:ind w:right="-142"/>
        <w:contextualSpacing w:val="0"/>
        <w:jc w:val="both"/>
        <w:rPr>
          <w:rFonts w:cs="David"/>
          <w:sz w:val="24"/>
          <w:szCs w:val="24"/>
          <w:rtl/>
        </w:rPr>
      </w:pPr>
      <w:r>
        <w:rPr>
          <w:rFonts w:cs="David" w:hint="cs"/>
          <w:sz w:val="24"/>
          <w:szCs w:val="24"/>
          <w:rtl/>
        </w:rPr>
        <w:t>גם לגוף הטענה, מ</w:t>
      </w:r>
      <w:r w:rsidR="00754E65" w:rsidRPr="00547FD5">
        <w:rPr>
          <w:rFonts w:cs="David" w:hint="cs"/>
          <w:sz w:val="24"/>
          <w:szCs w:val="24"/>
          <w:rtl/>
        </w:rPr>
        <w:t xml:space="preserve">ושכלות יסוד </w:t>
      </w:r>
      <w:r>
        <w:rPr>
          <w:rFonts w:cs="David" w:hint="cs"/>
          <w:sz w:val="24"/>
          <w:szCs w:val="24"/>
          <w:rtl/>
        </w:rPr>
        <w:t>הן, ש</w:t>
      </w:r>
      <w:r w:rsidR="00754E65" w:rsidRPr="00547FD5">
        <w:rPr>
          <w:rFonts w:cs="David" w:hint="cs"/>
          <w:sz w:val="24"/>
          <w:szCs w:val="24"/>
          <w:rtl/>
        </w:rPr>
        <w:t>כאשר מדובר בעסקה בודדת שהיא חריגה באופן משמעותי לסביבה, ואפילו שמדובר בעסקה בנכס עצמו, על השמאי להפעיל שיקול דעת ולקבוע אם יש מקום להתבסס עליה.</w:t>
      </w:r>
      <w:r w:rsidR="00376F29" w:rsidRPr="00547FD5">
        <w:rPr>
          <w:rFonts w:cs="David" w:hint="cs"/>
          <w:sz w:val="24"/>
          <w:szCs w:val="24"/>
          <w:rtl/>
        </w:rPr>
        <w:t xml:space="preserve"> </w:t>
      </w:r>
    </w:p>
    <w:p w14:paraId="20BA6429" w14:textId="1FC539E2" w:rsidR="007651C2" w:rsidRDefault="007651C2" w:rsidP="004042DC">
      <w:pPr>
        <w:pStyle w:val="af1"/>
        <w:numPr>
          <w:ilvl w:val="0"/>
          <w:numId w:val="1"/>
        </w:numPr>
        <w:spacing w:after="120" w:line="360" w:lineRule="auto"/>
        <w:ind w:right="-142"/>
        <w:contextualSpacing w:val="0"/>
        <w:jc w:val="both"/>
        <w:rPr>
          <w:rFonts w:cs="David"/>
          <w:sz w:val="24"/>
          <w:szCs w:val="24"/>
        </w:rPr>
      </w:pPr>
      <w:r w:rsidRPr="007651C2">
        <w:rPr>
          <w:rFonts w:cs="David" w:hint="cs"/>
          <w:sz w:val="24"/>
          <w:szCs w:val="24"/>
          <w:rtl/>
        </w:rPr>
        <w:t>ב</w:t>
      </w:r>
      <w:r>
        <w:rPr>
          <w:rFonts w:cs="David" w:hint="cs"/>
          <w:sz w:val="24"/>
          <w:szCs w:val="24"/>
          <w:rtl/>
        </w:rPr>
        <w:t>סעיף 12.2.2.2 ל</w:t>
      </w:r>
      <w:r w:rsidRPr="007651C2">
        <w:rPr>
          <w:rFonts w:cs="David" w:hint="cs"/>
          <w:sz w:val="24"/>
          <w:szCs w:val="24"/>
          <w:rtl/>
        </w:rPr>
        <w:t xml:space="preserve">שומה המכרעת </w:t>
      </w:r>
      <w:r>
        <w:rPr>
          <w:rFonts w:cs="David" w:hint="cs"/>
          <w:sz w:val="24"/>
          <w:szCs w:val="24"/>
          <w:rtl/>
        </w:rPr>
        <w:t>יש התייחסות למחיר העסקה בנכס עצמו, אך הובהר כי מחיר העסקה כולל גם שטח חקלאי של 506 מ"ר, הכולל ציפיות שיש לנטרל. הרצברג ציין, כי לאור מאפייני העסקה, לרבות אי הוודאות לעניין תרומת השטח החקלאי, הוא מצא לנכון להעניק לה משקל נמוך.</w:t>
      </w:r>
      <w:r w:rsidR="00DD1F45">
        <w:rPr>
          <w:rFonts w:cs="David" w:hint="cs"/>
          <w:sz w:val="24"/>
          <w:szCs w:val="24"/>
          <w:rtl/>
        </w:rPr>
        <w:t xml:space="preserve"> מכאן, </w:t>
      </w:r>
      <w:proofErr w:type="spellStart"/>
      <w:r w:rsidR="00DD1F45">
        <w:rPr>
          <w:rFonts w:cs="David" w:hint="cs"/>
          <w:sz w:val="24"/>
          <w:szCs w:val="24"/>
          <w:rtl/>
        </w:rPr>
        <w:t>שהרצברג</w:t>
      </w:r>
      <w:proofErr w:type="spellEnd"/>
      <w:r w:rsidR="00DD1F45">
        <w:rPr>
          <w:rFonts w:cs="David" w:hint="cs"/>
          <w:sz w:val="24"/>
          <w:szCs w:val="24"/>
          <w:rtl/>
        </w:rPr>
        <w:t xml:space="preserve"> לא התעלם מהעסקה בנכס עצמו, אלא סבר שיש ליתן לה משקל נמוך ואף נימק את קביעתו.</w:t>
      </w:r>
    </w:p>
    <w:p w14:paraId="29A14B9E" w14:textId="77777777" w:rsidR="007651C2" w:rsidRPr="009324F3" w:rsidRDefault="007651C2" w:rsidP="004042DC">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לא מצאנו כי נפל פגם בקביעה מקצועית זו של הרצברג, לא כל שכן פגם חמור המצדיק את התערבות ועדת ערר זו</w:t>
      </w:r>
      <w:r w:rsidR="004F0E01">
        <w:rPr>
          <w:rFonts w:cs="David" w:hint="cs"/>
          <w:sz w:val="24"/>
          <w:szCs w:val="24"/>
          <w:rtl/>
        </w:rPr>
        <w:t>.</w:t>
      </w:r>
    </w:p>
    <w:p w14:paraId="2BDEB442" w14:textId="77777777" w:rsidR="00DF73D8" w:rsidRDefault="00DF73D8">
      <w:pPr>
        <w:spacing w:after="80" w:line="360" w:lineRule="auto"/>
        <w:ind w:firstLine="43"/>
        <w:jc w:val="both"/>
        <w:rPr>
          <w:rFonts w:cs="David"/>
          <w:b/>
          <w:bCs/>
          <w:sz w:val="24"/>
          <w:szCs w:val="24"/>
          <w:u w:val="single"/>
          <w:rtl/>
        </w:rPr>
      </w:pPr>
    </w:p>
    <w:p w14:paraId="19B602DF" w14:textId="77777777" w:rsidR="00C24698" w:rsidRDefault="003937E2">
      <w:pPr>
        <w:spacing w:after="80" w:line="360" w:lineRule="auto"/>
        <w:ind w:firstLine="43"/>
        <w:jc w:val="both"/>
        <w:rPr>
          <w:rFonts w:cs="David"/>
          <w:b/>
          <w:bCs/>
          <w:sz w:val="24"/>
          <w:szCs w:val="24"/>
          <w:u w:val="single"/>
        </w:rPr>
      </w:pPr>
      <w:r>
        <w:rPr>
          <w:rFonts w:cs="David"/>
          <w:b/>
          <w:bCs/>
          <w:sz w:val="24"/>
          <w:szCs w:val="24"/>
          <w:u w:val="single"/>
          <w:rtl/>
        </w:rPr>
        <w:t>הטענה בדבר מקדם ה</w:t>
      </w:r>
      <w:r w:rsidR="006D40E8">
        <w:rPr>
          <w:rFonts w:cs="David" w:hint="cs"/>
          <w:b/>
          <w:bCs/>
          <w:sz w:val="24"/>
          <w:szCs w:val="24"/>
          <w:u w:val="single"/>
          <w:rtl/>
        </w:rPr>
        <w:t>פחתה בגין דחייה לפיתוח</w:t>
      </w:r>
    </w:p>
    <w:p w14:paraId="7698F602" w14:textId="77777777" w:rsidR="00DC29C5" w:rsidRDefault="00DC29C5" w:rsidP="004042DC">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טענה אחרת שהעלו העוררות נגעה למקדם ההפחתה בגין דחייה לפיתוח שיושם על שווי המקרקעין במצב החדש.</w:t>
      </w:r>
    </w:p>
    <w:p w14:paraId="65229220" w14:textId="77777777" w:rsidR="00833785" w:rsidRDefault="003E69E4" w:rsidP="004042DC">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 xml:space="preserve">השומות המכריעות </w:t>
      </w:r>
      <w:r w:rsidR="00833785">
        <w:rPr>
          <w:rFonts w:cs="David" w:hint="cs"/>
          <w:sz w:val="24"/>
          <w:szCs w:val="24"/>
          <w:rtl/>
        </w:rPr>
        <w:t>הבחינו</w:t>
      </w:r>
      <w:r w:rsidR="002679A0">
        <w:rPr>
          <w:rFonts w:cs="David" w:hint="cs"/>
          <w:sz w:val="24"/>
          <w:szCs w:val="24"/>
          <w:rtl/>
        </w:rPr>
        <w:t xml:space="preserve"> בין מגרשי מגורים זמינים מבחינה סטטוטורית </w:t>
      </w:r>
      <w:r w:rsidR="00833785">
        <w:rPr>
          <w:rFonts w:cs="David" w:hint="cs"/>
          <w:sz w:val="24"/>
          <w:szCs w:val="24"/>
          <w:rtl/>
        </w:rPr>
        <w:t xml:space="preserve">(שלב א') </w:t>
      </w:r>
      <w:r w:rsidR="002679A0">
        <w:rPr>
          <w:rFonts w:cs="David" w:hint="cs"/>
          <w:sz w:val="24"/>
          <w:szCs w:val="24"/>
          <w:rtl/>
        </w:rPr>
        <w:t xml:space="preserve">לבין מגרשים שכפופים למגבלת ניצול </w:t>
      </w:r>
      <w:r w:rsidR="00833785">
        <w:rPr>
          <w:rFonts w:cs="David" w:hint="cs"/>
          <w:sz w:val="24"/>
          <w:szCs w:val="24"/>
          <w:rtl/>
        </w:rPr>
        <w:t>והכנת תוכנית מפורטת (</w:t>
      </w:r>
      <w:r w:rsidR="002679A0">
        <w:rPr>
          <w:rFonts w:cs="David" w:hint="cs"/>
          <w:sz w:val="24"/>
          <w:szCs w:val="24"/>
          <w:rtl/>
        </w:rPr>
        <w:t>שלב ב'</w:t>
      </w:r>
      <w:r w:rsidR="00833785">
        <w:rPr>
          <w:rFonts w:cs="David" w:hint="cs"/>
          <w:sz w:val="24"/>
          <w:szCs w:val="24"/>
          <w:rtl/>
        </w:rPr>
        <w:t>)</w:t>
      </w:r>
      <w:r w:rsidR="002679A0">
        <w:rPr>
          <w:rFonts w:cs="David" w:hint="cs"/>
          <w:sz w:val="24"/>
          <w:szCs w:val="24"/>
          <w:rtl/>
        </w:rPr>
        <w:t xml:space="preserve">. </w:t>
      </w:r>
    </w:p>
    <w:p w14:paraId="7A4CC8F0" w14:textId="77777777" w:rsidR="00833785" w:rsidRDefault="003E69E4" w:rsidP="004042DC">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 xml:space="preserve">בשומת דדון הובא בחשבון מקדם דחייה ל- 5 שנים בשיעור היוון של 6% למגרשים </w:t>
      </w:r>
      <w:r w:rsidRPr="003E69E4">
        <w:rPr>
          <w:rFonts w:cs="David"/>
          <w:sz w:val="24"/>
          <w:szCs w:val="24"/>
          <w:rtl/>
        </w:rPr>
        <w:t>ביעוד מגורים א' בהם ניתן להוציא היתרי בניה</w:t>
      </w:r>
      <w:r>
        <w:rPr>
          <w:rFonts w:cs="David" w:hint="cs"/>
          <w:sz w:val="24"/>
          <w:szCs w:val="24"/>
          <w:rtl/>
        </w:rPr>
        <w:t>, ומקדם דחייה ל- 7 שנים בשיעור היוון של 6% ל</w:t>
      </w:r>
      <w:r w:rsidRPr="003E69E4">
        <w:rPr>
          <w:rFonts w:cs="David"/>
          <w:sz w:val="24"/>
          <w:szCs w:val="24"/>
          <w:rtl/>
        </w:rPr>
        <w:t>מגרשים ביעוד מגורים ב' וביעוד מסחרי בהם לא ניתן להוציא היתרי בניה</w:t>
      </w:r>
      <w:r>
        <w:rPr>
          <w:rFonts w:cs="David" w:hint="cs"/>
          <w:sz w:val="24"/>
          <w:szCs w:val="24"/>
          <w:rtl/>
        </w:rPr>
        <w:t xml:space="preserve"> מכוח התוכנית המשביחה.</w:t>
      </w:r>
    </w:p>
    <w:p w14:paraId="6EC58DEE" w14:textId="77777777" w:rsidR="003E69E4" w:rsidRPr="003E69E4" w:rsidRDefault="003E69E4" w:rsidP="004042DC">
      <w:pPr>
        <w:pStyle w:val="af1"/>
        <w:numPr>
          <w:ilvl w:val="0"/>
          <w:numId w:val="1"/>
        </w:numPr>
        <w:spacing w:after="120" w:line="360" w:lineRule="auto"/>
        <w:ind w:right="-142"/>
        <w:contextualSpacing w:val="0"/>
        <w:jc w:val="both"/>
        <w:rPr>
          <w:rFonts w:cs="David"/>
          <w:sz w:val="24"/>
          <w:szCs w:val="24"/>
        </w:rPr>
      </w:pPr>
      <w:r w:rsidRPr="003E69E4">
        <w:rPr>
          <w:rFonts w:cs="David" w:hint="cs"/>
          <w:sz w:val="24"/>
          <w:szCs w:val="24"/>
          <w:rtl/>
        </w:rPr>
        <w:t>בשומות הרצברג הובאה בחשבון דחייה ל- 3 שנים בשיעור היוון של 6%, בגין מגרשי מגורים הזמינים בשלב א', בשל תנאים שעשויים לעכב את המימוש, כגון הצורך בפיתוח סביבתי ואישור תוכנית בינוי. לעומת זאת, בגין מגרש מגורים בשלב ב' הובאה בחשבון דחייה ל- 5 שנים בשיעור היוון של 6% ובגין מגרש מסחרי בשלב ב' הובאה בחשבון דחייה ל- 7 שנים בשיעור היוון של 6%.</w:t>
      </w:r>
    </w:p>
    <w:p w14:paraId="2BE2CF49" w14:textId="77777777" w:rsidR="003E69E4" w:rsidRDefault="003E69E4" w:rsidP="004042DC">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אפי קפיטל מלינה כנגד קביעת מקדם הדחיה ל- 3 שנים, וטוענת כי קביעה זו לא נומקה דיהּ, בפרט כאשר הוועדה המקומית עצמה קבעה מקדם דחייה של 5 שנים, וכאשר במכרזי</w:t>
      </w:r>
      <w:r w:rsidR="007D1BF0">
        <w:rPr>
          <w:rFonts w:cs="David" w:hint="cs"/>
          <w:sz w:val="24"/>
          <w:szCs w:val="24"/>
          <w:rtl/>
        </w:rPr>
        <w:t>ם מאוחרים של</w:t>
      </w:r>
      <w:r>
        <w:rPr>
          <w:rFonts w:cs="David" w:hint="cs"/>
          <w:sz w:val="24"/>
          <w:szCs w:val="24"/>
          <w:rtl/>
        </w:rPr>
        <w:t xml:space="preserve"> </w:t>
      </w:r>
      <w:proofErr w:type="spellStart"/>
      <w:r>
        <w:rPr>
          <w:rFonts w:cs="David" w:hint="cs"/>
          <w:sz w:val="24"/>
          <w:szCs w:val="24"/>
          <w:rtl/>
        </w:rPr>
        <w:t>רמ"י</w:t>
      </w:r>
      <w:proofErr w:type="spellEnd"/>
      <w:r>
        <w:rPr>
          <w:rFonts w:cs="David" w:hint="cs"/>
          <w:sz w:val="24"/>
          <w:szCs w:val="24"/>
          <w:rtl/>
        </w:rPr>
        <w:t xml:space="preserve"> נקבעה תקופת פיתוח של 24 חודשים </w:t>
      </w:r>
      <w:r>
        <w:rPr>
          <w:rFonts w:cs="David"/>
          <w:sz w:val="24"/>
          <w:szCs w:val="24"/>
          <w:rtl/>
        </w:rPr>
        <w:t>–</w:t>
      </w:r>
      <w:r>
        <w:rPr>
          <w:rFonts w:cs="David" w:hint="cs"/>
          <w:sz w:val="24"/>
          <w:szCs w:val="24"/>
          <w:rtl/>
        </w:rPr>
        <w:t xml:space="preserve"> דבר המלמד על תקופת פיתוח ארוכה בהרבה</w:t>
      </w:r>
      <w:r w:rsidR="007D1BF0">
        <w:rPr>
          <w:rFonts w:cs="David" w:hint="cs"/>
          <w:sz w:val="24"/>
          <w:szCs w:val="24"/>
          <w:rtl/>
        </w:rPr>
        <w:t xml:space="preserve"> לדבריה</w:t>
      </w:r>
      <w:r>
        <w:rPr>
          <w:rFonts w:cs="David" w:hint="cs"/>
          <w:sz w:val="24"/>
          <w:szCs w:val="24"/>
          <w:rtl/>
        </w:rPr>
        <w:t>.</w:t>
      </w:r>
    </w:p>
    <w:p w14:paraId="3736E5AF" w14:textId="77777777" w:rsidR="003E69E4" w:rsidRDefault="003E69E4" w:rsidP="004042DC">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עיון בשומ</w:t>
      </w:r>
      <w:r w:rsidR="00DC29C5">
        <w:rPr>
          <w:rFonts w:cs="David" w:hint="cs"/>
          <w:sz w:val="24"/>
          <w:szCs w:val="24"/>
          <w:rtl/>
        </w:rPr>
        <w:t>ה מכרעת</w:t>
      </w:r>
      <w:r>
        <w:rPr>
          <w:rFonts w:cs="David" w:hint="cs"/>
          <w:sz w:val="24"/>
          <w:szCs w:val="24"/>
          <w:rtl/>
        </w:rPr>
        <w:t xml:space="preserve"> </w:t>
      </w:r>
      <w:r w:rsidR="00284B2C">
        <w:rPr>
          <w:rFonts w:cs="David" w:hint="cs"/>
          <w:sz w:val="24"/>
          <w:szCs w:val="24"/>
          <w:rtl/>
        </w:rPr>
        <w:t>אפי קפיטל 2021 מעלה, כי הרצברג התייחס למקדם ההפחתה שיושם על ידי הוועדה המקומית (עמ' 7, סעיף 11.1.1 לשומה המכרעת). כן נזכרו טענות אפי קפיטל ליישום מקדמי הפחתה שונים בשיעור כולל של 75%</w:t>
      </w:r>
      <w:r w:rsidR="00781723">
        <w:rPr>
          <w:rFonts w:cs="David" w:hint="cs"/>
          <w:sz w:val="24"/>
          <w:szCs w:val="24"/>
          <w:rtl/>
        </w:rPr>
        <w:t xml:space="preserve"> (סעיף 11.2.2.2)</w:t>
      </w:r>
      <w:r w:rsidR="00284B2C">
        <w:rPr>
          <w:rFonts w:cs="David" w:hint="cs"/>
          <w:sz w:val="24"/>
          <w:szCs w:val="24"/>
          <w:rtl/>
        </w:rPr>
        <w:t>.</w:t>
      </w:r>
      <w:r w:rsidR="00284B2C">
        <w:rPr>
          <w:rStyle w:val="afa"/>
          <w:rFonts w:cs="David"/>
          <w:sz w:val="24"/>
          <w:szCs w:val="24"/>
          <w:rtl/>
        </w:rPr>
        <w:footnoteReference w:id="2"/>
      </w:r>
      <w:r w:rsidR="00284B2C">
        <w:rPr>
          <w:rFonts w:cs="David" w:hint="cs"/>
          <w:sz w:val="24"/>
          <w:szCs w:val="24"/>
          <w:rtl/>
        </w:rPr>
        <w:t xml:space="preserve"> הרצברג פירט גם את טענת הוועדה המקומית בתשובה לטענות אפי קפיטל, שלפיהן </w:t>
      </w:r>
      <w:r w:rsidR="00781723">
        <w:rPr>
          <w:rFonts w:cs="David" w:hint="cs"/>
          <w:sz w:val="24"/>
          <w:szCs w:val="24"/>
          <w:rtl/>
        </w:rPr>
        <w:t>אל מול מקדם ההפחתה בשל זמינות בנייה ופיתוח, יש לקחת בחשבון כי ערכי השווי בשכונות הרחבה לעתים גבוהים יותר, בשל פיתוח ותכנון ברמה גבוהה יותר (סעיף 11.3.2.2). לבסוף קבע הרצברג:</w:t>
      </w:r>
    </w:p>
    <w:p w14:paraId="50162CF6" w14:textId="77777777" w:rsidR="00781723" w:rsidRPr="00781723" w:rsidRDefault="00781723" w:rsidP="00781723">
      <w:pPr>
        <w:pStyle w:val="P00"/>
        <w:tabs>
          <w:tab w:val="clear" w:pos="624"/>
          <w:tab w:val="clear" w:pos="1928"/>
          <w:tab w:val="clear" w:pos="2381"/>
          <w:tab w:val="clear" w:pos="2835"/>
          <w:tab w:val="left" w:pos="893"/>
        </w:tabs>
        <w:spacing w:before="72" w:after="240"/>
        <w:ind w:left="1179" w:right="1134"/>
        <w:rPr>
          <w:rStyle w:val="big-number"/>
          <w:rFonts w:ascii="FrankRuehl" w:hAnsi="FrankRuehl"/>
          <w:noProof w:val="0"/>
          <w:sz w:val="24"/>
          <w:szCs w:val="24"/>
        </w:rPr>
      </w:pPr>
      <w:r w:rsidRPr="00781723">
        <w:rPr>
          <w:rStyle w:val="big-number"/>
          <w:rFonts w:ascii="FrankRuehl" w:hAnsi="FrankRuehl" w:hint="cs"/>
          <w:noProof w:val="0"/>
          <w:sz w:val="24"/>
          <w:szCs w:val="24"/>
          <w:rtl/>
        </w:rPr>
        <w:t>"</w:t>
      </w:r>
      <w:r w:rsidRPr="00781723">
        <w:rPr>
          <w:rStyle w:val="big-number"/>
          <w:rFonts w:ascii="FrankRuehl" w:hAnsi="FrankRuehl"/>
          <w:noProof w:val="0"/>
          <w:sz w:val="24"/>
          <w:szCs w:val="24"/>
          <w:rtl/>
        </w:rPr>
        <w:t>דחיה – התכנית מציבה תנאים למתן היתר העשויים לעכב את אישורו כגון צורך בפיתוח סביבתי ואישור תכנית</w:t>
      </w:r>
      <w:r w:rsidRPr="00781723">
        <w:rPr>
          <w:rStyle w:val="big-number"/>
          <w:rFonts w:ascii="FrankRuehl" w:hAnsi="FrankRuehl"/>
          <w:noProof w:val="0"/>
          <w:sz w:val="24"/>
          <w:szCs w:val="24"/>
        </w:rPr>
        <w:t xml:space="preserve"> </w:t>
      </w:r>
      <w:r w:rsidRPr="00781723">
        <w:rPr>
          <w:rStyle w:val="big-number"/>
          <w:rFonts w:ascii="FrankRuehl" w:hAnsi="FrankRuehl"/>
          <w:noProof w:val="0"/>
          <w:sz w:val="24"/>
          <w:szCs w:val="24"/>
          <w:rtl/>
        </w:rPr>
        <w:t>בינוי, לפיכך תובא בחשבון דחיה לתקופה של 3 שנים בשיעור היוון 6% בשונה מעמדת המשיבה שנקט בדחיה של</w:t>
      </w:r>
      <w:r w:rsidRPr="00781723">
        <w:rPr>
          <w:rStyle w:val="big-number"/>
          <w:rFonts w:ascii="FrankRuehl" w:hAnsi="FrankRuehl" w:hint="cs"/>
          <w:noProof w:val="0"/>
          <w:sz w:val="24"/>
          <w:szCs w:val="24"/>
          <w:rtl/>
        </w:rPr>
        <w:t xml:space="preserve"> 5</w:t>
      </w:r>
      <w:r w:rsidRPr="00781723">
        <w:rPr>
          <w:rStyle w:val="big-number"/>
          <w:rFonts w:ascii="FrankRuehl" w:hAnsi="FrankRuehl"/>
          <w:noProof w:val="0"/>
          <w:sz w:val="24"/>
          <w:szCs w:val="24"/>
        </w:rPr>
        <w:t xml:space="preserve"> </w:t>
      </w:r>
      <w:r w:rsidRPr="00781723">
        <w:rPr>
          <w:rStyle w:val="big-number"/>
          <w:rFonts w:ascii="FrankRuehl" w:hAnsi="FrankRuehl"/>
          <w:noProof w:val="0"/>
          <w:sz w:val="24"/>
          <w:szCs w:val="24"/>
          <w:rtl/>
        </w:rPr>
        <w:t>שנים בשיעור היוון 5%</w:t>
      </w:r>
      <w:r w:rsidRPr="00781723">
        <w:rPr>
          <w:rStyle w:val="big-number"/>
          <w:rFonts w:ascii="FrankRuehl" w:hAnsi="FrankRuehl" w:hint="cs"/>
          <w:noProof w:val="0"/>
          <w:sz w:val="24"/>
          <w:szCs w:val="24"/>
          <w:rtl/>
        </w:rPr>
        <w:t>."</w:t>
      </w:r>
    </w:p>
    <w:p w14:paraId="7DC7B0A8" w14:textId="77777777" w:rsidR="00781723" w:rsidRDefault="00781723" w:rsidP="004042DC">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מדובר בקביעה מנומקת בצורה מספקת, שעולה ממנה כי הובאו בחשבון התנאים הרלוונטיים לקביעת מקדם הדחייה, כמו גם עמדת הוועדה המקומית. תקופת הפיתוח שנקבעה במכרזי רשות מקרקעי ישראל נזכרה רק בשלב הערר, וממילא לא עמדו מכרזי</w:t>
      </w:r>
      <w:r w:rsidR="007D1BF0">
        <w:rPr>
          <w:rFonts w:cs="David" w:hint="cs"/>
          <w:sz w:val="24"/>
          <w:szCs w:val="24"/>
          <w:rtl/>
        </w:rPr>
        <w:t xml:space="preserve"> </w:t>
      </w:r>
      <w:proofErr w:type="spellStart"/>
      <w:r w:rsidR="007D1BF0">
        <w:rPr>
          <w:rFonts w:cs="David" w:hint="cs"/>
          <w:sz w:val="24"/>
          <w:szCs w:val="24"/>
          <w:rtl/>
        </w:rPr>
        <w:t>רמ"י</w:t>
      </w:r>
      <w:proofErr w:type="spellEnd"/>
      <w:r w:rsidR="007D1BF0">
        <w:rPr>
          <w:rFonts w:cs="David" w:hint="cs"/>
          <w:sz w:val="24"/>
          <w:szCs w:val="24"/>
          <w:rtl/>
        </w:rPr>
        <w:t xml:space="preserve"> שהתפרסמו, לטענת </w:t>
      </w:r>
      <w:r>
        <w:rPr>
          <w:rFonts w:cs="David" w:hint="cs"/>
          <w:sz w:val="24"/>
          <w:szCs w:val="24"/>
          <w:rtl/>
        </w:rPr>
        <w:t xml:space="preserve">אפי קפיטל </w:t>
      </w:r>
      <w:r w:rsidR="007D1BF0">
        <w:rPr>
          <w:rFonts w:cs="David" w:hint="cs"/>
          <w:sz w:val="24"/>
          <w:szCs w:val="24"/>
          <w:rtl/>
        </w:rPr>
        <w:t xml:space="preserve">עצמה, רק סמוך להגשת הערר על ידה, </w:t>
      </w:r>
      <w:r>
        <w:rPr>
          <w:rFonts w:cs="David" w:hint="cs"/>
          <w:sz w:val="24"/>
          <w:szCs w:val="24"/>
          <w:rtl/>
        </w:rPr>
        <w:t>בפני הרצברג במועד עריכת שומתו.</w:t>
      </w:r>
    </w:p>
    <w:p w14:paraId="70D10E52" w14:textId="77777777" w:rsidR="005752CD" w:rsidRDefault="005752CD" w:rsidP="004042DC">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 xml:space="preserve">זו ואף זו, עיון בשומת אוולין </w:t>
      </w:r>
      <w:proofErr w:type="spellStart"/>
      <w:r>
        <w:rPr>
          <w:rFonts w:cs="David" w:hint="cs"/>
          <w:sz w:val="24"/>
          <w:szCs w:val="24"/>
          <w:rtl/>
        </w:rPr>
        <w:t>דודזון</w:t>
      </w:r>
      <w:proofErr w:type="spellEnd"/>
      <w:r>
        <w:rPr>
          <w:rFonts w:cs="David" w:hint="cs"/>
          <w:sz w:val="24"/>
          <w:szCs w:val="24"/>
          <w:rtl/>
        </w:rPr>
        <w:t xml:space="preserve"> שמאמה מיום 3.8.2020 שנדונה בערר </w:t>
      </w:r>
      <w:proofErr w:type="spellStart"/>
      <w:r w:rsidRPr="007D1BF0">
        <w:rPr>
          <w:rFonts w:cs="David" w:hint="cs"/>
          <w:b/>
          <w:bCs/>
          <w:sz w:val="24"/>
          <w:szCs w:val="24"/>
          <w:rtl/>
        </w:rPr>
        <w:t>שבדרון</w:t>
      </w:r>
      <w:proofErr w:type="spellEnd"/>
      <w:r>
        <w:rPr>
          <w:rFonts w:cs="David" w:hint="cs"/>
          <w:sz w:val="24"/>
          <w:szCs w:val="24"/>
          <w:rtl/>
        </w:rPr>
        <w:t xml:space="preserve"> מעלה, כי ביחס למגרשים </w:t>
      </w:r>
      <w:r w:rsidR="007D1BF0">
        <w:rPr>
          <w:rFonts w:cs="David" w:hint="cs"/>
          <w:sz w:val="24"/>
          <w:szCs w:val="24"/>
          <w:rtl/>
        </w:rPr>
        <w:t xml:space="preserve">בייעוד מגורים א' הביאה אף היא בחשבון דחייה ל- 3 שנים בשיעור היוון של 6%. בשומה </w:t>
      </w:r>
      <w:r w:rsidR="007D1BF0">
        <w:rPr>
          <w:rFonts w:cs="David" w:hint="cs"/>
          <w:sz w:val="24"/>
          <w:szCs w:val="24"/>
          <w:rtl/>
        </w:rPr>
        <w:lastRenderedPageBreak/>
        <w:t xml:space="preserve">מכרעת מאוחרת יותר, </w:t>
      </w:r>
      <w:r>
        <w:rPr>
          <w:rFonts w:cs="David" w:hint="cs"/>
          <w:sz w:val="24"/>
          <w:szCs w:val="24"/>
          <w:rtl/>
        </w:rPr>
        <w:t xml:space="preserve">שנערכה </w:t>
      </w:r>
      <w:r w:rsidR="007D1BF0">
        <w:rPr>
          <w:rFonts w:cs="David" w:hint="cs"/>
          <w:sz w:val="24"/>
          <w:szCs w:val="24"/>
          <w:rtl/>
        </w:rPr>
        <w:t xml:space="preserve">על ידה </w:t>
      </w:r>
      <w:r>
        <w:rPr>
          <w:rFonts w:cs="David" w:hint="cs"/>
          <w:sz w:val="24"/>
          <w:szCs w:val="24"/>
          <w:rtl/>
        </w:rPr>
        <w:t xml:space="preserve">ביום 20.11.2023 ביחס </w:t>
      </w:r>
      <w:proofErr w:type="spellStart"/>
      <w:r>
        <w:rPr>
          <w:rFonts w:cs="David" w:hint="cs"/>
          <w:sz w:val="24"/>
          <w:szCs w:val="24"/>
          <w:rtl/>
        </w:rPr>
        <w:t>לגו"ח</w:t>
      </w:r>
      <w:proofErr w:type="spellEnd"/>
      <w:r>
        <w:rPr>
          <w:rFonts w:cs="David" w:hint="cs"/>
          <w:sz w:val="24"/>
          <w:szCs w:val="24"/>
          <w:rtl/>
        </w:rPr>
        <w:t xml:space="preserve"> 10039/15, </w:t>
      </w:r>
      <w:r w:rsidR="007D1BF0">
        <w:rPr>
          <w:rFonts w:cs="David" w:hint="cs"/>
          <w:sz w:val="24"/>
          <w:szCs w:val="24"/>
          <w:rtl/>
        </w:rPr>
        <w:t xml:space="preserve">הסבירה </w:t>
      </w:r>
      <w:proofErr w:type="spellStart"/>
      <w:r w:rsidR="007D1BF0">
        <w:rPr>
          <w:rFonts w:cs="David" w:hint="cs"/>
          <w:sz w:val="24"/>
          <w:szCs w:val="24"/>
          <w:rtl/>
        </w:rPr>
        <w:t>דודזון</w:t>
      </w:r>
      <w:proofErr w:type="spellEnd"/>
      <w:r w:rsidR="007D1BF0">
        <w:rPr>
          <w:rFonts w:cs="David" w:hint="cs"/>
          <w:sz w:val="24"/>
          <w:szCs w:val="24"/>
          <w:rtl/>
        </w:rPr>
        <w:t xml:space="preserve"> שמאמה בפירוט את עמדתה בנושא</w:t>
      </w:r>
      <w:r>
        <w:rPr>
          <w:rFonts w:cs="David" w:hint="cs"/>
          <w:sz w:val="24"/>
          <w:szCs w:val="24"/>
          <w:rtl/>
        </w:rPr>
        <w:t>:</w:t>
      </w:r>
    </w:p>
    <w:p w14:paraId="1F1F5235" w14:textId="77777777" w:rsidR="005752CD" w:rsidRPr="005752CD" w:rsidRDefault="005752CD" w:rsidP="005752CD">
      <w:pPr>
        <w:pStyle w:val="P00"/>
        <w:tabs>
          <w:tab w:val="clear" w:pos="624"/>
          <w:tab w:val="clear" w:pos="1928"/>
          <w:tab w:val="clear" w:pos="2381"/>
          <w:tab w:val="clear" w:pos="2835"/>
          <w:tab w:val="left" w:pos="893"/>
        </w:tabs>
        <w:spacing w:before="72" w:after="240"/>
        <w:ind w:left="1179" w:right="1134"/>
        <w:rPr>
          <w:rStyle w:val="big-number"/>
          <w:rFonts w:ascii="FrankRuehl" w:hAnsi="FrankRuehl"/>
          <w:noProof w:val="0"/>
          <w:sz w:val="24"/>
          <w:szCs w:val="24"/>
          <w:rtl/>
        </w:rPr>
      </w:pPr>
      <w:r w:rsidRPr="005752CD">
        <w:rPr>
          <w:rStyle w:val="big-number"/>
          <w:rFonts w:ascii="FrankRuehl" w:hAnsi="FrankRuehl" w:hint="cs"/>
          <w:noProof w:val="0"/>
          <w:sz w:val="24"/>
          <w:szCs w:val="24"/>
          <w:rtl/>
        </w:rPr>
        <w:t>"שמאי המבקשים סבור שיש להביא בחשבון דחייה ב- 5 שנים למימוש הזכויות שכן בחלוף 5 שנים ממועד התוכנית השטח טרם פותח. שמאי המשיבה סבור שיש להביא בחשבון דחייה של 3 שנים. אני מקבלת את עמדת שמאי המשיבה, פרק זמן של 3 שנים למימוש התוכנית הינו פרק זמן סביר והעובדה שהשטח הנדון טרם פותח ייתכן שנובעת מסיבות אחרות שאינן קשורות להכרעה זו. כמו כן, ההשבחה נבחנת במועד הקובע של התוכנית ולא בראייה לאחור."</w:t>
      </w:r>
    </w:p>
    <w:p w14:paraId="0FA17CD2" w14:textId="77777777" w:rsidR="00781723" w:rsidRDefault="007D1BF0" w:rsidP="004042DC">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 xml:space="preserve">בשומה המכרעת של גיא צדיק שנדונה בערר </w:t>
      </w:r>
      <w:proofErr w:type="spellStart"/>
      <w:r w:rsidRPr="007D1BF0">
        <w:rPr>
          <w:rFonts w:cs="David" w:hint="cs"/>
          <w:b/>
          <w:bCs/>
          <w:sz w:val="24"/>
          <w:szCs w:val="24"/>
          <w:rtl/>
        </w:rPr>
        <w:t>זלץ</w:t>
      </w:r>
      <w:proofErr w:type="spellEnd"/>
      <w:r>
        <w:rPr>
          <w:rFonts w:cs="David" w:hint="cs"/>
          <w:sz w:val="24"/>
          <w:szCs w:val="24"/>
          <w:rtl/>
        </w:rPr>
        <w:t xml:space="preserve"> יושם מקדם דחייה של 5 שנים בשיעור היוון של 5% ביחס למקרקעין בשלב ב', שמצריכים אישור תוכנית מפורטת נוספת. קביעה זו מתיישבת אף היא עם ההבחנה שביצע הרצברג בשומותיו המכריעות, בין שלב א' לבין שלב ב'.</w:t>
      </w:r>
    </w:p>
    <w:p w14:paraId="413E354B" w14:textId="6AB63BEA" w:rsidR="007D1BF0" w:rsidRDefault="007D1BF0" w:rsidP="004042DC">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בכל אלו יש כדי לאשש את ה</w:t>
      </w:r>
      <w:r w:rsidR="0022145B">
        <w:rPr>
          <w:rFonts w:cs="David" w:hint="cs"/>
          <w:sz w:val="24"/>
          <w:szCs w:val="24"/>
          <w:rtl/>
        </w:rPr>
        <w:t>מסקנה,</w:t>
      </w:r>
      <w:r>
        <w:rPr>
          <w:rFonts w:cs="David" w:hint="cs"/>
          <w:sz w:val="24"/>
          <w:szCs w:val="24"/>
          <w:rtl/>
        </w:rPr>
        <w:t xml:space="preserve"> שקביעתו המקצועית של הרצברג בנושא מקדם הדחייה למגרשים בשלב א' אינה בלתי סבירה, וממילא לא קמה הצדקה כי ועדת ערר זו תתערב בה. </w:t>
      </w:r>
    </w:p>
    <w:p w14:paraId="0A8F5025" w14:textId="77777777" w:rsidR="00781723" w:rsidRDefault="00781723">
      <w:pPr>
        <w:spacing w:after="80" w:line="360" w:lineRule="auto"/>
        <w:ind w:firstLine="43"/>
        <w:jc w:val="both"/>
        <w:rPr>
          <w:rFonts w:cs="David"/>
          <w:b/>
          <w:bCs/>
          <w:sz w:val="24"/>
          <w:szCs w:val="24"/>
          <w:u w:val="single"/>
          <w:rtl/>
        </w:rPr>
      </w:pPr>
    </w:p>
    <w:p w14:paraId="37026360" w14:textId="77777777" w:rsidR="00C24698" w:rsidRDefault="003937E2">
      <w:pPr>
        <w:spacing w:after="80" w:line="360" w:lineRule="auto"/>
        <w:ind w:firstLine="43"/>
        <w:jc w:val="both"/>
        <w:rPr>
          <w:rFonts w:cs="David"/>
          <w:b/>
          <w:bCs/>
          <w:sz w:val="24"/>
          <w:szCs w:val="24"/>
          <w:u w:val="single"/>
        </w:rPr>
      </w:pPr>
      <w:r>
        <w:rPr>
          <w:rFonts w:cs="David"/>
          <w:b/>
          <w:bCs/>
          <w:sz w:val="24"/>
          <w:szCs w:val="24"/>
          <w:u w:val="single"/>
          <w:rtl/>
        </w:rPr>
        <w:t xml:space="preserve">הטענה בדבר </w:t>
      </w:r>
      <w:r w:rsidR="006D40E8">
        <w:rPr>
          <w:rFonts w:cs="David" w:hint="cs"/>
          <w:b/>
          <w:bCs/>
          <w:sz w:val="24"/>
          <w:szCs w:val="24"/>
          <w:u w:val="single"/>
          <w:rtl/>
        </w:rPr>
        <w:t xml:space="preserve">מקדם הפחתה בגין </w:t>
      </w:r>
      <w:r>
        <w:rPr>
          <w:rFonts w:cs="David"/>
          <w:b/>
          <w:bCs/>
          <w:sz w:val="24"/>
          <w:szCs w:val="24"/>
          <w:u w:val="single"/>
          <w:rtl/>
        </w:rPr>
        <w:t>קרבה לבית העלמין</w:t>
      </w:r>
    </w:p>
    <w:p w14:paraId="71AB1BBC" w14:textId="2FCECA44" w:rsidR="006D40E8" w:rsidRDefault="006D40E8" w:rsidP="004042DC">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בשומ</w:t>
      </w:r>
      <w:r w:rsidR="00DC29C5">
        <w:rPr>
          <w:rFonts w:cs="David" w:hint="cs"/>
          <w:sz w:val="24"/>
          <w:szCs w:val="24"/>
          <w:rtl/>
        </w:rPr>
        <w:t>ה מכרעת</w:t>
      </w:r>
      <w:r w:rsidR="00D97790">
        <w:rPr>
          <w:rFonts w:cs="David" w:hint="cs"/>
          <w:sz w:val="24"/>
          <w:szCs w:val="24"/>
          <w:rtl/>
        </w:rPr>
        <w:t xml:space="preserve"> אפי קפיטל משנת</w:t>
      </w:r>
      <w:r>
        <w:rPr>
          <w:rFonts w:cs="David" w:hint="cs"/>
          <w:sz w:val="24"/>
          <w:szCs w:val="24"/>
          <w:rtl/>
        </w:rPr>
        <w:t xml:space="preserve"> 2021 נטען בדבר הצורך ליישם מקדם הפחתה</w:t>
      </w:r>
      <w:r w:rsidR="00DD1F45">
        <w:rPr>
          <w:rFonts w:cs="David" w:hint="cs"/>
          <w:sz w:val="24"/>
          <w:szCs w:val="24"/>
          <w:rtl/>
        </w:rPr>
        <w:t xml:space="preserve"> נוסף</w:t>
      </w:r>
      <w:r>
        <w:rPr>
          <w:rFonts w:cs="David" w:hint="cs"/>
          <w:sz w:val="24"/>
          <w:szCs w:val="24"/>
          <w:rtl/>
        </w:rPr>
        <w:t xml:space="preserve"> על שווי הקרקע במצב החדש</w:t>
      </w:r>
      <w:r w:rsidR="00DD1F45">
        <w:rPr>
          <w:rFonts w:cs="David" w:hint="cs"/>
          <w:sz w:val="24"/>
          <w:szCs w:val="24"/>
          <w:rtl/>
        </w:rPr>
        <w:t>,</w:t>
      </w:r>
      <w:r>
        <w:rPr>
          <w:rFonts w:cs="David" w:hint="cs"/>
          <w:sz w:val="24"/>
          <w:szCs w:val="24"/>
          <w:rtl/>
        </w:rPr>
        <w:t xml:space="preserve"> בשל קרב</w:t>
      </w:r>
      <w:r w:rsidR="00D97790">
        <w:rPr>
          <w:rFonts w:cs="David" w:hint="cs"/>
          <w:sz w:val="24"/>
          <w:szCs w:val="24"/>
          <w:rtl/>
        </w:rPr>
        <w:t>תו של מגרש 101</w:t>
      </w:r>
      <w:r>
        <w:rPr>
          <w:rFonts w:cs="David" w:hint="cs"/>
          <w:sz w:val="24"/>
          <w:szCs w:val="24"/>
          <w:rtl/>
        </w:rPr>
        <w:t xml:space="preserve"> לבית </w:t>
      </w:r>
      <w:r w:rsidR="00D97790">
        <w:rPr>
          <w:rFonts w:cs="David" w:hint="cs"/>
          <w:sz w:val="24"/>
          <w:szCs w:val="24"/>
          <w:rtl/>
        </w:rPr>
        <w:t>ה</w:t>
      </w:r>
      <w:r>
        <w:rPr>
          <w:rFonts w:cs="David" w:hint="cs"/>
          <w:sz w:val="24"/>
          <w:szCs w:val="24"/>
          <w:rtl/>
        </w:rPr>
        <w:t>עלמין</w:t>
      </w:r>
      <w:r w:rsidR="00D97790">
        <w:rPr>
          <w:rFonts w:cs="David" w:hint="cs"/>
          <w:sz w:val="24"/>
          <w:szCs w:val="24"/>
          <w:rtl/>
        </w:rPr>
        <w:t xml:space="preserve"> של חדרה</w:t>
      </w:r>
      <w:r>
        <w:rPr>
          <w:rFonts w:cs="David" w:hint="cs"/>
          <w:sz w:val="24"/>
          <w:szCs w:val="24"/>
          <w:rtl/>
        </w:rPr>
        <w:t xml:space="preserve">. </w:t>
      </w:r>
      <w:r w:rsidR="00D97790">
        <w:rPr>
          <w:rFonts w:cs="David" w:hint="cs"/>
          <w:sz w:val="24"/>
          <w:szCs w:val="24"/>
          <w:rtl/>
        </w:rPr>
        <w:t>אפי קפיטל</w:t>
      </w:r>
      <w:r>
        <w:rPr>
          <w:rFonts w:cs="David" w:hint="cs"/>
          <w:sz w:val="24"/>
          <w:szCs w:val="24"/>
          <w:rtl/>
        </w:rPr>
        <w:t xml:space="preserve"> הפנ</w:t>
      </w:r>
      <w:r w:rsidR="00D97790">
        <w:rPr>
          <w:rFonts w:cs="David" w:hint="cs"/>
          <w:sz w:val="24"/>
          <w:szCs w:val="24"/>
          <w:rtl/>
        </w:rPr>
        <w:t>תה</w:t>
      </w:r>
      <w:r>
        <w:rPr>
          <w:rFonts w:cs="David" w:hint="cs"/>
          <w:sz w:val="24"/>
          <w:szCs w:val="24"/>
          <w:rtl/>
        </w:rPr>
        <w:t xml:space="preserve"> בנושא זה למחקר דלפי</w:t>
      </w:r>
      <w:r w:rsidR="00D97790">
        <w:rPr>
          <w:rFonts w:cs="David" w:hint="cs"/>
          <w:sz w:val="24"/>
          <w:szCs w:val="24"/>
          <w:rtl/>
        </w:rPr>
        <w:t xml:space="preserve"> משנת 2020</w:t>
      </w:r>
      <w:r>
        <w:rPr>
          <w:rFonts w:cs="David" w:hint="cs"/>
          <w:sz w:val="24"/>
          <w:szCs w:val="24"/>
          <w:rtl/>
        </w:rPr>
        <w:t>, שממנו</w:t>
      </w:r>
      <w:r w:rsidR="00D97790">
        <w:rPr>
          <w:rFonts w:cs="David" w:hint="cs"/>
          <w:sz w:val="24"/>
          <w:szCs w:val="24"/>
          <w:rtl/>
        </w:rPr>
        <w:t xml:space="preserve"> עולה</w:t>
      </w:r>
      <w:r w:rsidR="001C4F33">
        <w:rPr>
          <w:rFonts w:cs="David" w:hint="cs"/>
          <w:sz w:val="24"/>
          <w:szCs w:val="24"/>
          <w:rtl/>
        </w:rPr>
        <w:t>,</w:t>
      </w:r>
      <w:r w:rsidR="00D97790">
        <w:rPr>
          <w:rFonts w:cs="David" w:hint="cs"/>
          <w:sz w:val="24"/>
          <w:szCs w:val="24"/>
          <w:rtl/>
        </w:rPr>
        <w:t xml:space="preserve"> לטענת</w:t>
      </w:r>
      <w:r w:rsidR="001C4F33">
        <w:rPr>
          <w:rFonts w:cs="David" w:hint="cs"/>
          <w:sz w:val="24"/>
          <w:szCs w:val="24"/>
          <w:rtl/>
        </w:rPr>
        <w:t>ה</w:t>
      </w:r>
      <w:r w:rsidR="00D97790">
        <w:rPr>
          <w:rFonts w:cs="David" w:hint="cs"/>
          <w:sz w:val="24"/>
          <w:szCs w:val="24"/>
          <w:rtl/>
        </w:rPr>
        <w:t xml:space="preserve">, כי </w:t>
      </w:r>
      <w:r w:rsidR="00376F29">
        <w:rPr>
          <w:rFonts w:cs="David" w:hint="cs"/>
          <w:sz w:val="24"/>
          <w:szCs w:val="24"/>
          <w:rtl/>
        </w:rPr>
        <w:t>ב</w:t>
      </w:r>
      <w:r w:rsidR="00D97790">
        <w:rPr>
          <w:rFonts w:cs="David" w:hint="cs"/>
          <w:sz w:val="24"/>
          <w:szCs w:val="24"/>
          <w:rtl/>
        </w:rPr>
        <w:t xml:space="preserve">בית שפונה לבית קברות חל מקדם הפחתה של 0.9 בהשוואה לבית שאינו פונה לבית קברות. </w:t>
      </w:r>
      <w:r w:rsidR="001C4F33">
        <w:rPr>
          <w:rFonts w:cs="David" w:hint="cs"/>
          <w:sz w:val="24"/>
          <w:szCs w:val="24"/>
          <w:rtl/>
        </w:rPr>
        <w:t>עוד נטען על ידי אפי קפיטל, כי</w:t>
      </w:r>
      <w:r w:rsidR="00D97790">
        <w:rPr>
          <w:rFonts w:cs="David" w:hint="cs"/>
          <w:sz w:val="24"/>
          <w:szCs w:val="24"/>
          <w:rtl/>
        </w:rPr>
        <w:t xml:space="preserve"> מאחר שבמקרה זה הנכס הוא קרקע ועלות הבנייה קבועה, יש לייחס למרכיב הקרקע פער של 25%. אפי קפיטל הוסיפה וטענה, כי השמאי המכריע התעלם לחלוטין מטענתה זו, שהועלתה עוד בשומה האחרת מטעמה.</w:t>
      </w:r>
    </w:p>
    <w:p w14:paraId="4C53EE89" w14:textId="77777777" w:rsidR="001C4F33" w:rsidRDefault="00C97868" w:rsidP="004042DC">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עיון בשומה מכרעת אפי קפיטל 2021 מעלה, כי טענה זו צוינה פעמיים במסגרת ההתייחסות לטענות אפי קפיטל בשומה המכרעת (בעמ' 10 בסעיף 11.2.2.1 ובעמ' 11 בסעיף 11.2.2.2).</w:t>
      </w:r>
      <w:r w:rsidR="0034431D">
        <w:rPr>
          <w:rFonts w:cs="David" w:hint="cs"/>
          <w:sz w:val="24"/>
          <w:szCs w:val="24"/>
          <w:rtl/>
        </w:rPr>
        <w:t xml:space="preserve"> בשומה המכרעת </w:t>
      </w:r>
      <w:r w:rsidR="00DD1F45">
        <w:rPr>
          <w:rFonts w:cs="David" w:hint="cs"/>
          <w:sz w:val="24"/>
          <w:szCs w:val="24"/>
          <w:rtl/>
        </w:rPr>
        <w:t xml:space="preserve">הובא </w:t>
      </w:r>
      <w:r w:rsidR="0034431D">
        <w:rPr>
          <w:rFonts w:cs="David" w:hint="cs"/>
          <w:sz w:val="24"/>
          <w:szCs w:val="24"/>
          <w:rtl/>
        </w:rPr>
        <w:t xml:space="preserve">גם המענה של הוועדה המקומית לטענה זו: העובדה שלנכס אין חזית לבית העלמין, קיימת רצועת </w:t>
      </w:r>
      <w:proofErr w:type="spellStart"/>
      <w:r w:rsidR="0034431D">
        <w:rPr>
          <w:rFonts w:cs="David" w:hint="cs"/>
          <w:sz w:val="24"/>
          <w:szCs w:val="24"/>
          <w:rtl/>
        </w:rPr>
        <w:t>שצ"פ</w:t>
      </w:r>
      <w:proofErr w:type="spellEnd"/>
      <w:r w:rsidR="0034431D">
        <w:rPr>
          <w:rFonts w:cs="David" w:hint="cs"/>
          <w:sz w:val="24"/>
          <w:szCs w:val="24"/>
          <w:rtl/>
        </w:rPr>
        <w:t xml:space="preserve"> שמפרידה ביניהם ללא קו ראייה, ולמגרש יתרונות בשל היותו פינתי ופונה בצידו הדרומי לשטחים חקלאיים. </w:t>
      </w:r>
    </w:p>
    <w:p w14:paraId="4AF2E5B2" w14:textId="77777777" w:rsidR="0034431D" w:rsidRDefault="00DD1F45" w:rsidP="004042DC">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 xml:space="preserve">בתחשיב ההשבחה לא החיל הרצברג מקדם הפחתה בגין קרבה לבית עלמין, ובכך דחה במשתמע את הטענה, אולם מבלי לנמק את הדבר. </w:t>
      </w:r>
    </w:p>
    <w:p w14:paraId="6362B507" w14:textId="60F7274B" w:rsidR="00DF6767" w:rsidRDefault="00DF6767" w:rsidP="004042DC">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 xml:space="preserve">יובהר, כי הכרעה בנושא הפחתת שווי קרקע בשל קרבה לבית עלמין היא הכרעה שמאית מקצועית באופן מובהק, וספק רב אם ועדת ערר הייתה מתערבת בהכרעה </w:t>
      </w:r>
      <w:r w:rsidR="0022145B">
        <w:rPr>
          <w:rFonts w:cs="David" w:hint="cs"/>
          <w:sz w:val="24"/>
          <w:szCs w:val="24"/>
          <w:rtl/>
        </w:rPr>
        <w:t>בעניין שכזה,</w:t>
      </w:r>
      <w:r>
        <w:rPr>
          <w:rFonts w:cs="David" w:hint="cs"/>
          <w:sz w:val="24"/>
          <w:szCs w:val="24"/>
          <w:rtl/>
        </w:rPr>
        <w:t xml:space="preserve"> לוּ נומקה כנדרש. על כן </w:t>
      </w:r>
      <w:r w:rsidR="0022145B">
        <w:rPr>
          <w:rFonts w:cs="David" w:hint="cs"/>
          <w:sz w:val="24"/>
          <w:szCs w:val="24"/>
          <w:rtl/>
        </w:rPr>
        <w:t>התלבטנו</w:t>
      </w:r>
      <w:r>
        <w:rPr>
          <w:rFonts w:cs="David" w:hint="cs"/>
          <w:sz w:val="24"/>
          <w:szCs w:val="24"/>
          <w:rtl/>
        </w:rPr>
        <w:t xml:space="preserve"> אם נכון להשיב את השומה המכרעת רק לצורך השלמת הנמקה, תוך הארכה נוספת של ההליכים, </w:t>
      </w:r>
      <w:r w:rsidR="00D8206D">
        <w:rPr>
          <w:rFonts w:cs="David" w:hint="cs"/>
          <w:sz w:val="24"/>
          <w:szCs w:val="24"/>
          <w:rtl/>
        </w:rPr>
        <w:t>אשר ביחס לשומה זו מתנהלים כבר 5 שנים</w:t>
      </w:r>
      <w:r>
        <w:rPr>
          <w:rFonts w:cs="David" w:hint="cs"/>
          <w:sz w:val="24"/>
          <w:szCs w:val="24"/>
          <w:rtl/>
        </w:rPr>
        <w:t xml:space="preserve">. </w:t>
      </w:r>
    </w:p>
    <w:p w14:paraId="5CC7C5CD" w14:textId="7B10263F" w:rsidR="0034431D" w:rsidRPr="00D8206D" w:rsidRDefault="00DF6767" w:rsidP="004042DC">
      <w:pPr>
        <w:pStyle w:val="af1"/>
        <w:numPr>
          <w:ilvl w:val="0"/>
          <w:numId w:val="1"/>
        </w:numPr>
        <w:spacing w:after="120" w:line="360" w:lineRule="auto"/>
        <w:ind w:right="-142"/>
        <w:contextualSpacing w:val="0"/>
        <w:jc w:val="both"/>
        <w:rPr>
          <w:rFonts w:cs="David"/>
          <w:sz w:val="24"/>
          <w:szCs w:val="24"/>
        </w:rPr>
      </w:pPr>
      <w:r w:rsidRPr="00D8206D">
        <w:rPr>
          <w:rFonts w:cs="David" w:hint="cs"/>
          <w:sz w:val="24"/>
          <w:szCs w:val="24"/>
          <w:rtl/>
        </w:rPr>
        <w:t>עם זאת, בשל האפשרות הקלושה שמא, טענה ש</w:t>
      </w:r>
      <w:r w:rsidR="00B97BD5" w:rsidRPr="00D8206D">
        <w:rPr>
          <w:rFonts w:cs="David" w:hint="cs"/>
          <w:sz w:val="24"/>
          <w:szCs w:val="24"/>
          <w:rtl/>
        </w:rPr>
        <w:t xml:space="preserve">תוארה </w:t>
      </w:r>
      <w:r w:rsidRPr="00D8206D">
        <w:rPr>
          <w:rFonts w:cs="David" w:hint="cs"/>
          <w:sz w:val="24"/>
          <w:szCs w:val="24"/>
          <w:rtl/>
        </w:rPr>
        <w:t>בשומה המכרעת, ו</w:t>
      </w:r>
      <w:r w:rsidR="00B97BD5" w:rsidRPr="00D8206D">
        <w:rPr>
          <w:rFonts w:cs="David" w:hint="cs"/>
          <w:sz w:val="24"/>
          <w:szCs w:val="24"/>
          <w:rtl/>
        </w:rPr>
        <w:t>הובאה</w:t>
      </w:r>
      <w:r w:rsidR="00D8206D" w:rsidRPr="00D8206D">
        <w:rPr>
          <w:rFonts w:cs="David" w:hint="cs"/>
          <w:sz w:val="24"/>
          <w:szCs w:val="24"/>
          <w:rtl/>
        </w:rPr>
        <w:t xml:space="preserve"> בפירוט</w:t>
      </w:r>
      <w:r w:rsidRPr="00D8206D">
        <w:rPr>
          <w:rFonts w:cs="David" w:hint="cs"/>
          <w:sz w:val="24"/>
          <w:szCs w:val="24"/>
          <w:rtl/>
        </w:rPr>
        <w:t xml:space="preserve"> גם התשובה לה, חמקה </w:t>
      </w:r>
      <w:r w:rsidR="0022145B">
        <w:rPr>
          <w:rFonts w:cs="David" w:hint="cs"/>
          <w:sz w:val="24"/>
          <w:szCs w:val="24"/>
          <w:rtl/>
        </w:rPr>
        <w:t xml:space="preserve">חלילה </w:t>
      </w:r>
      <w:r w:rsidRPr="00D8206D">
        <w:rPr>
          <w:rFonts w:cs="David" w:hint="cs"/>
          <w:sz w:val="24"/>
          <w:szCs w:val="24"/>
          <w:rtl/>
        </w:rPr>
        <w:t xml:space="preserve">מעיני השמאי המכריע במסגרת התחשיב, </w:t>
      </w:r>
      <w:r w:rsidR="0022145B">
        <w:rPr>
          <w:rFonts w:cs="David" w:hint="cs"/>
          <w:sz w:val="24"/>
          <w:szCs w:val="24"/>
          <w:rtl/>
        </w:rPr>
        <w:t>סברנ</w:t>
      </w:r>
      <w:r w:rsidR="00D8206D" w:rsidRPr="00D8206D">
        <w:rPr>
          <w:rFonts w:cs="David" w:hint="cs"/>
          <w:sz w:val="24"/>
          <w:szCs w:val="24"/>
          <w:rtl/>
        </w:rPr>
        <w:t xml:space="preserve">ו </w:t>
      </w:r>
      <w:r w:rsidR="0022145B">
        <w:rPr>
          <w:rFonts w:cs="David" w:hint="cs"/>
          <w:sz w:val="24"/>
          <w:szCs w:val="24"/>
          <w:rtl/>
        </w:rPr>
        <w:t xml:space="preserve">בסופו של דבר </w:t>
      </w:r>
      <w:r w:rsidR="00D8206D" w:rsidRPr="00D8206D">
        <w:rPr>
          <w:rFonts w:cs="David" w:hint="cs"/>
          <w:sz w:val="24"/>
          <w:szCs w:val="24"/>
          <w:rtl/>
        </w:rPr>
        <w:t xml:space="preserve">כי נכון יהיה </w:t>
      </w:r>
      <w:r w:rsidR="00DE6C7A" w:rsidRPr="00D8206D">
        <w:rPr>
          <w:rFonts w:cs="David" w:hint="cs"/>
          <w:sz w:val="24"/>
          <w:szCs w:val="24"/>
          <w:rtl/>
        </w:rPr>
        <w:t xml:space="preserve">להשיב את שומה מכרעת </w:t>
      </w:r>
      <w:r w:rsidR="00DC29C5" w:rsidRPr="00D8206D">
        <w:rPr>
          <w:rFonts w:cs="David" w:hint="cs"/>
          <w:sz w:val="24"/>
          <w:szCs w:val="24"/>
          <w:rtl/>
        </w:rPr>
        <w:t xml:space="preserve">אפי קפיטל 2021 </w:t>
      </w:r>
      <w:r w:rsidR="00DD1F45" w:rsidRPr="00D8206D">
        <w:rPr>
          <w:rFonts w:cs="David" w:hint="cs"/>
          <w:sz w:val="24"/>
          <w:szCs w:val="24"/>
          <w:rtl/>
        </w:rPr>
        <w:t>לשמאי המכריע ל</w:t>
      </w:r>
      <w:r w:rsidR="00DE6C7A" w:rsidRPr="00D8206D">
        <w:rPr>
          <w:rFonts w:cs="David" w:hint="cs"/>
          <w:sz w:val="24"/>
          <w:szCs w:val="24"/>
          <w:rtl/>
        </w:rPr>
        <w:t xml:space="preserve">השלמת </w:t>
      </w:r>
      <w:r w:rsidR="00DD1F45" w:rsidRPr="00D8206D">
        <w:rPr>
          <w:rFonts w:cs="David" w:hint="cs"/>
          <w:sz w:val="24"/>
          <w:szCs w:val="24"/>
          <w:rtl/>
        </w:rPr>
        <w:t>ה</w:t>
      </w:r>
      <w:r w:rsidR="00D8206D">
        <w:rPr>
          <w:rFonts w:cs="David" w:hint="cs"/>
          <w:sz w:val="24"/>
          <w:szCs w:val="24"/>
          <w:rtl/>
        </w:rPr>
        <w:t>תייחסות</w:t>
      </w:r>
      <w:r w:rsidR="00DD1F45" w:rsidRPr="00D8206D">
        <w:rPr>
          <w:rFonts w:cs="David" w:hint="cs"/>
          <w:sz w:val="24"/>
          <w:szCs w:val="24"/>
          <w:rtl/>
        </w:rPr>
        <w:t>.</w:t>
      </w:r>
    </w:p>
    <w:p w14:paraId="76FC37C4" w14:textId="77777777" w:rsidR="00C24698" w:rsidRPr="00D8206D" w:rsidRDefault="00C24698">
      <w:pPr>
        <w:spacing w:after="80" w:line="360" w:lineRule="auto"/>
        <w:rPr>
          <w:rFonts w:cs="David"/>
          <w:sz w:val="24"/>
          <w:szCs w:val="24"/>
          <w:rtl/>
        </w:rPr>
      </w:pPr>
    </w:p>
    <w:p w14:paraId="44F4426E" w14:textId="77777777" w:rsidR="00C24698" w:rsidRDefault="003937E2">
      <w:pPr>
        <w:spacing w:after="120" w:line="360" w:lineRule="auto"/>
        <w:ind w:firstLine="43"/>
        <w:jc w:val="both"/>
        <w:rPr>
          <w:rFonts w:cs="David"/>
          <w:b/>
          <w:bCs/>
          <w:sz w:val="26"/>
          <w:szCs w:val="26"/>
          <w:u w:val="single"/>
        </w:rPr>
      </w:pPr>
      <w:r>
        <w:rPr>
          <w:rFonts w:cs="David"/>
          <w:b/>
          <w:bCs/>
          <w:sz w:val="26"/>
          <w:szCs w:val="26"/>
          <w:u w:val="single"/>
          <w:rtl/>
        </w:rPr>
        <w:t>סיכום</w:t>
      </w:r>
    </w:p>
    <w:p w14:paraId="69A542E9" w14:textId="77777777" w:rsidR="00DE6C7A" w:rsidRPr="00DE6C7A" w:rsidRDefault="00D8206D" w:rsidP="004042DC">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אשר על כן</w:t>
      </w:r>
      <w:r w:rsidR="00DE6C7A" w:rsidRPr="00DE6C7A">
        <w:rPr>
          <w:rFonts w:cs="David" w:hint="cs"/>
          <w:sz w:val="24"/>
          <w:szCs w:val="24"/>
          <w:rtl/>
        </w:rPr>
        <w:t xml:space="preserve">, שומה מכרעת אפי קפיטל 2021 תושב לשמאי המכריע הרצברג לצורך השלמת התייחסותו לטענה בעניין הפחתת שווי המקרקעין במצב החדש בשל קרבה לבית עלמין. התייחסות השמאי המכריע תביא בחשבון הן את טענות העוררת והן את טענות הצדדים. </w:t>
      </w:r>
      <w:r w:rsidR="00DE6C7A">
        <w:rPr>
          <w:rFonts w:cs="David" w:hint="cs"/>
          <w:sz w:val="24"/>
          <w:szCs w:val="24"/>
          <w:rtl/>
        </w:rPr>
        <w:t xml:space="preserve">לאחר השלמת ההתייחסות יהיו הצדדים רשאים להשלים את טענותיהם בכתב לעניין זה בפני ועדת הערר, בתוך פרק זמן של 14 ימים. </w:t>
      </w:r>
      <w:r>
        <w:rPr>
          <w:rFonts w:cs="David" w:hint="cs"/>
          <w:sz w:val="24"/>
          <w:szCs w:val="24"/>
          <w:rtl/>
        </w:rPr>
        <w:t xml:space="preserve">בשים לב לטיבה המצומצם של המחלוקת ולהיותה שמאית טהורה, </w:t>
      </w:r>
      <w:r w:rsidR="00DE6C7A">
        <w:rPr>
          <w:rFonts w:cs="David" w:hint="cs"/>
          <w:sz w:val="24"/>
          <w:szCs w:val="24"/>
          <w:rtl/>
        </w:rPr>
        <w:t xml:space="preserve">היקף ההתייחסות לא יעלה על </w:t>
      </w:r>
      <w:r>
        <w:rPr>
          <w:rFonts w:cs="David" w:hint="cs"/>
          <w:sz w:val="24"/>
          <w:szCs w:val="24"/>
          <w:rtl/>
        </w:rPr>
        <w:t>2</w:t>
      </w:r>
      <w:r w:rsidR="00DE6C7A">
        <w:rPr>
          <w:rFonts w:cs="David" w:hint="cs"/>
          <w:sz w:val="24"/>
          <w:szCs w:val="24"/>
          <w:rtl/>
        </w:rPr>
        <w:t xml:space="preserve"> עמודים.</w:t>
      </w:r>
      <w:r w:rsidR="00DD1F45">
        <w:rPr>
          <w:rFonts w:cs="David" w:hint="cs"/>
          <w:sz w:val="24"/>
          <w:szCs w:val="24"/>
          <w:rtl/>
        </w:rPr>
        <w:t xml:space="preserve"> לאחר מכן תינתן החלטה נוספת </w:t>
      </w:r>
      <w:r w:rsidR="009E33B1">
        <w:rPr>
          <w:rFonts w:cs="David" w:hint="cs"/>
          <w:sz w:val="24"/>
          <w:szCs w:val="24"/>
          <w:rtl/>
        </w:rPr>
        <w:t>בטענה הנוגעת ליישום מקדם הפחתה בשל קרבה לבית עלמין ב</w:t>
      </w:r>
      <w:r w:rsidR="00DD1F45">
        <w:rPr>
          <w:rFonts w:cs="David" w:hint="cs"/>
          <w:sz w:val="24"/>
          <w:szCs w:val="24"/>
          <w:rtl/>
        </w:rPr>
        <w:t>ערר 8071/1221.</w:t>
      </w:r>
    </w:p>
    <w:p w14:paraId="0404D364" w14:textId="77777777" w:rsidR="006D40E8" w:rsidRPr="004F0E01" w:rsidRDefault="006D40E8" w:rsidP="004042DC">
      <w:pPr>
        <w:pStyle w:val="af1"/>
        <w:numPr>
          <w:ilvl w:val="0"/>
          <w:numId w:val="1"/>
        </w:numPr>
        <w:spacing w:after="120" w:line="360" w:lineRule="auto"/>
        <w:ind w:right="-142"/>
        <w:contextualSpacing w:val="0"/>
        <w:jc w:val="both"/>
        <w:rPr>
          <w:rFonts w:cs="David"/>
          <w:sz w:val="24"/>
          <w:szCs w:val="24"/>
        </w:rPr>
      </w:pPr>
      <w:r w:rsidRPr="004F0E01">
        <w:rPr>
          <w:rFonts w:cs="David" w:hint="cs"/>
          <w:sz w:val="24"/>
          <w:szCs w:val="24"/>
          <w:rtl/>
        </w:rPr>
        <w:t xml:space="preserve">לא מצאנו מקום להתערב </w:t>
      </w:r>
      <w:r w:rsidR="00DE6C7A" w:rsidRPr="004F0E01">
        <w:rPr>
          <w:rFonts w:cs="David" w:hint="cs"/>
          <w:sz w:val="24"/>
          <w:szCs w:val="24"/>
          <w:rtl/>
        </w:rPr>
        <w:t xml:space="preserve">ביתר חלקיה של </w:t>
      </w:r>
      <w:r w:rsidR="00DC29C5" w:rsidRPr="004F0E01">
        <w:rPr>
          <w:rFonts w:cs="David" w:hint="cs"/>
          <w:sz w:val="24"/>
          <w:szCs w:val="24"/>
          <w:rtl/>
        </w:rPr>
        <w:t xml:space="preserve">שומה מכרעת אפי קפיטל </w:t>
      </w:r>
      <w:r w:rsidR="00DE6C7A" w:rsidRPr="004F0E01">
        <w:rPr>
          <w:rFonts w:cs="David" w:hint="cs"/>
          <w:sz w:val="24"/>
          <w:szCs w:val="24"/>
          <w:rtl/>
        </w:rPr>
        <w:t>2021 ובשלוש ה</w:t>
      </w:r>
      <w:r w:rsidRPr="004F0E01">
        <w:rPr>
          <w:rFonts w:cs="David" w:hint="cs"/>
          <w:sz w:val="24"/>
          <w:szCs w:val="24"/>
          <w:rtl/>
        </w:rPr>
        <w:t>שומות המכריעות</w:t>
      </w:r>
      <w:r w:rsidR="00DE6C7A" w:rsidRPr="004F0E01">
        <w:rPr>
          <w:rFonts w:cs="David" w:hint="cs"/>
          <w:sz w:val="24"/>
          <w:szCs w:val="24"/>
          <w:rtl/>
        </w:rPr>
        <w:t xml:space="preserve"> האחרות. על כן, עררים 8072/1221, 8075/1123 ו- 8076/1123</w:t>
      </w:r>
      <w:r w:rsidR="009E33B1" w:rsidRPr="004F0E01">
        <w:rPr>
          <w:rFonts w:cs="David" w:hint="cs"/>
          <w:sz w:val="24"/>
          <w:szCs w:val="24"/>
          <w:rtl/>
        </w:rPr>
        <w:t xml:space="preserve"> ויתר הטענות שהועלו בערר 8071/1221 </w:t>
      </w:r>
      <w:r w:rsidR="00DE6C7A" w:rsidRPr="004F0E01">
        <w:rPr>
          <w:rFonts w:cs="David" w:hint="cs"/>
          <w:sz w:val="24"/>
          <w:szCs w:val="24"/>
          <w:rtl/>
        </w:rPr>
        <w:t>נדחים בזאת.</w:t>
      </w:r>
    </w:p>
    <w:p w14:paraId="482E68A3" w14:textId="77777777" w:rsidR="009E33B1" w:rsidRDefault="006D40E8" w:rsidP="004042DC">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לעניין החיוב ב</w:t>
      </w:r>
      <w:r w:rsidR="003937E2">
        <w:rPr>
          <w:rFonts w:cs="David"/>
          <w:sz w:val="24"/>
          <w:szCs w:val="24"/>
          <w:rtl/>
        </w:rPr>
        <w:t>הוצאות</w:t>
      </w:r>
      <w:r>
        <w:rPr>
          <w:rFonts w:cs="David" w:hint="cs"/>
          <w:sz w:val="24"/>
          <w:szCs w:val="24"/>
          <w:rtl/>
        </w:rPr>
        <w:t>, הבאנו בחשבון את ה</w:t>
      </w:r>
      <w:r w:rsidR="007D1BF0">
        <w:rPr>
          <w:rFonts w:cs="David" w:hint="cs"/>
          <w:sz w:val="24"/>
          <w:szCs w:val="24"/>
          <w:rtl/>
        </w:rPr>
        <w:t xml:space="preserve">עובדה </w:t>
      </w:r>
      <w:r w:rsidR="003937E2">
        <w:rPr>
          <w:rFonts w:cs="David"/>
          <w:sz w:val="24"/>
          <w:szCs w:val="24"/>
          <w:rtl/>
        </w:rPr>
        <w:t>שמדובר בארבעה עררים</w:t>
      </w:r>
      <w:r w:rsidR="007D1BF0">
        <w:rPr>
          <w:rFonts w:cs="David" w:hint="cs"/>
          <w:sz w:val="24"/>
          <w:szCs w:val="24"/>
          <w:rtl/>
        </w:rPr>
        <w:t xml:space="preserve"> שונים, שנשמעו במאוחד</w:t>
      </w:r>
      <w:r>
        <w:rPr>
          <w:rFonts w:cs="David" w:hint="cs"/>
          <w:sz w:val="24"/>
          <w:szCs w:val="24"/>
          <w:rtl/>
        </w:rPr>
        <w:t xml:space="preserve"> תוך ייעול מסוים של ההליכים</w:t>
      </w:r>
      <w:r w:rsidR="009E33B1">
        <w:rPr>
          <w:rFonts w:cs="David" w:hint="cs"/>
          <w:sz w:val="24"/>
          <w:szCs w:val="24"/>
          <w:rtl/>
        </w:rPr>
        <w:t xml:space="preserve">, ואת העובדה שביחס לאחת הנקודות באחד </w:t>
      </w:r>
      <w:proofErr w:type="spellStart"/>
      <w:r w:rsidR="009E33B1">
        <w:rPr>
          <w:rFonts w:cs="David" w:hint="cs"/>
          <w:sz w:val="24"/>
          <w:szCs w:val="24"/>
          <w:rtl/>
        </w:rPr>
        <w:t>העררים</w:t>
      </w:r>
      <w:proofErr w:type="spellEnd"/>
      <w:r w:rsidR="009E33B1">
        <w:rPr>
          <w:rFonts w:cs="David" w:hint="cs"/>
          <w:sz w:val="24"/>
          <w:szCs w:val="24"/>
          <w:rtl/>
        </w:rPr>
        <w:t xml:space="preserve"> אכן נמצא צורך להשיב את השומה המכרעת להשלמת הנמקה</w:t>
      </w:r>
      <w:r>
        <w:rPr>
          <w:rFonts w:cs="David" w:hint="cs"/>
          <w:sz w:val="24"/>
          <w:szCs w:val="24"/>
          <w:rtl/>
        </w:rPr>
        <w:t>.</w:t>
      </w:r>
    </w:p>
    <w:p w14:paraId="37710FBB" w14:textId="77777777" w:rsidR="006D40E8" w:rsidRDefault="006D40E8" w:rsidP="004042DC">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 xml:space="preserve">מנגד, הוועדה המקומית השיבה לכל ארבעת </w:t>
      </w:r>
      <w:proofErr w:type="spellStart"/>
      <w:r>
        <w:rPr>
          <w:rFonts w:cs="David" w:hint="cs"/>
          <w:sz w:val="24"/>
          <w:szCs w:val="24"/>
          <w:rtl/>
        </w:rPr>
        <w:t>העררים</w:t>
      </w:r>
      <w:proofErr w:type="spellEnd"/>
      <w:r>
        <w:rPr>
          <w:rFonts w:cs="David" w:hint="cs"/>
          <w:sz w:val="24"/>
          <w:szCs w:val="24"/>
          <w:rtl/>
        </w:rPr>
        <w:t>, ונציגיה נדרשו להתייצב לדיון בהם. העוררות עמדו על הכרעה ב</w:t>
      </w:r>
      <w:r w:rsidR="00B471EE">
        <w:rPr>
          <w:rFonts w:cs="David" w:hint="cs"/>
          <w:sz w:val="24"/>
          <w:szCs w:val="24"/>
          <w:rtl/>
        </w:rPr>
        <w:t>כ</w:t>
      </w:r>
      <w:r w:rsidR="00DE6C7A">
        <w:rPr>
          <w:rFonts w:cs="David" w:hint="cs"/>
          <w:sz w:val="24"/>
          <w:szCs w:val="24"/>
          <w:rtl/>
        </w:rPr>
        <w:t xml:space="preserve">ל הטענות </w:t>
      </w:r>
      <w:r w:rsidR="00B471EE">
        <w:rPr>
          <w:rFonts w:cs="David" w:hint="cs"/>
          <w:sz w:val="24"/>
          <w:szCs w:val="24"/>
          <w:rtl/>
        </w:rPr>
        <w:t xml:space="preserve">הרבות </w:t>
      </w:r>
      <w:r w:rsidR="00DE6C7A">
        <w:rPr>
          <w:rFonts w:cs="David" w:hint="cs"/>
          <w:sz w:val="24"/>
          <w:szCs w:val="24"/>
          <w:rtl/>
        </w:rPr>
        <w:t xml:space="preserve">שהועלו </w:t>
      </w:r>
      <w:proofErr w:type="spellStart"/>
      <w:r w:rsidR="00DE6C7A">
        <w:rPr>
          <w:rFonts w:cs="David" w:hint="cs"/>
          <w:sz w:val="24"/>
          <w:szCs w:val="24"/>
          <w:rtl/>
        </w:rPr>
        <w:t>ב</w:t>
      </w:r>
      <w:r>
        <w:rPr>
          <w:rFonts w:cs="David" w:hint="cs"/>
          <w:sz w:val="24"/>
          <w:szCs w:val="24"/>
          <w:rtl/>
        </w:rPr>
        <w:t>עררים</w:t>
      </w:r>
      <w:proofErr w:type="spellEnd"/>
      <w:r>
        <w:rPr>
          <w:rFonts w:cs="David" w:hint="cs"/>
          <w:sz w:val="24"/>
          <w:szCs w:val="24"/>
          <w:rtl/>
        </w:rPr>
        <w:t xml:space="preserve"> לגופ</w:t>
      </w:r>
      <w:r w:rsidR="00DE6C7A">
        <w:rPr>
          <w:rFonts w:cs="David" w:hint="cs"/>
          <w:sz w:val="24"/>
          <w:szCs w:val="24"/>
          <w:rtl/>
        </w:rPr>
        <w:t>ן</w:t>
      </w:r>
      <w:r>
        <w:rPr>
          <w:rFonts w:cs="David" w:hint="cs"/>
          <w:sz w:val="24"/>
          <w:szCs w:val="24"/>
          <w:rtl/>
        </w:rPr>
        <w:t xml:space="preserve">, וזאת הן בתחילת הדיון והן לאחר סיומו, חרף קיומן של שומות מכריעות רבות ברקע, כמו גם החלטות קודמות של ועדת הערר. </w:t>
      </w:r>
    </w:p>
    <w:p w14:paraId="07753C99" w14:textId="77777777" w:rsidR="00C24698" w:rsidRPr="006D40E8" w:rsidRDefault="006D40E8" w:rsidP="004042DC">
      <w:pPr>
        <w:pStyle w:val="af1"/>
        <w:numPr>
          <w:ilvl w:val="0"/>
          <w:numId w:val="1"/>
        </w:numPr>
        <w:spacing w:after="120" w:line="360" w:lineRule="auto"/>
        <w:ind w:right="-142"/>
        <w:contextualSpacing w:val="0"/>
        <w:jc w:val="both"/>
        <w:rPr>
          <w:rFonts w:cs="David"/>
          <w:sz w:val="24"/>
          <w:szCs w:val="24"/>
        </w:rPr>
      </w:pPr>
      <w:r w:rsidRPr="006D40E8">
        <w:rPr>
          <w:rFonts w:cs="David" w:hint="cs"/>
          <w:sz w:val="24"/>
          <w:szCs w:val="24"/>
          <w:rtl/>
        </w:rPr>
        <w:t xml:space="preserve">בנסיבות אלו מצאנו לנכון לחייב </w:t>
      </w:r>
      <w:r w:rsidR="00DE6C7A">
        <w:rPr>
          <w:rFonts w:cs="David" w:hint="cs"/>
          <w:sz w:val="24"/>
          <w:szCs w:val="24"/>
          <w:rtl/>
        </w:rPr>
        <w:t xml:space="preserve">את סלעית בהוצאות </w:t>
      </w:r>
      <w:r w:rsidRPr="006D40E8">
        <w:rPr>
          <w:rFonts w:cs="David" w:hint="cs"/>
          <w:sz w:val="24"/>
          <w:szCs w:val="24"/>
          <w:rtl/>
        </w:rPr>
        <w:t xml:space="preserve">הוועדה המקומית בסכום של </w:t>
      </w:r>
      <w:r w:rsidR="00B471EE">
        <w:rPr>
          <w:rFonts w:cs="David" w:hint="cs"/>
          <w:sz w:val="24"/>
          <w:szCs w:val="24"/>
          <w:rtl/>
        </w:rPr>
        <w:t>15</w:t>
      </w:r>
      <w:r w:rsidRPr="006D40E8">
        <w:rPr>
          <w:rFonts w:cs="David" w:hint="cs"/>
          <w:sz w:val="24"/>
          <w:szCs w:val="24"/>
          <w:rtl/>
        </w:rPr>
        <w:t>,000 ₪ בגין כל ערר</w:t>
      </w:r>
      <w:r w:rsidR="00DE6C7A">
        <w:rPr>
          <w:rFonts w:cs="David" w:hint="cs"/>
          <w:sz w:val="24"/>
          <w:szCs w:val="24"/>
          <w:rtl/>
        </w:rPr>
        <w:t xml:space="preserve">, ובסך </w:t>
      </w:r>
      <w:proofErr w:type="spellStart"/>
      <w:r w:rsidR="00DE6C7A">
        <w:rPr>
          <w:rFonts w:cs="David" w:hint="cs"/>
          <w:sz w:val="24"/>
          <w:szCs w:val="24"/>
          <w:rtl/>
        </w:rPr>
        <w:t>הכל</w:t>
      </w:r>
      <w:proofErr w:type="spellEnd"/>
      <w:r w:rsidR="00DE6C7A">
        <w:rPr>
          <w:rFonts w:cs="David" w:hint="cs"/>
          <w:sz w:val="24"/>
          <w:szCs w:val="24"/>
          <w:rtl/>
        </w:rPr>
        <w:t xml:space="preserve"> ב- </w:t>
      </w:r>
      <w:r w:rsidR="00B471EE">
        <w:rPr>
          <w:rFonts w:cs="David" w:hint="cs"/>
          <w:sz w:val="24"/>
          <w:szCs w:val="24"/>
          <w:rtl/>
        </w:rPr>
        <w:t>30</w:t>
      </w:r>
      <w:r w:rsidR="00DE6C7A">
        <w:rPr>
          <w:rFonts w:cs="David" w:hint="cs"/>
          <w:sz w:val="24"/>
          <w:szCs w:val="24"/>
          <w:rtl/>
        </w:rPr>
        <w:t xml:space="preserve">,000 ₪; ואת אפי קפיטל בהוצאות הוועדה המקומית בסכום של </w:t>
      </w:r>
      <w:r w:rsidR="00B471EE">
        <w:rPr>
          <w:rFonts w:cs="David" w:hint="cs"/>
          <w:sz w:val="24"/>
          <w:szCs w:val="24"/>
          <w:rtl/>
        </w:rPr>
        <w:t>15</w:t>
      </w:r>
      <w:r w:rsidR="00DE6C7A">
        <w:rPr>
          <w:rFonts w:cs="David" w:hint="cs"/>
          <w:sz w:val="24"/>
          <w:szCs w:val="24"/>
          <w:rtl/>
        </w:rPr>
        <w:t>,000 ₪ בגין ערר</w:t>
      </w:r>
      <w:r w:rsidR="009E33B1">
        <w:rPr>
          <w:rFonts w:cs="David" w:hint="cs"/>
          <w:sz w:val="24"/>
          <w:szCs w:val="24"/>
          <w:rtl/>
        </w:rPr>
        <w:t xml:space="preserve"> 8075/1123</w:t>
      </w:r>
      <w:r w:rsidR="00DE6C7A">
        <w:rPr>
          <w:rFonts w:cs="David" w:hint="cs"/>
          <w:sz w:val="24"/>
          <w:szCs w:val="24"/>
          <w:rtl/>
        </w:rPr>
        <w:t xml:space="preserve">. </w:t>
      </w:r>
      <w:r w:rsidR="001C4F33">
        <w:rPr>
          <w:rFonts w:cs="David" w:hint="cs"/>
          <w:sz w:val="24"/>
          <w:szCs w:val="24"/>
          <w:rtl/>
        </w:rPr>
        <w:t xml:space="preserve">שאלת </w:t>
      </w:r>
      <w:r w:rsidR="00DE6C7A">
        <w:rPr>
          <w:rFonts w:cs="David" w:hint="cs"/>
          <w:sz w:val="24"/>
          <w:szCs w:val="24"/>
          <w:rtl/>
        </w:rPr>
        <w:t>החיוב בהוצאות בגין</w:t>
      </w:r>
      <w:r w:rsidRPr="006D40E8">
        <w:rPr>
          <w:rFonts w:cs="David" w:hint="cs"/>
          <w:sz w:val="24"/>
          <w:szCs w:val="24"/>
          <w:rtl/>
        </w:rPr>
        <w:t xml:space="preserve"> </w:t>
      </w:r>
      <w:r w:rsidR="00DE6C7A">
        <w:rPr>
          <w:rFonts w:cs="David" w:hint="cs"/>
          <w:sz w:val="24"/>
          <w:szCs w:val="24"/>
          <w:rtl/>
        </w:rPr>
        <w:t xml:space="preserve">ערר אפי קפיטל 2021 </w:t>
      </w:r>
      <w:r w:rsidR="001C4F33">
        <w:rPr>
          <w:rFonts w:cs="David" w:hint="cs"/>
          <w:sz w:val="24"/>
          <w:szCs w:val="24"/>
          <w:rtl/>
        </w:rPr>
        <w:t>תוכרע</w:t>
      </w:r>
      <w:r w:rsidR="00DE6C7A">
        <w:rPr>
          <w:rFonts w:cs="David" w:hint="cs"/>
          <w:sz w:val="24"/>
          <w:szCs w:val="24"/>
          <w:rtl/>
        </w:rPr>
        <w:t xml:space="preserve"> בעת מתן ההחלטה הסופית לגביו. </w:t>
      </w:r>
      <w:r w:rsidR="003937E2" w:rsidRPr="006D40E8">
        <w:rPr>
          <w:rFonts w:cs="David"/>
          <w:sz w:val="24"/>
          <w:szCs w:val="24"/>
          <w:rtl/>
        </w:rPr>
        <w:t>ההוצאות ישולמו תוך 30 יום ולאחר מכן יישאו הפרשי ריבית והצמדה כחוק.</w:t>
      </w:r>
    </w:p>
    <w:p w14:paraId="37A26DE2" w14:textId="77777777" w:rsidR="00C24698" w:rsidRDefault="00C24698">
      <w:pPr>
        <w:spacing w:after="80" w:line="360" w:lineRule="auto"/>
        <w:rPr>
          <w:rFonts w:cs="David"/>
          <w:sz w:val="24"/>
          <w:szCs w:val="24"/>
        </w:rPr>
      </w:pPr>
    </w:p>
    <w:p w14:paraId="6D5E48B2" w14:textId="0BEF0A0C" w:rsidR="00C24698" w:rsidRDefault="00F871B3" w:rsidP="00F871B3">
      <w:pPr>
        <w:spacing w:after="80" w:line="360" w:lineRule="auto"/>
        <w:ind w:right="-142"/>
        <w:rPr>
          <w:rFonts w:cs="David"/>
          <w:sz w:val="24"/>
          <w:szCs w:val="24"/>
          <w:rtl/>
        </w:rPr>
      </w:pPr>
      <w:r>
        <w:rPr>
          <w:rFonts w:cs="David" w:hint="cs"/>
          <w:b/>
          <w:bCs/>
          <w:sz w:val="24"/>
          <w:szCs w:val="24"/>
          <w:rtl/>
        </w:rPr>
        <w:t xml:space="preserve">       </w:t>
      </w:r>
      <w:r w:rsidRPr="00F871B3">
        <w:rPr>
          <w:rFonts w:cs="David" w:hint="cs"/>
          <w:b/>
          <w:bCs/>
          <w:sz w:val="24"/>
          <w:szCs w:val="24"/>
          <w:rtl/>
        </w:rPr>
        <w:t xml:space="preserve">ההחלטה ניתנה פה אחד ביום: </w:t>
      </w:r>
      <w:r w:rsidRPr="00F871B3">
        <w:rPr>
          <w:rFonts w:cs="David" w:hint="eastAsia"/>
          <w:b/>
          <w:bCs/>
          <w:sz w:val="24"/>
          <w:szCs w:val="24"/>
          <w:rtl/>
        </w:rPr>
        <w:t>‏י</w:t>
      </w:r>
      <w:r w:rsidRPr="00F871B3">
        <w:rPr>
          <w:rFonts w:cs="David"/>
          <w:b/>
          <w:bCs/>
          <w:sz w:val="24"/>
          <w:szCs w:val="24"/>
          <w:rtl/>
        </w:rPr>
        <w:t>"א אייר תשפ"ו</w:t>
      </w:r>
      <w:r w:rsidRPr="00F871B3">
        <w:rPr>
          <w:rFonts w:cs="David" w:hint="cs"/>
          <w:b/>
          <w:bCs/>
          <w:sz w:val="24"/>
          <w:szCs w:val="24"/>
          <w:rtl/>
        </w:rPr>
        <w:t xml:space="preserve">, </w:t>
      </w:r>
      <w:r w:rsidRPr="00F871B3">
        <w:rPr>
          <w:rFonts w:cs="David" w:hint="eastAsia"/>
          <w:b/>
          <w:bCs/>
          <w:sz w:val="24"/>
          <w:szCs w:val="24"/>
          <w:rtl/>
        </w:rPr>
        <w:t>‏</w:t>
      </w:r>
      <w:r w:rsidRPr="00F871B3">
        <w:rPr>
          <w:rFonts w:cs="David"/>
          <w:b/>
          <w:bCs/>
          <w:sz w:val="24"/>
          <w:szCs w:val="24"/>
          <w:rtl/>
        </w:rPr>
        <w:t>28/04/26</w:t>
      </w:r>
      <w:r w:rsidRPr="00F871B3">
        <w:rPr>
          <w:rFonts w:cs="David" w:hint="cs"/>
          <w:b/>
          <w:bCs/>
          <w:sz w:val="24"/>
          <w:szCs w:val="24"/>
          <w:rtl/>
        </w:rPr>
        <w:t>.</w:t>
      </w:r>
    </w:p>
    <w:p w14:paraId="021961E3" w14:textId="77777777" w:rsidR="00E04E67" w:rsidRDefault="00E04E67">
      <w:pPr>
        <w:spacing w:after="80" w:line="360" w:lineRule="auto"/>
        <w:ind w:right="-142"/>
        <w:jc w:val="center"/>
        <w:rPr>
          <w:rFonts w:cs="David"/>
          <w:sz w:val="24"/>
          <w:szCs w:val="24"/>
        </w:rPr>
      </w:pPr>
      <w:bookmarkStart w:id="0" w:name="_GoBack"/>
    </w:p>
    <w:tbl>
      <w:tblPr>
        <w:tblStyle w:val="af3"/>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5"/>
        <w:gridCol w:w="4345"/>
      </w:tblGrid>
      <w:tr w:rsidR="000C15DC" w14:paraId="4019A201" w14:textId="77777777" w:rsidTr="002A48F1">
        <w:trPr>
          <w:jc w:val="center"/>
        </w:trPr>
        <w:tc>
          <w:tcPr>
            <w:tcW w:w="4453" w:type="dxa"/>
          </w:tcPr>
          <w:bookmarkEnd w:id="0"/>
          <w:p w14:paraId="5517CD73" w14:textId="77777777" w:rsidR="000C15DC" w:rsidRDefault="000C15DC" w:rsidP="000C15DC">
            <w:pPr>
              <w:pStyle w:val="a7"/>
              <w:spacing w:after="60"/>
              <w:ind w:right="357"/>
              <w:jc w:val="center"/>
              <w:rPr>
                <w:rStyle w:val="af0"/>
                <w:rFonts w:cs="David"/>
                <w:i w:val="0"/>
                <w:iCs w:val="0"/>
                <w:rtl/>
              </w:rPr>
            </w:pPr>
            <w:r>
              <w:rPr>
                <w:rFonts w:ascii="Calibri" w:eastAsia="Calibri" w:hAnsi="Calibri" w:cs="Miriam" w:hint="cs"/>
                <w:b/>
                <w:bCs/>
                <w:sz w:val="26"/>
                <w:szCs w:val="26"/>
                <w:rtl/>
                <w:lang w:val="en-ZW"/>
              </w:rPr>
              <w:t>_______________________</w:t>
            </w:r>
          </w:p>
        </w:tc>
        <w:tc>
          <w:tcPr>
            <w:tcW w:w="4453" w:type="dxa"/>
          </w:tcPr>
          <w:p w14:paraId="0D318721" w14:textId="77777777" w:rsidR="000C15DC" w:rsidRDefault="000C15DC" w:rsidP="000C15DC">
            <w:pPr>
              <w:pStyle w:val="a7"/>
              <w:spacing w:after="60"/>
              <w:ind w:right="357"/>
              <w:jc w:val="center"/>
              <w:rPr>
                <w:rStyle w:val="af0"/>
                <w:rFonts w:cs="David"/>
                <w:i w:val="0"/>
                <w:iCs w:val="0"/>
                <w:rtl/>
              </w:rPr>
            </w:pPr>
            <w:r>
              <w:rPr>
                <w:rFonts w:ascii="Calibri" w:eastAsia="Calibri" w:hAnsi="Calibri" w:cs="Miriam" w:hint="cs"/>
                <w:b/>
                <w:bCs/>
                <w:sz w:val="26"/>
                <w:szCs w:val="26"/>
                <w:rtl/>
                <w:lang w:val="en-ZW"/>
              </w:rPr>
              <w:t>_______________________</w:t>
            </w:r>
          </w:p>
        </w:tc>
      </w:tr>
      <w:tr w:rsidR="000C15DC" w:rsidRPr="002A48F1" w14:paraId="32172ECB" w14:textId="77777777" w:rsidTr="000C15DC">
        <w:trPr>
          <w:jc w:val="center"/>
        </w:trPr>
        <w:tc>
          <w:tcPr>
            <w:tcW w:w="4453" w:type="dxa"/>
          </w:tcPr>
          <w:p w14:paraId="3268CFDD" w14:textId="77777777" w:rsidR="000C15DC" w:rsidRPr="002A48F1" w:rsidRDefault="000C15DC" w:rsidP="00F871B3">
            <w:pPr>
              <w:pStyle w:val="a7"/>
              <w:ind w:right="357"/>
              <w:jc w:val="center"/>
              <w:rPr>
                <w:rFonts w:ascii="Calibri" w:eastAsia="Calibri" w:hAnsi="Calibri"/>
                <w:b/>
                <w:bCs/>
                <w:sz w:val="26"/>
                <w:szCs w:val="26"/>
                <w:rtl/>
                <w:lang w:val="en-ZW"/>
              </w:rPr>
            </w:pPr>
            <w:r>
              <w:rPr>
                <w:rFonts w:ascii="Calibri" w:eastAsia="Calibri" w:hAnsi="Calibri" w:cs="David" w:hint="cs"/>
                <w:b/>
                <w:bCs/>
                <w:sz w:val="26"/>
                <w:szCs w:val="26"/>
                <w:rtl/>
                <w:lang w:val="en-ZW"/>
              </w:rPr>
              <w:t>נורית גור</w:t>
            </w:r>
          </w:p>
        </w:tc>
        <w:tc>
          <w:tcPr>
            <w:tcW w:w="4453" w:type="dxa"/>
          </w:tcPr>
          <w:p w14:paraId="79FB2068" w14:textId="77777777" w:rsidR="000C15DC" w:rsidRPr="002A48F1" w:rsidRDefault="000C15DC" w:rsidP="00F871B3">
            <w:pPr>
              <w:pStyle w:val="a7"/>
              <w:ind w:right="357"/>
              <w:jc w:val="center"/>
              <w:rPr>
                <w:rFonts w:ascii="Calibri" w:eastAsia="Calibri" w:hAnsi="Calibri" w:cs="David"/>
                <w:b/>
                <w:bCs/>
                <w:sz w:val="26"/>
                <w:szCs w:val="26"/>
                <w:rtl/>
                <w:lang w:val="en-ZW"/>
              </w:rPr>
            </w:pPr>
            <w:r>
              <w:rPr>
                <w:rFonts w:ascii="Calibri" w:eastAsia="Calibri" w:hAnsi="Calibri" w:cs="David" w:hint="cs"/>
                <w:b/>
                <w:bCs/>
                <w:sz w:val="26"/>
                <w:szCs w:val="26"/>
                <w:rtl/>
                <w:lang w:val="en-ZW"/>
              </w:rPr>
              <w:t>מאיה אשכנזי, עו"ד</w:t>
            </w:r>
          </w:p>
        </w:tc>
      </w:tr>
      <w:tr w:rsidR="000C15DC" w:rsidRPr="000C15DC" w14:paraId="732A7FF2" w14:textId="77777777" w:rsidTr="000C15DC">
        <w:trPr>
          <w:jc w:val="center"/>
        </w:trPr>
        <w:tc>
          <w:tcPr>
            <w:tcW w:w="4453" w:type="dxa"/>
          </w:tcPr>
          <w:p w14:paraId="3E6AE2B6" w14:textId="77777777" w:rsidR="000C15DC" w:rsidRPr="000C15DC" w:rsidRDefault="000C15DC" w:rsidP="00F871B3">
            <w:pPr>
              <w:pStyle w:val="a7"/>
              <w:ind w:right="357"/>
              <w:jc w:val="center"/>
              <w:rPr>
                <w:rFonts w:ascii="Calibri" w:eastAsia="Calibri" w:hAnsi="Calibri" w:cs="David"/>
                <w:b/>
                <w:bCs/>
                <w:sz w:val="26"/>
                <w:szCs w:val="26"/>
                <w:rtl/>
                <w:lang w:val="en-ZW"/>
              </w:rPr>
            </w:pPr>
            <w:r>
              <w:rPr>
                <w:rFonts w:ascii="Calibri" w:eastAsia="Calibri" w:hAnsi="Calibri" w:cs="David" w:hint="cs"/>
                <w:b/>
                <w:bCs/>
                <w:sz w:val="26"/>
                <w:szCs w:val="26"/>
                <w:rtl/>
                <w:lang w:val="en-ZW"/>
              </w:rPr>
              <w:t>מזכירת ועדת ערר</w:t>
            </w:r>
          </w:p>
        </w:tc>
        <w:tc>
          <w:tcPr>
            <w:tcW w:w="4453" w:type="dxa"/>
          </w:tcPr>
          <w:p w14:paraId="2588261A" w14:textId="77777777" w:rsidR="000C15DC" w:rsidRPr="000C15DC" w:rsidRDefault="000C15DC" w:rsidP="00F871B3">
            <w:pPr>
              <w:pStyle w:val="a7"/>
              <w:ind w:right="357"/>
              <w:jc w:val="center"/>
              <w:rPr>
                <w:rFonts w:ascii="Calibri" w:eastAsia="Calibri" w:hAnsi="Calibri" w:cs="David"/>
                <w:b/>
                <w:bCs/>
                <w:sz w:val="26"/>
                <w:szCs w:val="26"/>
                <w:rtl/>
                <w:lang w:val="en-ZW"/>
              </w:rPr>
            </w:pPr>
            <w:r>
              <w:rPr>
                <w:rFonts w:ascii="Calibri" w:eastAsia="Calibri" w:hAnsi="Calibri" w:cs="David" w:hint="cs"/>
                <w:b/>
                <w:bCs/>
                <w:sz w:val="26"/>
                <w:szCs w:val="26"/>
                <w:rtl/>
                <w:lang w:val="en-ZW"/>
              </w:rPr>
              <w:t>יו"ר ועדת ערר</w:t>
            </w:r>
          </w:p>
        </w:tc>
      </w:tr>
      <w:tr w:rsidR="000C15DC" w:rsidRPr="000C15DC" w14:paraId="687E41EE" w14:textId="77777777" w:rsidTr="000C15DC">
        <w:trPr>
          <w:jc w:val="center"/>
        </w:trPr>
        <w:tc>
          <w:tcPr>
            <w:tcW w:w="4453" w:type="dxa"/>
          </w:tcPr>
          <w:p w14:paraId="407B5236" w14:textId="77777777" w:rsidR="000C15DC" w:rsidRPr="000C15DC" w:rsidRDefault="000C15DC" w:rsidP="00F871B3">
            <w:pPr>
              <w:pStyle w:val="a7"/>
              <w:ind w:right="357"/>
              <w:jc w:val="center"/>
              <w:rPr>
                <w:rFonts w:ascii="Calibri" w:eastAsia="Calibri" w:hAnsi="Calibri" w:cs="David"/>
                <w:b/>
                <w:bCs/>
                <w:sz w:val="26"/>
                <w:szCs w:val="26"/>
                <w:rtl/>
                <w:lang w:val="en-ZW"/>
              </w:rPr>
            </w:pPr>
            <w:r>
              <w:rPr>
                <w:rFonts w:ascii="Calibri" w:eastAsia="Calibri" w:hAnsi="Calibri" w:cs="David" w:hint="cs"/>
                <w:b/>
                <w:bCs/>
                <w:sz w:val="26"/>
                <w:szCs w:val="26"/>
                <w:rtl/>
                <w:lang w:val="en-ZW"/>
              </w:rPr>
              <w:t>ועדת ערר לפיצויים והיטל השבחה</w:t>
            </w:r>
          </w:p>
        </w:tc>
        <w:tc>
          <w:tcPr>
            <w:tcW w:w="4453" w:type="dxa"/>
          </w:tcPr>
          <w:p w14:paraId="560DBFA7" w14:textId="77777777" w:rsidR="000C15DC" w:rsidRPr="000C15DC" w:rsidRDefault="000C15DC" w:rsidP="00F871B3">
            <w:pPr>
              <w:pStyle w:val="a7"/>
              <w:ind w:right="357"/>
              <w:jc w:val="center"/>
              <w:rPr>
                <w:rFonts w:ascii="Calibri" w:eastAsia="Calibri" w:hAnsi="Calibri"/>
                <w:b/>
                <w:bCs/>
                <w:sz w:val="26"/>
                <w:szCs w:val="26"/>
                <w:rtl/>
                <w:lang w:val="en-ZW"/>
              </w:rPr>
            </w:pPr>
            <w:r>
              <w:rPr>
                <w:rFonts w:ascii="Calibri" w:eastAsia="Calibri" w:hAnsi="Calibri" w:cs="David" w:hint="cs"/>
                <w:b/>
                <w:bCs/>
                <w:sz w:val="26"/>
                <w:szCs w:val="26"/>
                <w:rtl/>
                <w:lang w:val="en-ZW"/>
              </w:rPr>
              <w:t>ועדת ערר לפיצויים והיטל השבחה</w:t>
            </w:r>
          </w:p>
        </w:tc>
      </w:tr>
      <w:tr w:rsidR="000C15DC" w:rsidRPr="000C15DC" w14:paraId="7C4588E1" w14:textId="77777777" w:rsidTr="00F871B3">
        <w:trPr>
          <w:trHeight w:val="68"/>
          <w:jc w:val="center"/>
        </w:trPr>
        <w:tc>
          <w:tcPr>
            <w:tcW w:w="4453" w:type="dxa"/>
          </w:tcPr>
          <w:p w14:paraId="4EB4469D" w14:textId="77777777" w:rsidR="000C15DC" w:rsidRPr="000C15DC" w:rsidRDefault="000C15DC" w:rsidP="00F871B3">
            <w:pPr>
              <w:pStyle w:val="a7"/>
              <w:ind w:right="357"/>
              <w:jc w:val="center"/>
              <w:rPr>
                <w:rFonts w:ascii="David" w:eastAsia="Calibri" w:hAnsi="David" w:cs="David"/>
                <w:b/>
                <w:bCs/>
                <w:sz w:val="26"/>
                <w:szCs w:val="26"/>
                <w:rtl/>
                <w:lang w:val="en-ZW"/>
              </w:rPr>
            </w:pPr>
            <w:r>
              <w:rPr>
                <w:rFonts w:ascii="David" w:eastAsia="Calibri" w:hAnsi="David" w:cs="David"/>
                <w:b/>
                <w:bCs/>
                <w:sz w:val="26"/>
                <w:szCs w:val="26"/>
                <w:rtl/>
                <w:lang w:val="en-ZW"/>
              </w:rPr>
              <w:t>מחוז מרכז</w:t>
            </w:r>
          </w:p>
        </w:tc>
        <w:tc>
          <w:tcPr>
            <w:tcW w:w="4453" w:type="dxa"/>
          </w:tcPr>
          <w:p w14:paraId="7505D83D" w14:textId="77777777" w:rsidR="000C15DC" w:rsidRPr="000C15DC" w:rsidRDefault="000C15DC" w:rsidP="00F871B3">
            <w:pPr>
              <w:pStyle w:val="a7"/>
              <w:ind w:right="357"/>
              <w:jc w:val="center"/>
              <w:rPr>
                <w:rFonts w:ascii="Calibri" w:eastAsia="Calibri" w:hAnsi="Calibri"/>
                <w:b/>
                <w:bCs/>
                <w:sz w:val="26"/>
                <w:szCs w:val="26"/>
                <w:rtl/>
                <w:lang w:val="en-ZW"/>
              </w:rPr>
            </w:pPr>
            <w:r>
              <w:rPr>
                <w:rFonts w:ascii="David" w:eastAsia="Calibri" w:hAnsi="David" w:cs="David"/>
                <w:b/>
                <w:bCs/>
                <w:sz w:val="26"/>
                <w:szCs w:val="26"/>
                <w:rtl/>
                <w:lang w:val="en-ZW"/>
              </w:rPr>
              <w:t>מחוז מרכז</w:t>
            </w:r>
          </w:p>
        </w:tc>
      </w:tr>
    </w:tbl>
    <w:p w14:paraId="12A10F29" w14:textId="77777777" w:rsidR="00B93452" w:rsidRPr="00B93452" w:rsidRDefault="00B93452" w:rsidP="00F871B3">
      <w:pPr>
        <w:pStyle w:val="a7"/>
        <w:ind w:right="360"/>
        <w:rPr>
          <w:rStyle w:val="af0"/>
          <w:rFonts w:cs="David"/>
          <w:i w:val="0"/>
          <w:iCs w:val="0"/>
          <w:rtl/>
        </w:rPr>
      </w:pPr>
    </w:p>
    <w:sectPr w:rsidR="00B93452" w:rsidRPr="00B93452" w:rsidSect="002B31F1">
      <w:headerReference w:type="default" r:id="rId29"/>
      <w:footerReference w:type="default" r:id="rId30"/>
      <w:pgSz w:w="11906" w:h="16838"/>
      <w:pgMar w:top="820" w:right="1416" w:bottom="709" w:left="1800" w:header="426" w:footer="0" w:gutter="0"/>
      <w:lnNumType w:countBy="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03BADE" w14:textId="77777777" w:rsidR="002878CD" w:rsidRDefault="002878CD" w:rsidP="00C66618">
      <w:pPr>
        <w:spacing w:after="0" w:line="240" w:lineRule="auto"/>
      </w:pPr>
      <w:r>
        <w:separator/>
      </w:r>
    </w:p>
  </w:endnote>
  <w:endnote w:type="continuationSeparator" w:id="0">
    <w:p w14:paraId="2CC70F3F" w14:textId="77777777" w:rsidR="002878CD" w:rsidRDefault="002878CD" w:rsidP="00C666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Tms Rmn">
    <w:altName w:val="Times New Roman"/>
    <w:panose1 w:val="02020603040505020304"/>
    <w:charset w:val="00"/>
    <w:family w:val="roman"/>
    <w:notTrueType/>
    <w:pitch w:val="variable"/>
    <w:sig w:usb0="00000003" w:usb1="00000000" w:usb2="00000000" w:usb3="00000000" w:csb0="00000001" w:csb1="00000000"/>
  </w:font>
  <w:font w:name="Miriam">
    <w:panose1 w:val="020B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849689354"/>
      <w:docPartObj>
        <w:docPartGallery w:val="Page Numbers (Bottom of Page)"/>
        <w:docPartUnique/>
      </w:docPartObj>
    </w:sdtPr>
    <w:sdtEndPr>
      <w:rPr>
        <w:cs/>
      </w:rPr>
    </w:sdtEndPr>
    <w:sdtContent>
      <w:p w14:paraId="5A50A015" w14:textId="77777777" w:rsidR="00917FEF" w:rsidRDefault="00917FEF" w:rsidP="006268A5">
        <w:pPr>
          <w:pStyle w:val="a7"/>
          <w:ind w:right="360"/>
          <w:jc w:val="center"/>
          <w:rPr>
            <w:rStyle w:val="af0"/>
            <w:rFonts w:cs="David"/>
            <w:i w:val="0"/>
            <w:iCs w:val="0"/>
            <w:sz w:val="18"/>
            <w:szCs w:val="18"/>
            <w:rtl/>
          </w:rPr>
        </w:pPr>
      </w:p>
      <w:p w14:paraId="621A1F51" w14:textId="77777777" w:rsidR="006268A5" w:rsidRPr="001C3A31" w:rsidRDefault="006268A5" w:rsidP="006268A5">
        <w:pPr>
          <w:pStyle w:val="a7"/>
          <w:ind w:right="360"/>
          <w:jc w:val="center"/>
          <w:rPr>
            <w:rStyle w:val="af0"/>
            <w:rFonts w:cs="David"/>
            <w:i w:val="0"/>
            <w:iCs w:val="0"/>
            <w:sz w:val="18"/>
            <w:szCs w:val="18"/>
          </w:rPr>
        </w:pPr>
        <w:r w:rsidRPr="001C3A31">
          <w:rPr>
            <w:rStyle w:val="af0"/>
            <w:rFonts w:cs="David" w:hint="cs"/>
            <w:i w:val="0"/>
            <w:iCs w:val="0"/>
            <w:sz w:val="18"/>
            <w:szCs w:val="18"/>
            <w:rtl/>
          </w:rPr>
          <w:t xml:space="preserve">ועדת ערר </w:t>
        </w:r>
        <w:r w:rsidR="00715ECE">
          <w:rPr>
            <w:rStyle w:val="af0"/>
            <w:rFonts w:cs="David" w:hint="cs"/>
            <w:i w:val="0"/>
            <w:iCs w:val="0"/>
            <w:sz w:val="18"/>
            <w:szCs w:val="18"/>
            <w:rtl/>
          </w:rPr>
          <w:t xml:space="preserve">מחוזית </w:t>
        </w:r>
        <w:r w:rsidR="00FA0B90">
          <w:rPr>
            <w:rStyle w:val="af0"/>
            <w:rFonts w:cs="David" w:hint="cs"/>
            <w:i w:val="0"/>
            <w:iCs w:val="0"/>
            <w:sz w:val="18"/>
            <w:szCs w:val="18"/>
            <w:rtl/>
          </w:rPr>
          <w:t>לפיצויים והיטל השבחה</w:t>
        </w:r>
        <w:r w:rsidRPr="001C3A31">
          <w:rPr>
            <w:rStyle w:val="af0"/>
            <w:rFonts w:cs="David" w:hint="cs"/>
            <w:i w:val="0"/>
            <w:iCs w:val="0"/>
            <w:sz w:val="18"/>
            <w:szCs w:val="18"/>
            <w:rtl/>
          </w:rPr>
          <w:t xml:space="preserve"> - מחוז </w:t>
        </w:r>
        <w:r w:rsidR="00917FEF">
          <w:rPr>
            <w:rStyle w:val="af0"/>
            <w:rFonts w:cs="David" w:hint="cs"/>
            <w:i w:val="0"/>
            <w:iCs w:val="0"/>
            <w:sz w:val="18"/>
            <w:szCs w:val="18"/>
            <w:rtl/>
          </w:rPr>
          <w:t>מרכז</w:t>
        </w:r>
      </w:p>
      <w:p w14:paraId="1F305087" w14:textId="77777777" w:rsidR="006268A5" w:rsidRPr="001C3A31" w:rsidRDefault="00917FEF" w:rsidP="006268A5">
        <w:pPr>
          <w:pStyle w:val="a7"/>
          <w:ind w:right="360"/>
          <w:jc w:val="center"/>
          <w:rPr>
            <w:rStyle w:val="af0"/>
            <w:rFonts w:cs="David"/>
            <w:i w:val="0"/>
            <w:iCs w:val="0"/>
            <w:sz w:val="18"/>
            <w:szCs w:val="18"/>
          </w:rPr>
        </w:pPr>
        <w:r>
          <w:rPr>
            <w:rStyle w:val="af0"/>
            <w:rFonts w:cs="David" w:hint="cs"/>
            <w:i w:val="0"/>
            <w:iCs w:val="0"/>
            <w:sz w:val="18"/>
            <w:szCs w:val="18"/>
            <w:rtl/>
          </w:rPr>
          <w:t>רח' יודפת 1</w:t>
        </w:r>
        <w:r w:rsidR="006268A5" w:rsidRPr="001C3A31">
          <w:rPr>
            <w:rStyle w:val="af0"/>
            <w:rFonts w:cs="David" w:hint="cs"/>
            <w:i w:val="0"/>
            <w:iCs w:val="0"/>
            <w:sz w:val="18"/>
            <w:szCs w:val="18"/>
            <w:rtl/>
          </w:rPr>
          <w:t xml:space="preserve">, </w:t>
        </w:r>
        <w:r w:rsidR="00687353">
          <w:rPr>
            <w:rStyle w:val="af0"/>
            <w:rFonts w:cs="David" w:hint="cs"/>
            <w:i w:val="0"/>
            <w:iCs w:val="0"/>
            <w:sz w:val="18"/>
            <w:szCs w:val="18"/>
            <w:rtl/>
          </w:rPr>
          <w:t>בניין אלון,</w:t>
        </w:r>
        <w:r w:rsidR="006268A5" w:rsidRPr="001C3A31">
          <w:rPr>
            <w:rStyle w:val="af0"/>
            <w:rFonts w:cs="David" w:hint="cs"/>
            <w:i w:val="0"/>
            <w:iCs w:val="0"/>
            <w:sz w:val="18"/>
            <w:szCs w:val="18"/>
            <w:rtl/>
          </w:rPr>
          <w:t xml:space="preserve"> קומה </w:t>
        </w:r>
        <w:r w:rsidR="00687353">
          <w:rPr>
            <w:rStyle w:val="af0"/>
            <w:rFonts w:cs="David" w:hint="cs"/>
            <w:i w:val="0"/>
            <w:iCs w:val="0"/>
            <w:sz w:val="18"/>
            <w:szCs w:val="18"/>
            <w:rtl/>
          </w:rPr>
          <w:t>1</w:t>
        </w:r>
        <w:r w:rsidR="006268A5" w:rsidRPr="001C3A31">
          <w:rPr>
            <w:rStyle w:val="af0"/>
            <w:rFonts w:cs="David" w:hint="cs"/>
            <w:i w:val="0"/>
            <w:iCs w:val="0"/>
            <w:sz w:val="18"/>
            <w:szCs w:val="18"/>
            <w:rtl/>
          </w:rPr>
          <w:t xml:space="preserve">, </w:t>
        </w:r>
        <w:r>
          <w:rPr>
            <w:rStyle w:val="af0"/>
            <w:rFonts w:cs="David" w:hint="cs"/>
            <w:i w:val="0"/>
            <w:iCs w:val="0"/>
            <w:sz w:val="18"/>
            <w:szCs w:val="18"/>
            <w:rtl/>
          </w:rPr>
          <w:t>לוד</w:t>
        </w:r>
        <w:r w:rsidR="006268A5" w:rsidRPr="001C3A31">
          <w:rPr>
            <w:rStyle w:val="af0"/>
            <w:rFonts w:cs="David" w:hint="cs"/>
            <w:i w:val="0"/>
            <w:iCs w:val="0"/>
            <w:sz w:val="18"/>
            <w:szCs w:val="18"/>
            <w:rtl/>
          </w:rPr>
          <w:t xml:space="preserve"> </w:t>
        </w:r>
      </w:p>
      <w:p w14:paraId="1B8E0650" w14:textId="77777777" w:rsidR="006268A5" w:rsidRPr="001C3A31" w:rsidRDefault="006268A5" w:rsidP="006268A5">
        <w:pPr>
          <w:pStyle w:val="a7"/>
          <w:ind w:right="360"/>
          <w:jc w:val="center"/>
          <w:rPr>
            <w:rStyle w:val="af0"/>
            <w:rFonts w:cs="David"/>
            <w:i w:val="0"/>
            <w:iCs w:val="0"/>
            <w:sz w:val="18"/>
            <w:szCs w:val="18"/>
            <w:rtl/>
          </w:rPr>
        </w:pPr>
        <w:r w:rsidRPr="001C3A31">
          <w:rPr>
            <w:rStyle w:val="af0"/>
            <w:rFonts w:cs="David" w:hint="cs"/>
            <w:i w:val="0"/>
            <w:iCs w:val="0"/>
            <w:sz w:val="18"/>
            <w:szCs w:val="18"/>
            <w:rtl/>
          </w:rPr>
          <w:t xml:space="preserve">קבלת קהל: </w:t>
        </w:r>
        <w:r w:rsidRPr="001C3A31">
          <w:rPr>
            <w:rStyle w:val="af0"/>
            <w:rFonts w:cs="David"/>
            <w:i w:val="0"/>
            <w:iCs w:val="0"/>
            <w:sz w:val="18"/>
            <w:szCs w:val="18"/>
            <w:rtl/>
          </w:rPr>
          <w:t xml:space="preserve">ימים א', ב', ג', ה' </w:t>
        </w:r>
        <w:r w:rsidR="0048231D">
          <w:rPr>
            <w:rStyle w:val="af0"/>
            <w:rFonts w:cs="David" w:hint="cs"/>
            <w:i w:val="0"/>
            <w:iCs w:val="0"/>
            <w:sz w:val="18"/>
            <w:szCs w:val="18"/>
            <w:rtl/>
          </w:rPr>
          <w:t>14</w:t>
        </w:r>
        <w:r w:rsidRPr="001C3A31">
          <w:rPr>
            <w:rStyle w:val="af0"/>
            <w:rFonts w:cs="David"/>
            <w:i w:val="0"/>
            <w:iCs w:val="0"/>
            <w:sz w:val="18"/>
            <w:szCs w:val="18"/>
            <w:rtl/>
          </w:rPr>
          <w:t>:</w:t>
        </w:r>
        <w:r w:rsidR="00687353">
          <w:rPr>
            <w:rStyle w:val="af0"/>
            <w:rFonts w:cs="David" w:hint="cs"/>
            <w:i w:val="0"/>
            <w:iCs w:val="0"/>
            <w:sz w:val="18"/>
            <w:szCs w:val="18"/>
            <w:rtl/>
          </w:rPr>
          <w:t>3</w:t>
        </w:r>
        <w:r w:rsidRPr="001C3A31">
          <w:rPr>
            <w:rStyle w:val="af0"/>
            <w:rFonts w:cs="David"/>
            <w:i w:val="0"/>
            <w:iCs w:val="0"/>
            <w:sz w:val="18"/>
            <w:szCs w:val="18"/>
            <w:rtl/>
          </w:rPr>
          <w:t>0-</w:t>
        </w:r>
        <w:r w:rsidR="0048231D">
          <w:rPr>
            <w:rStyle w:val="af0"/>
            <w:rFonts w:cs="David" w:hint="cs"/>
            <w:i w:val="0"/>
            <w:iCs w:val="0"/>
            <w:sz w:val="18"/>
            <w:szCs w:val="18"/>
            <w:rtl/>
          </w:rPr>
          <w:t>08</w:t>
        </w:r>
        <w:r w:rsidRPr="001C3A31">
          <w:rPr>
            <w:rStyle w:val="af0"/>
            <w:rFonts w:cs="David"/>
            <w:i w:val="0"/>
            <w:iCs w:val="0"/>
            <w:sz w:val="18"/>
            <w:szCs w:val="18"/>
            <w:rtl/>
          </w:rPr>
          <w:t>:</w:t>
        </w:r>
        <w:r w:rsidR="00687353">
          <w:rPr>
            <w:rStyle w:val="af0"/>
            <w:rFonts w:cs="David" w:hint="cs"/>
            <w:i w:val="0"/>
            <w:iCs w:val="0"/>
            <w:sz w:val="18"/>
            <w:szCs w:val="18"/>
            <w:rtl/>
          </w:rPr>
          <w:t>3</w:t>
        </w:r>
        <w:r w:rsidRPr="001C3A31">
          <w:rPr>
            <w:rStyle w:val="af0"/>
            <w:rFonts w:cs="David"/>
            <w:i w:val="0"/>
            <w:iCs w:val="0"/>
            <w:sz w:val="18"/>
            <w:szCs w:val="18"/>
            <w:rtl/>
          </w:rPr>
          <w:t xml:space="preserve">0, יום  ד' </w:t>
        </w:r>
        <w:r w:rsidR="0048231D">
          <w:rPr>
            <w:rStyle w:val="af0"/>
            <w:rFonts w:cs="David" w:hint="cs"/>
            <w:i w:val="0"/>
            <w:iCs w:val="0"/>
            <w:sz w:val="18"/>
            <w:szCs w:val="18"/>
            <w:rtl/>
          </w:rPr>
          <w:t>16</w:t>
        </w:r>
        <w:r w:rsidRPr="001C3A31">
          <w:rPr>
            <w:rStyle w:val="af0"/>
            <w:rFonts w:cs="David"/>
            <w:i w:val="0"/>
            <w:iCs w:val="0"/>
            <w:sz w:val="18"/>
            <w:szCs w:val="18"/>
            <w:rtl/>
          </w:rPr>
          <w:t>:</w:t>
        </w:r>
        <w:r w:rsidR="00426A9D">
          <w:rPr>
            <w:rStyle w:val="af0"/>
            <w:rFonts w:cs="David" w:hint="cs"/>
            <w:i w:val="0"/>
            <w:iCs w:val="0"/>
            <w:sz w:val="18"/>
            <w:szCs w:val="18"/>
            <w:rtl/>
          </w:rPr>
          <w:t>3</w:t>
        </w:r>
        <w:r w:rsidRPr="001C3A31">
          <w:rPr>
            <w:rStyle w:val="af0"/>
            <w:rFonts w:cs="David"/>
            <w:i w:val="0"/>
            <w:iCs w:val="0"/>
            <w:sz w:val="18"/>
            <w:szCs w:val="18"/>
            <w:rtl/>
          </w:rPr>
          <w:t>0-</w:t>
        </w:r>
        <w:r w:rsidR="0048231D">
          <w:rPr>
            <w:rStyle w:val="af0"/>
            <w:rFonts w:cs="David" w:hint="cs"/>
            <w:i w:val="0"/>
            <w:iCs w:val="0"/>
            <w:sz w:val="18"/>
            <w:szCs w:val="18"/>
            <w:rtl/>
          </w:rPr>
          <w:t>08</w:t>
        </w:r>
        <w:r w:rsidRPr="001C3A31">
          <w:rPr>
            <w:rStyle w:val="af0"/>
            <w:rFonts w:cs="David"/>
            <w:i w:val="0"/>
            <w:iCs w:val="0"/>
            <w:sz w:val="18"/>
            <w:szCs w:val="18"/>
            <w:rtl/>
          </w:rPr>
          <w:t xml:space="preserve">:30  </w:t>
        </w:r>
      </w:p>
      <w:p w14:paraId="3294F88A" w14:textId="77777777" w:rsidR="006268A5" w:rsidRPr="001C3A31" w:rsidRDefault="006268A5" w:rsidP="006268A5">
        <w:pPr>
          <w:pStyle w:val="a7"/>
          <w:ind w:right="360"/>
          <w:jc w:val="center"/>
          <w:rPr>
            <w:rStyle w:val="af0"/>
            <w:rFonts w:cs="David"/>
            <w:i w:val="0"/>
            <w:iCs w:val="0"/>
            <w:sz w:val="18"/>
            <w:szCs w:val="18"/>
            <w:rtl/>
          </w:rPr>
        </w:pPr>
        <w:r w:rsidRPr="001C3A31">
          <w:rPr>
            <w:rStyle w:val="af0"/>
            <w:rFonts w:cs="David" w:hint="cs"/>
            <w:i w:val="0"/>
            <w:iCs w:val="0"/>
            <w:sz w:val="18"/>
            <w:szCs w:val="18"/>
            <w:rtl/>
          </w:rPr>
          <w:t xml:space="preserve">טלפון:  </w:t>
        </w:r>
        <w:r w:rsidR="00426A9D">
          <w:rPr>
            <w:rStyle w:val="af0"/>
            <w:rFonts w:cs="David" w:hint="cs"/>
            <w:i w:val="0"/>
            <w:iCs w:val="0"/>
            <w:sz w:val="18"/>
            <w:szCs w:val="18"/>
            <w:rtl/>
          </w:rPr>
          <w:t>08</w:t>
        </w:r>
        <w:r w:rsidRPr="001C3A31">
          <w:rPr>
            <w:rStyle w:val="af0"/>
            <w:rFonts w:cs="David" w:hint="cs"/>
            <w:i w:val="0"/>
            <w:iCs w:val="0"/>
            <w:sz w:val="18"/>
            <w:szCs w:val="18"/>
            <w:rtl/>
          </w:rPr>
          <w:t>-</w:t>
        </w:r>
        <w:r w:rsidR="00426A9D">
          <w:rPr>
            <w:rStyle w:val="af0"/>
            <w:rFonts w:cs="David" w:hint="cs"/>
            <w:i w:val="0"/>
            <w:iCs w:val="0"/>
            <w:sz w:val="18"/>
            <w:szCs w:val="18"/>
            <w:rtl/>
          </w:rPr>
          <w:t>9156125</w:t>
        </w:r>
        <w:r w:rsidRPr="001C3A31">
          <w:rPr>
            <w:rStyle w:val="af0"/>
            <w:rFonts w:cs="David" w:hint="cs"/>
            <w:i w:val="0"/>
            <w:iCs w:val="0"/>
            <w:sz w:val="18"/>
            <w:szCs w:val="18"/>
            <w:rtl/>
          </w:rPr>
          <w:t xml:space="preserve">  פקס: </w:t>
        </w:r>
        <w:r w:rsidR="00426A9D">
          <w:rPr>
            <w:rStyle w:val="af0"/>
            <w:rFonts w:cs="David" w:hint="cs"/>
            <w:i w:val="0"/>
            <w:iCs w:val="0"/>
            <w:sz w:val="18"/>
            <w:szCs w:val="18"/>
            <w:rtl/>
          </w:rPr>
          <w:t>08</w:t>
        </w:r>
        <w:r w:rsidRPr="001C3A31">
          <w:rPr>
            <w:rStyle w:val="af0"/>
            <w:rFonts w:cs="David" w:hint="cs"/>
            <w:i w:val="0"/>
            <w:iCs w:val="0"/>
            <w:sz w:val="18"/>
            <w:szCs w:val="18"/>
            <w:rtl/>
          </w:rPr>
          <w:t>-</w:t>
        </w:r>
        <w:r w:rsidR="00426A9D">
          <w:rPr>
            <w:rStyle w:val="af0"/>
            <w:rFonts w:cs="David" w:hint="cs"/>
            <w:i w:val="0"/>
            <w:iCs w:val="0"/>
            <w:sz w:val="18"/>
            <w:szCs w:val="18"/>
            <w:rtl/>
          </w:rPr>
          <w:t>9216467</w:t>
        </w:r>
        <w:r w:rsidRPr="001C3A31">
          <w:rPr>
            <w:rStyle w:val="af0"/>
            <w:rFonts w:cs="David" w:hint="cs"/>
            <w:i w:val="0"/>
            <w:iCs w:val="0"/>
            <w:sz w:val="18"/>
            <w:szCs w:val="18"/>
            <w:rtl/>
          </w:rPr>
          <w:t xml:space="preserve">   מייל: </w:t>
        </w:r>
        <w:r w:rsidRPr="001C3A31">
          <w:rPr>
            <w:rStyle w:val="af0"/>
            <w:rFonts w:cs="David"/>
            <w:i w:val="0"/>
            <w:iCs w:val="0"/>
            <w:sz w:val="18"/>
            <w:szCs w:val="18"/>
          </w:rPr>
          <w:t>Arr</w:t>
        </w:r>
        <w:r w:rsidR="00426A9D">
          <w:rPr>
            <w:rStyle w:val="af0"/>
            <w:rFonts w:cs="David"/>
            <w:i w:val="0"/>
            <w:iCs w:val="0"/>
            <w:sz w:val="18"/>
            <w:szCs w:val="18"/>
          </w:rPr>
          <w:t>merkaz4</w:t>
        </w:r>
        <w:r w:rsidRPr="001C3A31">
          <w:rPr>
            <w:rStyle w:val="af0"/>
            <w:rFonts w:cs="David"/>
            <w:i w:val="0"/>
            <w:iCs w:val="0"/>
            <w:sz w:val="18"/>
            <w:szCs w:val="18"/>
          </w:rPr>
          <w:t>@iplan.gov.il</w:t>
        </w:r>
      </w:p>
      <w:p w14:paraId="180F98EE" w14:textId="77777777" w:rsidR="007C3549" w:rsidRDefault="007C3549" w:rsidP="006268A5">
        <w:pPr>
          <w:pStyle w:val="a7"/>
          <w:rPr>
            <w:rtl/>
          </w:rPr>
        </w:pPr>
      </w:p>
      <w:p w14:paraId="296AB14A" w14:textId="77777777" w:rsidR="007C3549" w:rsidRDefault="007C3549">
        <w:pPr>
          <w:pStyle w:val="a7"/>
          <w:jc w:val="right"/>
        </w:pPr>
      </w:p>
      <w:p w14:paraId="7D201AA7" w14:textId="77777777" w:rsidR="007C3549" w:rsidRDefault="007C3549">
        <w:pPr>
          <w:pStyle w:val="a7"/>
          <w:jc w:val="right"/>
          <w:rPr>
            <w:rtl/>
            <w:cs/>
          </w:rPr>
        </w:pPr>
        <w:r>
          <w:fldChar w:fldCharType="begin"/>
        </w:r>
        <w:r>
          <w:rPr>
            <w:rtl/>
            <w:cs/>
          </w:rPr>
          <w:instrText>PAGE   \* MERGEFORMAT</w:instrText>
        </w:r>
        <w:r>
          <w:fldChar w:fldCharType="separate"/>
        </w:r>
        <w:r w:rsidR="00376F29" w:rsidRPr="00376F29">
          <w:rPr>
            <w:noProof/>
            <w:rtl/>
            <w:lang w:val="he-IL"/>
          </w:rPr>
          <w:t>16</w:t>
        </w:r>
        <w:r>
          <w:fldChar w:fldCharType="end"/>
        </w:r>
      </w:p>
    </w:sdtContent>
  </w:sdt>
  <w:p w14:paraId="53AB7067" w14:textId="77777777" w:rsidR="007C3549" w:rsidRDefault="007C3549" w:rsidP="00756C9C">
    <w:pPr>
      <w:pStyle w:val="a7"/>
      <w:tabs>
        <w:tab w:val="clear" w:pos="4153"/>
        <w:tab w:val="clear" w:pos="8306"/>
        <w:tab w:val="left" w:pos="5244"/>
      </w:tabs>
    </w:pPr>
    <w:r>
      <w:rPr>
        <w:rt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412A7" w14:textId="77777777" w:rsidR="002878CD" w:rsidRDefault="002878CD" w:rsidP="00C66618">
      <w:pPr>
        <w:spacing w:after="0" w:line="240" w:lineRule="auto"/>
      </w:pPr>
      <w:r>
        <w:separator/>
      </w:r>
    </w:p>
  </w:footnote>
  <w:footnote w:type="continuationSeparator" w:id="0">
    <w:p w14:paraId="7E37BB20" w14:textId="77777777" w:rsidR="002878CD" w:rsidRDefault="002878CD" w:rsidP="00C66618">
      <w:pPr>
        <w:spacing w:after="0" w:line="240" w:lineRule="auto"/>
      </w:pPr>
      <w:r>
        <w:continuationSeparator/>
      </w:r>
    </w:p>
  </w:footnote>
  <w:footnote w:id="1">
    <w:p w14:paraId="6A9F3CF9" w14:textId="77777777" w:rsidR="00D06856" w:rsidRDefault="00D06856" w:rsidP="00D06856">
      <w:pPr>
        <w:pStyle w:val="af8"/>
        <w:ind w:left="185" w:hanging="185"/>
        <w:rPr>
          <w:rtl/>
        </w:rPr>
      </w:pPr>
      <w:r>
        <w:rPr>
          <w:rStyle w:val="afa"/>
        </w:rPr>
        <w:footnoteRef/>
      </w:r>
      <w:r>
        <w:rPr>
          <w:rtl/>
        </w:rPr>
        <w:t xml:space="preserve"> </w:t>
      </w:r>
      <w:r w:rsidRPr="00D06856">
        <w:rPr>
          <w:rFonts w:ascii="David" w:hAnsi="David" w:cs="David"/>
          <w:rtl/>
        </w:rPr>
        <w:t>מסיבות לא ידועות, שומת הוועדה המקומית שבעניינה נערכה שומת אפי קפיטל 2023 לא צורפה לכתב הערר או לכתב התשובה.</w:t>
      </w:r>
    </w:p>
  </w:footnote>
  <w:footnote w:id="2">
    <w:p w14:paraId="79F30547" w14:textId="77777777" w:rsidR="00284B2C" w:rsidRPr="00284B2C" w:rsidRDefault="00284B2C">
      <w:pPr>
        <w:pStyle w:val="af8"/>
        <w:rPr>
          <w:rFonts w:ascii="David" w:hAnsi="David" w:cs="David"/>
        </w:rPr>
      </w:pPr>
      <w:r w:rsidRPr="00284B2C">
        <w:rPr>
          <w:rStyle w:val="afa"/>
          <w:rFonts w:ascii="David" w:hAnsi="David" w:cs="David"/>
        </w:rPr>
        <w:footnoteRef/>
      </w:r>
      <w:r w:rsidRPr="00284B2C">
        <w:rPr>
          <w:rFonts w:ascii="David" w:hAnsi="David" w:cs="David"/>
          <w:rtl/>
        </w:rPr>
        <w:t xml:space="preserve"> יצוין כי  השמאי מטעם אפי קפיטל לא יישם מקדם הפחתה בשל פיתוח סביבתי ואישור תוכנית בינוי</w:t>
      </w:r>
      <w:r>
        <w:rPr>
          <w:rFonts w:ascii="David" w:hAnsi="David" w:cs="David" w:hint="cs"/>
          <w:rtl/>
        </w:rPr>
        <w:t>, ככל הנראה מאחר שנסמך על עסקאות מתחום התוכנית בלבד.</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66C8F" w14:textId="77777777" w:rsidR="007C3549" w:rsidRDefault="007C3549" w:rsidP="00011C3C">
    <w:pPr>
      <w:pStyle w:val="a5"/>
      <w:jc w:val="right"/>
      <w:rPr>
        <w:rFonts w:cs="David"/>
        <w:b/>
        <w:bCs/>
        <w:sz w:val="24"/>
        <w:szCs w:val="24"/>
        <w:rtl/>
      </w:rPr>
    </w:pPr>
    <w:r w:rsidRPr="000B4412">
      <w:rPr>
        <w:rFonts w:cs="David" w:hint="cs"/>
        <w:b/>
        <w:bCs/>
        <w:sz w:val="24"/>
        <w:szCs w:val="24"/>
        <w:rtl/>
      </w:rPr>
      <w:t>ערר מס':</w:t>
    </w:r>
    <w:r w:rsidR="002C1A78">
      <w:rPr>
        <w:rFonts w:cs="David" w:hint="cs"/>
        <w:b/>
        <w:bCs/>
        <w:sz w:val="24"/>
        <w:szCs w:val="24"/>
        <w:rtl/>
      </w:rPr>
      <w:t xml:space="preserve"> </w:t>
    </w:r>
    <w:sdt>
      <w:sdtPr>
        <w:rPr>
          <w:rFonts w:cs="David"/>
          <w:b/>
          <w:bCs/>
          <w:sz w:val="24"/>
          <w:szCs w:val="24"/>
          <w:rtl/>
        </w:rPr>
        <w:id w:val="1747459266"/>
        <w:placeholder>
          <w:docPart w:val="DefaultPlaceholder_1081868574"/>
        </w:placeholder>
        <w:text/>
      </w:sdtPr>
      <w:sdtEndPr/>
      <w:sdtContent>
        <w:r>
          <w:rPr>
            <w:rFonts w:cs="David"/>
            <w:b/>
            <w:bCs/>
            <w:sz w:val="24"/>
            <w:szCs w:val="24"/>
            <w:rtl/>
          </w:rPr>
          <w:t>שר/8071/1221</w:t>
        </w:r>
        <w:r>
          <w:rPr>
            <w:rFonts w:cs="David"/>
            <w:sz w:val="24"/>
            <w:szCs w:val="24"/>
          </w:rPr>
          <w:br/>
        </w:r>
        <w:r>
          <w:rPr>
            <w:rFonts w:cs="David"/>
            <w:b/>
            <w:bCs/>
            <w:sz w:val="24"/>
            <w:szCs w:val="24"/>
            <w:rtl/>
          </w:rPr>
          <w:t>שר/8072/1221</w:t>
        </w:r>
      </w:sdtContent>
    </w:sdt>
  </w:p>
  <w:p w14:paraId="6A9FA2BB" w14:textId="77777777" w:rsidR="0017458A" w:rsidRDefault="0017458A" w:rsidP="00011C3C">
    <w:pPr>
      <w:pStyle w:val="a5"/>
      <w:jc w:val="right"/>
      <w:rPr>
        <w:rFonts w:cs="David"/>
        <w:b/>
        <w:bCs/>
        <w:sz w:val="24"/>
        <w:szCs w:val="24"/>
        <w:rtl/>
      </w:rPr>
    </w:pPr>
    <w:r>
      <w:rPr>
        <w:rFonts w:cs="David"/>
        <w:b/>
        <w:bCs/>
        <w:sz w:val="24"/>
        <w:szCs w:val="24"/>
        <w:rtl/>
      </w:rPr>
      <w:t>שר/8075/1123</w:t>
    </w:r>
    <w:r>
      <w:rPr>
        <w:rFonts w:cs="David"/>
        <w:sz w:val="24"/>
        <w:szCs w:val="24"/>
      </w:rPr>
      <w:br/>
    </w:r>
    <w:r>
      <w:rPr>
        <w:rFonts w:cs="David"/>
        <w:b/>
        <w:bCs/>
        <w:sz w:val="24"/>
        <w:szCs w:val="24"/>
        <w:rtl/>
      </w:rPr>
      <w:t>שר/8076/1223</w:t>
    </w:r>
  </w:p>
  <w:p w14:paraId="0932D8A6" w14:textId="77777777" w:rsidR="00917FEF" w:rsidRPr="000B4412" w:rsidRDefault="00917FEF" w:rsidP="00011C3C">
    <w:pPr>
      <w:pStyle w:val="a5"/>
      <w:jc w:val="right"/>
      <w:rPr>
        <w:rFonts w:cs="David"/>
        <w:b/>
        <w:bCs/>
        <w:sz w:val="24"/>
        <w:szCs w:val="24"/>
        <w:rtl/>
      </w:rPr>
    </w:pPr>
  </w:p>
  <w:p w14:paraId="7EADFD51" w14:textId="77777777" w:rsidR="007C3549" w:rsidRPr="00381549" w:rsidRDefault="007C3549" w:rsidP="00381549">
    <w:pPr>
      <w:pStyle w:val="a5"/>
      <w:jc w:val="right"/>
      <w:rPr>
        <w:rFonts w:cs="David"/>
        <w:b/>
        <w:bCs/>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D42AD"/>
    <w:multiLevelType w:val="multilevel"/>
    <w:tmpl w:val="6388E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01944"/>
    <w:multiLevelType w:val="multilevel"/>
    <w:tmpl w:val="FA287B76"/>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CFE45C3"/>
    <w:multiLevelType w:val="multilevel"/>
    <w:tmpl w:val="0A4ED260"/>
    <w:lvl w:ilvl="0">
      <w:start w:val="1"/>
      <w:numFmt w:val="decimal"/>
      <w:pStyle w:val="a"/>
      <w:lvlText w:val="%1."/>
      <w:lvlJc w:val="left"/>
      <w:pPr>
        <w:ind w:left="360" w:hanging="360"/>
      </w:pPr>
      <w:rPr>
        <w:rFonts w:ascii="David" w:hAnsi="David" w:cs="David" w:hint="default"/>
        <w:sz w:val="24"/>
        <w:szCs w:val="24"/>
        <w:lang w:val="en-US" w:bidi="he-IL"/>
      </w:rPr>
    </w:lvl>
    <w:lvl w:ilvl="1">
      <w:start w:val="1"/>
      <w:numFmt w:val="decimal"/>
      <w:pStyle w:val="a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5DA3600"/>
    <w:multiLevelType w:val="multilevel"/>
    <w:tmpl w:val="B72CAC1C"/>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1271A78"/>
    <w:multiLevelType w:val="multilevel"/>
    <w:tmpl w:val="F6C68B0A"/>
    <w:lvl w:ilvl="0">
      <w:start w:val="1"/>
      <w:numFmt w:val="decimal"/>
      <w:lvlText w:val="%1."/>
      <w:lvlJc w:val="left"/>
      <w:pPr>
        <w:ind w:left="360" w:hanging="360"/>
      </w:pPr>
      <w:rPr>
        <w:rFonts w:ascii="David" w:hAnsi="David" w:cs="David" w:hint="default"/>
        <w:sz w:val="24"/>
        <w:szCs w:val="24"/>
        <w:lang w:val="en-US" w:bidi="he-I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38B1F31"/>
    <w:multiLevelType w:val="multilevel"/>
    <w:tmpl w:val="B3507AE6"/>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7C2466A"/>
    <w:multiLevelType w:val="multilevel"/>
    <w:tmpl w:val="02F6D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num>
  <w:num w:numId="4">
    <w:abstractNumId w:val="1"/>
  </w:num>
  <w:num w:numId="5">
    <w:abstractNumId w:val="6"/>
  </w:num>
  <w:num w:numId="6">
    <w:abstractNumId w:val="5"/>
  </w:num>
  <w:num w:numId="7">
    <w:abstractNumId w:val="2"/>
  </w:num>
  <w:num w:numId="8">
    <w:abstractNumId w:val="2"/>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2"/>
  </w:num>
  <w:num w:numId="13">
    <w:abstractNumId w:val="2"/>
  </w:num>
  <w:num w:numId="14">
    <w:abstractNumId w:val="2"/>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2"/>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2"/>
  </w:num>
  <w:num w:numId="23">
    <w:abstractNumId w:val="2"/>
  </w:num>
  <w:num w:numId="24">
    <w:abstractNumId w:val="2"/>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2"/>
  </w:num>
  <w:num w:numId="38">
    <w:abstractNumId w:val="2"/>
  </w:num>
  <w:num w:numId="39">
    <w:abstractNumId w:val="2"/>
  </w:num>
  <w:num w:numId="40">
    <w:abstractNumId w:val="2"/>
  </w:num>
  <w:num w:numId="41">
    <w:abstractNumId w:val="2"/>
  </w:num>
  <w:num w:numId="42">
    <w:abstractNumId w:val="2"/>
  </w:num>
  <w:num w:numId="43">
    <w:abstractNumId w:val="2"/>
  </w:num>
  <w:num w:numId="44">
    <w:abstractNumId w:val="2"/>
  </w:num>
  <w:num w:numId="45">
    <w:abstractNumId w:val="2"/>
  </w:num>
  <w:num w:numId="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142"/>
    <w:rsid w:val="00000EAE"/>
    <w:rsid w:val="000118A5"/>
    <w:rsid w:val="00011C3C"/>
    <w:rsid w:val="000177A3"/>
    <w:rsid w:val="000236F0"/>
    <w:rsid w:val="0002387A"/>
    <w:rsid w:val="00032806"/>
    <w:rsid w:val="00032914"/>
    <w:rsid w:val="0003308B"/>
    <w:rsid w:val="000422B7"/>
    <w:rsid w:val="0004601C"/>
    <w:rsid w:val="0006519D"/>
    <w:rsid w:val="000725A6"/>
    <w:rsid w:val="00081048"/>
    <w:rsid w:val="00082A47"/>
    <w:rsid w:val="000848FD"/>
    <w:rsid w:val="000850DE"/>
    <w:rsid w:val="00087FA7"/>
    <w:rsid w:val="00092971"/>
    <w:rsid w:val="00095148"/>
    <w:rsid w:val="00095DC7"/>
    <w:rsid w:val="000A0595"/>
    <w:rsid w:val="000B0639"/>
    <w:rsid w:val="000B0CCB"/>
    <w:rsid w:val="000B2868"/>
    <w:rsid w:val="000B4412"/>
    <w:rsid w:val="000C15DC"/>
    <w:rsid w:val="000C1A66"/>
    <w:rsid w:val="000C6DE9"/>
    <w:rsid w:val="000C6EDF"/>
    <w:rsid w:val="000C7E71"/>
    <w:rsid w:val="000D180C"/>
    <w:rsid w:val="000D313D"/>
    <w:rsid w:val="000D3808"/>
    <w:rsid w:val="000D3E6B"/>
    <w:rsid w:val="000D3FBC"/>
    <w:rsid w:val="000D6122"/>
    <w:rsid w:val="000D700B"/>
    <w:rsid w:val="000E1D98"/>
    <w:rsid w:val="000E6366"/>
    <w:rsid w:val="000F0947"/>
    <w:rsid w:val="001042C6"/>
    <w:rsid w:val="0010446C"/>
    <w:rsid w:val="00110090"/>
    <w:rsid w:val="0011293A"/>
    <w:rsid w:val="0011604B"/>
    <w:rsid w:val="001177E6"/>
    <w:rsid w:val="00122A25"/>
    <w:rsid w:val="001253F6"/>
    <w:rsid w:val="0012733C"/>
    <w:rsid w:val="0014124C"/>
    <w:rsid w:val="00141479"/>
    <w:rsid w:val="001419D2"/>
    <w:rsid w:val="00141E8A"/>
    <w:rsid w:val="001518BF"/>
    <w:rsid w:val="00156382"/>
    <w:rsid w:val="0016060A"/>
    <w:rsid w:val="001611B2"/>
    <w:rsid w:val="0016232E"/>
    <w:rsid w:val="00172AAD"/>
    <w:rsid w:val="0017458A"/>
    <w:rsid w:val="001746CD"/>
    <w:rsid w:val="0017565A"/>
    <w:rsid w:val="001774D5"/>
    <w:rsid w:val="001844BE"/>
    <w:rsid w:val="00192D34"/>
    <w:rsid w:val="001A0DA3"/>
    <w:rsid w:val="001A5EC3"/>
    <w:rsid w:val="001A6ADE"/>
    <w:rsid w:val="001A7B02"/>
    <w:rsid w:val="001B108F"/>
    <w:rsid w:val="001B217F"/>
    <w:rsid w:val="001B7188"/>
    <w:rsid w:val="001C0B34"/>
    <w:rsid w:val="001C1960"/>
    <w:rsid w:val="001C3A31"/>
    <w:rsid w:val="001C44DC"/>
    <w:rsid w:val="001C4F33"/>
    <w:rsid w:val="001C609D"/>
    <w:rsid w:val="001C70F9"/>
    <w:rsid w:val="001D49A6"/>
    <w:rsid w:val="001D5B59"/>
    <w:rsid w:val="001D685A"/>
    <w:rsid w:val="001E4CF0"/>
    <w:rsid w:val="001E7DF8"/>
    <w:rsid w:val="001F0A83"/>
    <w:rsid w:val="001F4F4D"/>
    <w:rsid w:val="00200F59"/>
    <w:rsid w:val="00201173"/>
    <w:rsid w:val="00205F7A"/>
    <w:rsid w:val="0022145B"/>
    <w:rsid w:val="00221FD7"/>
    <w:rsid w:val="002403D0"/>
    <w:rsid w:val="00242472"/>
    <w:rsid w:val="002524A2"/>
    <w:rsid w:val="002535A2"/>
    <w:rsid w:val="00253F7C"/>
    <w:rsid w:val="00254C92"/>
    <w:rsid w:val="00257AB4"/>
    <w:rsid w:val="00260242"/>
    <w:rsid w:val="00260B5F"/>
    <w:rsid w:val="002679A0"/>
    <w:rsid w:val="0027083A"/>
    <w:rsid w:val="0027099C"/>
    <w:rsid w:val="00272414"/>
    <w:rsid w:val="0028416B"/>
    <w:rsid w:val="00284B2C"/>
    <w:rsid w:val="0028649C"/>
    <w:rsid w:val="002878CD"/>
    <w:rsid w:val="00293364"/>
    <w:rsid w:val="00296142"/>
    <w:rsid w:val="002A1343"/>
    <w:rsid w:val="002A48F1"/>
    <w:rsid w:val="002A7102"/>
    <w:rsid w:val="002A7E69"/>
    <w:rsid w:val="002B1159"/>
    <w:rsid w:val="002B25CF"/>
    <w:rsid w:val="002B31F1"/>
    <w:rsid w:val="002C1A78"/>
    <w:rsid w:val="002C29C8"/>
    <w:rsid w:val="002D324C"/>
    <w:rsid w:val="002D51EE"/>
    <w:rsid w:val="002E61B6"/>
    <w:rsid w:val="002F0476"/>
    <w:rsid w:val="002F25F7"/>
    <w:rsid w:val="002F3E1F"/>
    <w:rsid w:val="002F5739"/>
    <w:rsid w:val="002F70E7"/>
    <w:rsid w:val="00303594"/>
    <w:rsid w:val="00303853"/>
    <w:rsid w:val="00314E48"/>
    <w:rsid w:val="00315599"/>
    <w:rsid w:val="00320D5D"/>
    <w:rsid w:val="00325716"/>
    <w:rsid w:val="00331B90"/>
    <w:rsid w:val="0033260E"/>
    <w:rsid w:val="00332D8F"/>
    <w:rsid w:val="0033637A"/>
    <w:rsid w:val="00336627"/>
    <w:rsid w:val="00340BA8"/>
    <w:rsid w:val="00342D00"/>
    <w:rsid w:val="00342D5A"/>
    <w:rsid w:val="00344144"/>
    <w:rsid w:val="0034431D"/>
    <w:rsid w:val="00347009"/>
    <w:rsid w:val="003523F7"/>
    <w:rsid w:val="00354E67"/>
    <w:rsid w:val="00356BC2"/>
    <w:rsid w:val="003603C7"/>
    <w:rsid w:val="00360AB1"/>
    <w:rsid w:val="00371420"/>
    <w:rsid w:val="0037375F"/>
    <w:rsid w:val="00376247"/>
    <w:rsid w:val="00376F29"/>
    <w:rsid w:val="00381549"/>
    <w:rsid w:val="00383E66"/>
    <w:rsid w:val="00387557"/>
    <w:rsid w:val="003927B1"/>
    <w:rsid w:val="003937E2"/>
    <w:rsid w:val="00396121"/>
    <w:rsid w:val="003B4C7C"/>
    <w:rsid w:val="003C2FE9"/>
    <w:rsid w:val="003C3BEF"/>
    <w:rsid w:val="003D074E"/>
    <w:rsid w:val="003D44A8"/>
    <w:rsid w:val="003E5D5E"/>
    <w:rsid w:val="003E69E4"/>
    <w:rsid w:val="00401694"/>
    <w:rsid w:val="0040406B"/>
    <w:rsid w:val="004042DC"/>
    <w:rsid w:val="004071A3"/>
    <w:rsid w:val="0042438C"/>
    <w:rsid w:val="00426A9D"/>
    <w:rsid w:val="00440E5E"/>
    <w:rsid w:val="004461E8"/>
    <w:rsid w:val="00450A1B"/>
    <w:rsid w:val="00451D91"/>
    <w:rsid w:val="0045378A"/>
    <w:rsid w:val="004611F5"/>
    <w:rsid w:val="00461F54"/>
    <w:rsid w:val="0046531F"/>
    <w:rsid w:val="00470883"/>
    <w:rsid w:val="004805E6"/>
    <w:rsid w:val="0048231D"/>
    <w:rsid w:val="0048613D"/>
    <w:rsid w:val="00491A03"/>
    <w:rsid w:val="004930AD"/>
    <w:rsid w:val="00493761"/>
    <w:rsid w:val="00494D7D"/>
    <w:rsid w:val="004A1C41"/>
    <w:rsid w:val="004A5F6F"/>
    <w:rsid w:val="004A61AA"/>
    <w:rsid w:val="004B39EE"/>
    <w:rsid w:val="004B64E0"/>
    <w:rsid w:val="004C079C"/>
    <w:rsid w:val="004C277A"/>
    <w:rsid w:val="004C2A83"/>
    <w:rsid w:val="004C6058"/>
    <w:rsid w:val="004D464E"/>
    <w:rsid w:val="004D5F1D"/>
    <w:rsid w:val="004E1E7D"/>
    <w:rsid w:val="004E492E"/>
    <w:rsid w:val="004F07A7"/>
    <w:rsid w:val="004F0E01"/>
    <w:rsid w:val="004F605C"/>
    <w:rsid w:val="005000B6"/>
    <w:rsid w:val="00511DED"/>
    <w:rsid w:val="00515321"/>
    <w:rsid w:val="005255C7"/>
    <w:rsid w:val="00526314"/>
    <w:rsid w:val="00531C68"/>
    <w:rsid w:val="00531FC2"/>
    <w:rsid w:val="005329F8"/>
    <w:rsid w:val="005354B2"/>
    <w:rsid w:val="00536A94"/>
    <w:rsid w:val="005371B5"/>
    <w:rsid w:val="00540A2F"/>
    <w:rsid w:val="005413D5"/>
    <w:rsid w:val="00544D28"/>
    <w:rsid w:val="00547FD5"/>
    <w:rsid w:val="0055324E"/>
    <w:rsid w:val="005544E1"/>
    <w:rsid w:val="00556884"/>
    <w:rsid w:val="00565B18"/>
    <w:rsid w:val="0057125A"/>
    <w:rsid w:val="00573F83"/>
    <w:rsid w:val="00574F97"/>
    <w:rsid w:val="005752CD"/>
    <w:rsid w:val="00575EB5"/>
    <w:rsid w:val="00577040"/>
    <w:rsid w:val="00583B68"/>
    <w:rsid w:val="00586E92"/>
    <w:rsid w:val="005963B3"/>
    <w:rsid w:val="00596D45"/>
    <w:rsid w:val="005A66F5"/>
    <w:rsid w:val="005B46FC"/>
    <w:rsid w:val="005C5D7A"/>
    <w:rsid w:val="005D5577"/>
    <w:rsid w:val="005D7260"/>
    <w:rsid w:val="005D7A44"/>
    <w:rsid w:val="005E1A60"/>
    <w:rsid w:val="005E47D3"/>
    <w:rsid w:val="006005FC"/>
    <w:rsid w:val="00605701"/>
    <w:rsid w:val="00606EEA"/>
    <w:rsid w:val="00610E78"/>
    <w:rsid w:val="0061448E"/>
    <w:rsid w:val="006162A2"/>
    <w:rsid w:val="00620487"/>
    <w:rsid w:val="00626655"/>
    <w:rsid w:val="006268A5"/>
    <w:rsid w:val="00632492"/>
    <w:rsid w:val="006368B6"/>
    <w:rsid w:val="00652D7D"/>
    <w:rsid w:val="00653B70"/>
    <w:rsid w:val="00661099"/>
    <w:rsid w:val="00665B32"/>
    <w:rsid w:val="00666E4A"/>
    <w:rsid w:val="006670A0"/>
    <w:rsid w:val="00667858"/>
    <w:rsid w:val="006702D2"/>
    <w:rsid w:val="006720A7"/>
    <w:rsid w:val="00674401"/>
    <w:rsid w:val="00683F1A"/>
    <w:rsid w:val="00684E60"/>
    <w:rsid w:val="00687353"/>
    <w:rsid w:val="00690A46"/>
    <w:rsid w:val="006A32F9"/>
    <w:rsid w:val="006B5673"/>
    <w:rsid w:val="006B578E"/>
    <w:rsid w:val="006B5F30"/>
    <w:rsid w:val="006B61E8"/>
    <w:rsid w:val="006B75B4"/>
    <w:rsid w:val="006B75DA"/>
    <w:rsid w:val="006B7C06"/>
    <w:rsid w:val="006B7C29"/>
    <w:rsid w:val="006C4BD0"/>
    <w:rsid w:val="006D40E8"/>
    <w:rsid w:val="006D5BB3"/>
    <w:rsid w:val="006E04C2"/>
    <w:rsid w:val="006E22BC"/>
    <w:rsid w:val="006E37EF"/>
    <w:rsid w:val="006E6A04"/>
    <w:rsid w:val="006E6AC3"/>
    <w:rsid w:val="006E7667"/>
    <w:rsid w:val="006F0E04"/>
    <w:rsid w:val="006F1D3B"/>
    <w:rsid w:val="006F320A"/>
    <w:rsid w:val="006F369C"/>
    <w:rsid w:val="0070102F"/>
    <w:rsid w:val="00710C49"/>
    <w:rsid w:val="00715ECE"/>
    <w:rsid w:val="00715FA0"/>
    <w:rsid w:val="007221F9"/>
    <w:rsid w:val="00722A06"/>
    <w:rsid w:val="00725F15"/>
    <w:rsid w:val="00734478"/>
    <w:rsid w:val="00734C18"/>
    <w:rsid w:val="00734FC4"/>
    <w:rsid w:val="00736F80"/>
    <w:rsid w:val="0074445B"/>
    <w:rsid w:val="0075176C"/>
    <w:rsid w:val="00752FE9"/>
    <w:rsid w:val="00753D78"/>
    <w:rsid w:val="00754E65"/>
    <w:rsid w:val="00756C9C"/>
    <w:rsid w:val="007651C2"/>
    <w:rsid w:val="0076730E"/>
    <w:rsid w:val="00770D04"/>
    <w:rsid w:val="007737A7"/>
    <w:rsid w:val="00780E28"/>
    <w:rsid w:val="00781723"/>
    <w:rsid w:val="007853ED"/>
    <w:rsid w:val="007A3130"/>
    <w:rsid w:val="007A43CD"/>
    <w:rsid w:val="007C3549"/>
    <w:rsid w:val="007D1BF0"/>
    <w:rsid w:val="007D6BD9"/>
    <w:rsid w:val="007D7FDE"/>
    <w:rsid w:val="007E0BF6"/>
    <w:rsid w:val="007E144B"/>
    <w:rsid w:val="007E1953"/>
    <w:rsid w:val="007E5602"/>
    <w:rsid w:val="007F0250"/>
    <w:rsid w:val="007F118B"/>
    <w:rsid w:val="007F1985"/>
    <w:rsid w:val="007F427B"/>
    <w:rsid w:val="007F607C"/>
    <w:rsid w:val="008007B4"/>
    <w:rsid w:val="00804D04"/>
    <w:rsid w:val="0081115D"/>
    <w:rsid w:val="00815B28"/>
    <w:rsid w:val="00823EE5"/>
    <w:rsid w:val="00827585"/>
    <w:rsid w:val="00830397"/>
    <w:rsid w:val="00832BBB"/>
    <w:rsid w:val="00833785"/>
    <w:rsid w:val="0083606D"/>
    <w:rsid w:val="0084669E"/>
    <w:rsid w:val="00847590"/>
    <w:rsid w:val="00861B5B"/>
    <w:rsid w:val="008654D3"/>
    <w:rsid w:val="008728E6"/>
    <w:rsid w:val="00872B34"/>
    <w:rsid w:val="00877532"/>
    <w:rsid w:val="008837E6"/>
    <w:rsid w:val="0089237B"/>
    <w:rsid w:val="008A3D76"/>
    <w:rsid w:val="008A5B7D"/>
    <w:rsid w:val="008B2BED"/>
    <w:rsid w:val="008B31DC"/>
    <w:rsid w:val="008B46C4"/>
    <w:rsid w:val="008C4583"/>
    <w:rsid w:val="008C4B08"/>
    <w:rsid w:val="008D1620"/>
    <w:rsid w:val="008D3508"/>
    <w:rsid w:val="008F159C"/>
    <w:rsid w:val="008F5D0D"/>
    <w:rsid w:val="00904851"/>
    <w:rsid w:val="00904A20"/>
    <w:rsid w:val="00906A86"/>
    <w:rsid w:val="00907F3B"/>
    <w:rsid w:val="0091078E"/>
    <w:rsid w:val="009119B8"/>
    <w:rsid w:val="0091337B"/>
    <w:rsid w:val="00917FEF"/>
    <w:rsid w:val="00920251"/>
    <w:rsid w:val="00923C05"/>
    <w:rsid w:val="00924F5F"/>
    <w:rsid w:val="0093122D"/>
    <w:rsid w:val="009324F3"/>
    <w:rsid w:val="009338F3"/>
    <w:rsid w:val="0093460A"/>
    <w:rsid w:val="00936EED"/>
    <w:rsid w:val="00944921"/>
    <w:rsid w:val="009472E8"/>
    <w:rsid w:val="009479AF"/>
    <w:rsid w:val="009536CF"/>
    <w:rsid w:val="0095794E"/>
    <w:rsid w:val="00962DB5"/>
    <w:rsid w:val="00964127"/>
    <w:rsid w:val="00964819"/>
    <w:rsid w:val="009666BD"/>
    <w:rsid w:val="0097414A"/>
    <w:rsid w:val="009837F7"/>
    <w:rsid w:val="00991D54"/>
    <w:rsid w:val="0099345A"/>
    <w:rsid w:val="00994020"/>
    <w:rsid w:val="009979C4"/>
    <w:rsid w:val="009A14C6"/>
    <w:rsid w:val="009A4911"/>
    <w:rsid w:val="009A712E"/>
    <w:rsid w:val="009A7E30"/>
    <w:rsid w:val="009B7467"/>
    <w:rsid w:val="009C20E0"/>
    <w:rsid w:val="009C3D7C"/>
    <w:rsid w:val="009C64C0"/>
    <w:rsid w:val="009D380A"/>
    <w:rsid w:val="009D3F68"/>
    <w:rsid w:val="009D7EFE"/>
    <w:rsid w:val="009E33B1"/>
    <w:rsid w:val="009E5564"/>
    <w:rsid w:val="009F2876"/>
    <w:rsid w:val="009F6DA2"/>
    <w:rsid w:val="00A00A2F"/>
    <w:rsid w:val="00A00BAD"/>
    <w:rsid w:val="00A03997"/>
    <w:rsid w:val="00A06BFC"/>
    <w:rsid w:val="00A11B0C"/>
    <w:rsid w:val="00A138C9"/>
    <w:rsid w:val="00A20593"/>
    <w:rsid w:val="00A2632D"/>
    <w:rsid w:val="00A42C9E"/>
    <w:rsid w:val="00A47CD0"/>
    <w:rsid w:val="00A50907"/>
    <w:rsid w:val="00A5245B"/>
    <w:rsid w:val="00A53880"/>
    <w:rsid w:val="00A56CA9"/>
    <w:rsid w:val="00A619FE"/>
    <w:rsid w:val="00A62C70"/>
    <w:rsid w:val="00A64FC7"/>
    <w:rsid w:val="00A659BA"/>
    <w:rsid w:val="00A678CA"/>
    <w:rsid w:val="00A723D8"/>
    <w:rsid w:val="00A75A5F"/>
    <w:rsid w:val="00A7714D"/>
    <w:rsid w:val="00A81071"/>
    <w:rsid w:val="00A900B3"/>
    <w:rsid w:val="00A9332E"/>
    <w:rsid w:val="00A93BD3"/>
    <w:rsid w:val="00AA1791"/>
    <w:rsid w:val="00AA3716"/>
    <w:rsid w:val="00AB3FE1"/>
    <w:rsid w:val="00AC3D83"/>
    <w:rsid w:val="00AD00F5"/>
    <w:rsid w:val="00AD414C"/>
    <w:rsid w:val="00AD6C89"/>
    <w:rsid w:val="00AE20CA"/>
    <w:rsid w:val="00AF3F96"/>
    <w:rsid w:val="00B00AA1"/>
    <w:rsid w:val="00B137E9"/>
    <w:rsid w:val="00B16167"/>
    <w:rsid w:val="00B16CBD"/>
    <w:rsid w:val="00B264A0"/>
    <w:rsid w:val="00B2733A"/>
    <w:rsid w:val="00B362F4"/>
    <w:rsid w:val="00B36815"/>
    <w:rsid w:val="00B400C7"/>
    <w:rsid w:val="00B451A3"/>
    <w:rsid w:val="00B471EE"/>
    <w:rsid w:val="00B5124C"/>
    <w:rsid w:val="00B51362"/>
    <w:rsid w:val="00B51BCB"/>
    <w:rsid w:val="00B51F1C"/>
    <w:rsid w:val="00B5379A"/>
    <w:rsid w:val="00B67009"/>
    <w:rsid w:val="00B67EF0"/>
    <w:rsid w:val="00B80238"/>
    <w:rsid w:val="00B80E24"/>
    <w:rsid w:val="00B80F99"/>
    <w:rsid w:val="00B8299C"/>
    <w:rsid w:val="00B93452"/>
    <w:rsid w:val="00B97BD5"/>
    <w:rsid w:val="00BA426D"/>
    <w:rsid w:val="00BB0F40"/>
    <w:rsid w:val="00BB6234"/>
    <w:rsid w:val="00BC4087"/>
    <w:rsid w:val="00BC4D83"/>
    <w:rsid w:val="00BD5C62"/>
    <w:rsid w:val="00BD725C"/>
    <w:rsid w:val="00BE17E9"/>
    <w:rsid w:val="00BE61F9"/>
    <w:rsid w:val="00BE7852"/>
    <w:rsid w:val="00BF1E34"/>
    <w:rsid w:val="00BF31C0"/>
    <w:rsid w:val="00C00B55"/>
    <w:rsid w:val="00C02312"/>
    <w:rsid w:val="00C02CCC"/>
    <w:rsid w:val="00C03A9B"/>
    <w:rsid w:val="00C05C69"/>
    <w:rsid w:val="00C13185"/>
    <w:rsid w:val="00C175B6"/>
    <w:rsid w:val="00C24698"/>
    <w:rsid w:val="00C40418"/>
    <w:rsid w:val="00C4446D"/>
    <w:rsid w:val="00C47189"/>
    <w:rsid w:val="00C66618"/>
    <w:rsid w:val="00C66963"/>
    <w:rsid w:val="00C66C42"/>
    <w:rsid w:val="00C70011"/>
    <w:rsid w:val="00C73E33"/>
    <w:rsid w:val="00C9597F"/>
    <w:rsid w:val="00C9745E"/>
    <w:rsid w:val="00C97868"/>
    <w:rsid w:val="00CA3516"/>
    <w:rsid w:val="00CA3BDF"/>
    <w:rsid w:val="00CA7342"/>
    <w:rsid w:val="00CB4AEC"/>
    <w:rsid w:val="00CB4E81"/>
    <w:rsid w:val="00CB4F4A"/>
    <w:rsid w:val="00CC0389"/>
    <w:rsid w:val="00CC1A69"/>
    <w:rsid w:val="00CC31BB"/>
    <w:rsid w:val="00CD2C75"/>
    <w:rsid w:val="00CD5FF5"/>
    <w:rsid w:val="00CE6B23"/>
    <w:rsid w:val="00CE7F69"/>
    <w:rsid w:val="00CF0537"/>
    <w:rsid w:val="00CF5252"/>
    <w:rsid w:val="00D06856"/>
    <w:rsid w:val="00D1005D"/>
    <w:rsid w:val="00D12063"/>
    <w:rsid w:val="00D15170"/>
    <w:rsid w:val="00D227BA"/>
    <w:rsid w:val="00D234D0"/>
    <w:rsid w:val="00D257DF"/>
    <w:rsid w:val="00D273C7"/>
    <w:rsid w:val="00D276F3"/>
    <w:rsid w:val="00D32A80"/>
    <w:rsid w:val="00D46DBA"/>
    <w:rsid w:val="00D56ABE"/>
    <w:rsid w:val="00D65048"/>
    <w:rsid w:val="00D71B98"/>
    <w:rsid w:val="00D73CCF"/>
    <w:rsid w:val="00D8206D"/>
    <w:rsid w:val="00D920F6"/>
    <w:rsid w:val="00D93EB5"/>
    <w:rsid w:val="00D94B06"/>
    <w:rsid w:val="00D9512E"/>
    <w:rsid w:val="00D97790"/>
    <w:rsid w:val="00DC29C5"/>
    <w:rsid w:val="00DC5682"/>
    <w:rsid w:val="00DD050C"/>
    <w:rsid w:val="00DD175C"/>
    <w:rsid w:val="00DD1F45"/>
    <w:rsid w:val="00DE6C7A"/>
    <w:rsid w:val="00DF3B1A"/>
    <w:rsid w:val="00DF6767"/>
    <w:rsid w:val="00DF7297"/>
    <w:rsid w:val="00DF73D8"/>
    <w:rsid w:val="00E02894"/>
    <w:rsid w:val="00E03081"/>
    <w:rsid w:val="00E03BA8"/>
    <w:rsid w:val="00E04E67"/>
    <w:rsid w:val="00E10FEA"/>
    <w:rsid w:val="00E21281"/>
    <w:rsid w:val="00E26EFE"/>
    <w:rsid w:val="00E47DCB"/>
    <w:rsid w:val="00E50199"/>
    <w:rsid w:val="00E61F29"/>
    <w:rsid w:val="00E66B94"/>
    <w:rsid w:val="00E708E0"/>
    <w:rsid w:val="00E71B89"/>
    <w:rsid w:val="00E72F07"/>
    <w:rsid w:val="00E74A8A"/>
    <w:rsid w:val="00E74A8D"/>
    <w:rsid w:val="00E74E20"/>
    <w:rsid w:val="00E7764B"/>
    <w:rsid w:val="00E777A6"/>
    <w:rsid w:val="00E86080"/>
    <w:rsid w:val="00E91047"/>
    <w:rsid w:val="00E922EB"/>
    <w:rsid w:val="00EA029A"/>
    <w:rsid w:val="00EA07A9"/>
    <w:rsid w:val="00EA31E4"/>
    <w:rsid w:val="00EA3DFA"/>
    <w:rsid w:val="00EC076D"/>
    <w:rsid w:val="00EC09E8"/>
    <w:rsid w:val="00EC27D8"/>
    <w:rsid w:val="00EC567B"/>
    <w:rsid w:val="00ED01CB"/>
    <w:rsid w:val="00ED092D"/>
    <w:rsid w:val="00ED0C31"/>
    <w:rsid w:val="00ED31F6"/>
    <w:rsid w:val="00ED7A29"/>
    <w:rsid w:val="00EE0BE0"/>
    <w:rsid w:val="00EE3A69"/>
    <w:rsid w:val="00EE3D38"/>
    <w:rsid w:val="00EE5000"/>
    <w:rsid w:val="00EF185D"/>
    <w:rsid w:val="00EF278B"/>
    <w:rsid w:val="00EF7EF7"/>
    <w:rsid w:val="00F01F31"/>
    <w:rsid w:val="00F06805"/>
    <w:rsid w:val="00F1178E"/>
    <w:rsid w:val="00F20EA5"/>
    <w:rsid w:val="00F2264C"/>
    <w:rsid w:val="00F22CB5"/>
    <w:rsid w:val="00F22DDC"/>
    <w:rsid w:val="00F3258C"/>
    <w:rsid w:val="00F402D9"/>
    <w:rsid w:val="00F46766"/>
    <w:rsid w:val="00F50B46"/>
    <w:rsid w:val="00F55A55"/>
    <w:rsid w:val="00F60A6F"/>
    <w:rsid w:val="00F61DB3"/>
    <w:rsid w:val="00F631F8"/>
    <w:rsid w:val="00F6479F"/>
    <w:rsid w:val="00F64A36"/>
    <w:rsid w:val="00F72B55"/>
    <w:rsid w:val="00F75A64"/>
    <w:rsid w:val="00F77507"/>
    <w:rsid w:val="00F81BCA"/>
    <w:rsid w:val="00F8377D"/>
    <w:rsid w:val="00F83D7F"/>
    <w:rsid w:val="00F8457C"/>
    <w:rsid w:val="00F871B3"/>
    <w:rsid w:val="00F963A9"/>
    <w:rsid w:val="00FA0B90"/>
    <w:rsid w:val="00FA5713"/>
    <w:rsid w:val="00FB5064"/>
    <w:rsid w:val="00FB57C8"/>
    <w:rsid w:val="00FC454E"/>
    <w:rsid w:val="00FD55E9"/>
    <w:rsid w:val="00FF4A21"/>
    <w:rsid w:val="00FF755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518F2"/>
  <w15:docId w15:val="{FE2BAA2B-4543-43CB-83E4-687F3B696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pPr>
      <w:bidi/>
    </w:pPr>
  </w:style>
  <w:style w:type="paragraph" w:styleId="1">
    <w:name w:val="heading 1"/>
    <w:basedOn w:val="a1"/>
    <w:next w:val="a1"/>
    <w:link w:val="10"/>
    <w:uiPriority w:val="9"/>
    <w:qFormat/>
    <w:rsid w:val="00E777A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5">
    <w:name w:val="heading 5"/>
    <w:basedOn w:val="a1"/>
    <w:next w:val="a1"/>
    <w:link w:val="50"/>
    <w:uiPriority w:val="9"/>
    <w:semiHidden/>
    <w:unhideWhenUsed/>
    <w:qFormat/>
    <w:rsid w:val="00565B1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Hyperlink">
    <w:name w:val="Hyperlink"/>
    <w:basedOn w:val="a2"/>
    <w:unhideWhenUsed/>
    <w:rsid w:val="00272414"/>
    <w:rPr>
      <w:color w:val="0000FF"/>
      <w:u w:val="single"/>
    </w:rPr>
  </w:style>
  <w:style w:type="paragraph" w:styleId="a5">
    <w:name w:val="header"/>
    <w:basedOn w:val="a1"/>
    <w:link w:val="a6"/>
    <w:unhideWhenUsed/>
    <w:rsid w:val="00C66618"/>
    <w:pPr>
      <w:tabs>
        <w:tab w:val="center" w:pos="4153"/>
        <w:tab w:val="right" w:pos="8306"/>
      </w:tabs>
      <w:spacing w:after="0" w:line="240" w:lineRule="auto"/>
    </w:pPr>
  </w:style>
  <w:style w:type="character" w:customStyle="1" w:styleId="a6">
    <w:name w:val="כותרת עליונה תו"/>
    <w:basedOn w:val="a2"/>
    <w:link w:val="a5"/>
    <w:uiPriority w:val="99"/>
    <w:rsid w:val="00C66618"/>
  </w:style>
  <w:style w:type="paragraph" w:styleId="a7">
    <w:name w:val="footer"/>
    <w:basedOn w:val="a1"/>
    <w:link w:val="a8"/>
    <w:unhideWhenUsed/>
    <w:rsid w:val="00C66618"/>
    <w:pPr>
      <w:tabs>
        <w:tab w:val="center" w:pos="4153"/>
        <w:tab w:val="right" w:pos="8306"/>
      </w:tabs>
      <w:spacing w:after="0" w:line="240" w:lineRule="auto"/>
    </w:pPr>
  </w:style>
  <w:style w:type="character" w:customStyle="1" w:styleId="a8">
    <w:name w:val="כותרת תחתונה תו"/>
    <w:basedOn w:val="a2"/>
    <w:link w:val="a7"/>
    <w:rsid w:val="00C66618"/>
  </w:style>
  <w:style w:type="paragraph" w:customStyle="1" w:styleId="a9">
    <w:name w:val="ציטו"/>
    <w:basedOn w:val="a1"/>
    <w:qFormat/>
    <w:rsid w:val="003D074E"/>
    <w:pPr>
      <w:spacing w:line="360" w:lineRule="auto"/>
      <w:jc w:val="both"/>
    </w:pPr>
    <w:rPr>
      <w:rFonts w:cs="David"/>
      <w:sz w:val="24"/>
      <w:szCs w:val="24"/>
    </w:rPr>
  </w:style>
  <w:style w:type="paragraph" w:styleId="aa">
    <w:name w:val="Intense Quote"/>
    <w:basedOn w:val="a1"/>
    <w:next w:val="a1"/>
    <w:link w:val="ab"/>
    <w:uiPriority w:val="30"/>
    <w:qFormat/>
    <w:rsid w:val="003D074E"/>
    <w:pPr>
      <w:pBdr>
        <w:bottom w:val="single" w:sz="4" w:space="4" w:color="5B9BD5" w:themeColor="accent1"/>
      </w:pBdr>
      <w:spacing w:before="200" w:after="280"/>
      <w:ind w:left="936" w:right="936"/>
    </w:pPr>
    <w:rPr>
      <w:b/>
      <w:bCs/>
      <w:i/>
      <w:iCs/>
      <w:color w:val="5B9BD5" w:themeColor="accent1"/>
    </w:rPr>
  </w:style>
  <w:style w:type="character" w:customStyle="1" w:styleId="ab">
    <w:name w:val="ציטוט חזק תו"/>
    <w:basedOn w:val="a2"/>
    <w:link w:val="aa"/>
    <w:uiPriority w:val="30"/>
    <w:rsid w:val="003D074E"/>
    <w:rPr>
      <w:b/>
      <w:bCs/>
      <w:i/>
      <w:iCs/>
      <w:color w:val="5B9BD5" w:themeColor="accent1"/>
    </w:rPr>
  </w:style>
  <w:style w:type="paragraph" w:styleId="ac">
    <w:name w:val="Balloon Text"/>
    <w:basedOn w:val="a1"/>
    <w:link w:val="ad"/>
    <w:uiPriority w:val="99"/>
    <w:semiHidden/>
    <w:unhideWhenUsed/>
    <w:rsid w:val="00F83D7F"/>
    <w:pPr>
      <w:spacing w:after="0" w:line="240" w:lineRule="auto"/>
    </w:pPr>
    <w:rPr>
      <w:rFonts w:ascii="Tahoma" w:hAnsi="Tahoma" w:cs="Tahoma"/>
      <w:sz w:val="16"/>
      <w:szCs w:val="16"/>
    </w:rPr>
  </w:style>
  <w:style w:type="character" w:customStyle="1" w:styleId="ad">
    <w:name w:val="טקסט בלונים תו"/>
    <w:basedOn w:val="a2"/>
    <w:link w:val="ac"/>
    <w:uiPriority w:val="99"/>
    <w:semiHidden/>
    <w:rsid w:val="00F83D7F"/>
    <w:rPr>
      <w:rFonts w:ascii="Tahoma" w:hAnsi="Tahoma" w:cs="Tahoma"/>
      <w:sz w:val="16"/>
      <w:szCs w:val="16"/>
    </w:rPr>
  </w:style>
  <w:style w:type="character" w:styleId="ae">
    <w:name w:val="line number"/>
    <w:basedOn w:val="a2"/>
    <w:uiPriority w:val="99"/>
    <w:semiHidden/>
    <w:unhideWhenUsed/>
    <w:rsid w:val="00E72F07"/>
  </w:style>
  <w:style w:type="character" w:styleId="af">
    <w:name w:val="Placeholder Text"/>
    <w:basedOn w:val="a2"/>
    <w:uiPriority w:val="99"/>
    <w:semiHidden/>
    <w:rsid w:val="00011C3C"/>
    <w:rPr>
      <w:color w:val="808080"/>
    </w:rPr>
  </w:style>
  <w:style w:type="character" w:styleId="af0">
    <w:name w:val="Subtle Emphasis"/>
    <w:basedOn w:val="a2"/>
    <w:uiPriority w:val="19"/>
    <w:qFormat/>
    <w:rsid w:val="00B93452"/>
    <w:rPr>
      <w:i/>
      <w:iCs/>
      <w:color w:val="808080" w:themeColor="text1" w:themeTint="7F"/>
    </w:rPr>
  </w:style>
  <w:style w:type="paragraph" w:styleId="af1">
    <w:name w:val="List Paragraph"/>
    <w:basedOn w:val="a1"/>
    <w:link w:val="af2"/>
    <w:qFormat/>
    <w:rsid w:val="004C6058"/>
    <w:pPr>
      <w:ind w:left="720"/>
      <w:contextualSpacing/>
    </w:pPr>
  </w:style>
  <w:style w:type="character" w:customStyle="1" w:styleId="default">
    <w:name w:val="default"/>
    <w:rsid w:val="004C6058"/>
    <w:rPr>
      <w:rFonts w:ascii="Times New Roman" w:hAnsi="Times New Roman" w:cs="Times New Roman"/>
      <w:sz w:val="26"/>
      <w:szCs w:val="26"/>
    </w:rPr>
  </w:style>
  <w:style w:type="table" w:styleId="af3">
    <w:name w:val="Table Grid"/>
    <w:basedOn w:val="a3"/>
    <w:uiPriority w:val="39"/>
    <w:rsid w:val="000C1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פיסקת רשימה1"/>
    <w:basedOn w:val="a1"/>
    <w:qFormat/>
    <w:rsid w:val="00C47189"/>
    <w:pPr>
      <w:ind w:left="720"/>
      <w:contextualSpacing/>
    </w:pPr>
    <w:rPr>
      <w:rFonts w:ascii="Calibri" w:eastAsia="Times New Roman" w:hAnsi="Calibri" w:cs="Arial"/>
    </w:rPr>
  </w:style>
  <w:style w:type="character" w:customStyle="1" w:styleId="af2">
    <w:name w:val="פיסקת רשימה תו"/>
    <w:link w:val="af1"/>
    <w:locked/>
    <w:rsid w:val="00B80E24"/>
  </w:style>
  <w:style w:type="paragraph" w:customStyle="1" w:styleId="af4">
    <w:name w:val="כותרת ראשית"/>
    <w:basedOn w:val="a1"/>
    <w:qFormat/>
    <w:rsid w:val="003C2FE9"/>
    <w:pPr>
      <w:spacing w:after="120" w:line="360" w:lineRule="auto"/>
      <w:ind w:firstLine="43"/>
      <w:contextualSpacing/>
      <w:jc w:val="both"/>
    </w:pPr>
    <w:rPr>
      <w:rFonts w:cs="David"/>
      <w:b/>
      <w:bCs/>
      <w:sz w:val="24"/>
      <w:szCs w:val="24"/>
      <w:u w:val="single"/>
    </w:rPr>
  </w:style>
  <w:style w:type="paragraph" w:customStyle="1" w:styleId="a">
    <w:name w:val="סעיף ראשי"/>
    <w:basedOn w:val="11"/>
    <w:qFormat/>
    <w:rsid w:val="003C2FE9"/>
    <w:pPr>
      <w:numPr>
        <w:numId w:val="1"/>
      </w:numPr>
      <w:spacing w:after="120" w:line="360" w:lineRule="auto"/>
      <w:ind w:right="-142"/>
      <w:jc w:val="both"/>
    </w:pPr>
    <w:rPr>
      <w:rFonts w:cs="David"/>
      <w:sz w:val="24"/>
      <w:szCs w:val="24"/>
    </w:rPr>
  </w:style>
  <w:style w:type="paragraph" w:customStyle="1" w:styleId="a0">
    <w:name w:val="סעיף משנה"/>
    <w:basedOn w:val="af1"/>
    <w:qFormat/>
    <w:rsid w:val="003C2FE9"/>
    <w:pPr>
      <w:numPr>
        <w:ilvl w:val="1"/>
        <w:numId w:val="1"/>
      </w:numPr>
      <w:spacing w:after="120" w:line="360" w:lineRule="auto"/>
      <w:ind w:right="-142"/>
      <w:jc w:val="both"/>
    </w:pPr>
    <w:rPr>
      <w:rFonts w:cs="David"/>
      <w:sz w:val="24"/>
      <w:szCs w:val="24"/>
    </w:rPr>
  </w:style>
  <w:style w:type="paragraph" w:customStyle="1" w:styleId="af5">
    <w:name w:val="סעיף שני"/>
    <w:basedOn w:val="af1"/>
    <w:qFormat/>
    <w:rsid w:val="0046531F"/>
    <w:pPr>
      <w:spacing w:after="120" w:line="360" w:lineRule="auto"/>
      <w:ind w:left="1035" w:right="-142" w:hanging="675"/>
      <w:contextualSpacing w:val="0"/>
      <w:jc w:val="both"/>
    </w:pPr>
    <w:rPr>
      <w:rFonts w:cs="David"/>
      <w:sz w:val="24"/>
      <w:szCs w:val="24"/>
    </w:rPr>
  </w:style>
  <w:style w:type="paragraph" w:customStyle="1" w:styleId="af6">
    <w:name w:val="ציטוט פסיקה וחוק"/>
    <w:basedOn w:val="a1"/>
    <w:next w:val="a"/>
    <w:qFormat/>
    <w:rsid w:val="0046531F"/>
    <w:pPr>
      <w:spacing w:after="120" w:line="240" w:lineRule="auto"/>
      <w:ind w:left="890" w:right="992"/>
      <w:jc w:val="both"/>
    </w:pPr>
    <w:rPr>
      <w:rFonts w:ascii="FrankRuehl" w:hAnsi="FrankRuehl" w:cs="FrankRuehl"/>
      <w:sz w:val="24"/>
      <w:szCs w:val="24"/>
    </w:rPr>
  </w:style>
  <w:style w:type="paragraph" w:styleId="NormalWeb">
    <w:name w:val="Normal (Web)"/>
    <w:basedOn w:val="a1"/>
    <w:uiPriority w:val="99"/>
    <w:semiHidden/>
    <w:unhideWhenUsed/>
    <w:rsid w:val="00D234D0"/>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7">
    <w:name w:val="Strong"/>
    <w:basedOn w:val="a2"/>
    <w:uiPriority w:val="22"/>
    <w:qFormat/>
    <w:rsid w:val="00D234D0"/>
    <w:rPr>
      <w:b/>
      <w:bCs/>
    </w:rPr>
  </w:style>
  <w:style w:type="paragraph" w:customStyle="1" w:styleId="P00">
    <w:name w:val="P00"/>
    <w:link w:val="P000"/>
    <w:rsid w:val="00AD414C"/>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FrankRuehl"/>
      <w:noProof/>
      <w:sz w:val="20"/>
      <w:szCs w:val="26"/>
      <w:lang w:eastAsia="he-IL"/>
    </w:rPr>
  </w:style>
  <w:style w:type="character" w:customStyle="1" w:styleId="big-number">
    <w:name w:val="big-number"/>
    <w:rsid w:val="00AD414C"/>
    <w:rPr>
      <w:rFonts w:ascii="Times New Roman" w:hAnsi="Times New Roman"/>
      <w:sz w:val="32"/>
    </w:rPr>
  </w:style>
  <w:style w:type="character" w:customStyle="1" w:styleId="P000">
    <w:name w:val="P00 תו"/>
    <w:link w:val="P00"/>
    <w:locked/>
    <w:rsid w:val="00AD414C"/>
    <w:rPr>
      <w:rFonts w:ascii="Times New Roman" w:eastAsia="Times New Roman" w:hAnsi="Times New Roman" w:cs="FrankRuehl"/>
      <w:noProof/>
      <w:sz w:val="20"/>
      <w:szCs w:val="26"/>
      <w:lang w:eastAsia="he-IL"/>
    </w:rPr>
  </w:style>
  <w:style w:type="paragraph" w:customStyle="1" w:styleId="2">
    <w:name w:val="פיסקת רשימה2"/>
    <w:basedOn w:val="a1"/>
    <w:link w:val="ListParagraphChar1"/>
    <w:rsid w:val="00AD414C"/>
    <w:pPr>
      <w:ind w:left="720"/>
      <w:contextualSpacing/>
    </w:pPr>
    <w:rPr>
      <w:rFonts w:ascii="Calibri" w:eastAsia="Times New Roman" w:hAnsi="Calibri" w:cs="Arial"/>
    </w:rPr>
  </w:style>
  <w:style w:type="character" w:customStyle="1" w:styleId="ListParagraphChar1">
    <w:name w:val="List Paragraph Char1"/>
    <w:link w:val="2"/>
    <w:locked/>
    <w:rsid w:val="00AD414C"/>
    <w:rPr>
      <w:rFonts w:ascii="Calibri" w:eastAsia="Times New Roman" w:hAnsi="Calibri" w:cs="Arial"/>
    </w:rPr>
  </w:style>
  <w:style w:type="paragraph" w:styleId="af8">
    <w:name w:val="footnote text"/>
    <w:basedOn w:val="a1"/>
    <w:link w:val="af9"/>
    <w:uiPriority w:val="99"/>
    <w:semiHidden/>
    <w:unhideWhenUsed/>
    <w:rsid w:val="00D06856"/>
    <w:pPr>
      <w:spacing w:after="0" w:line="240" w:lineRule="auto"/>
    </w:pPr>
    <w:rPr>
      <w:sz w:val="20"/>
      <w:szCs w:val="20"/>
    </w:rPr>
  </w:style>
  <w:style w:type="character" w:customStyle="1" w:styleId="af9">
    <w:name w:val="טקסט הערת שוליים תו"/>
    <w:basedOn w:val="a2"/>
    <w:link w:val="af8"/>
    <w:uiPriority w:val="99"/>
    <w:semiHidden/>
    <w:rsid w:val="00D06856"/>
    <w:rPr>
      <w:sz w:val="20"/>
      <w:szCs w:val="20"/>
    </w:rPr>
  </w:style>
  <w:style w:type="character" w:styleId="afa">
    <w:name w:val="footnote reference"/>
    <w:basedOn w:val="a2"/>
    <w:uiPriority w:val="99"/>
    <w:semiHidden/>
    <w:unhideWhenUsed/>
    <w:rsid w:val="00D06856"/>
    <w:rPr>
      <w:vertAlign w:val="superscript"/>
    </w:rPr>
  </w:style>
  <w:style w:type="character" w:customStyle="1" w:styleId="50">
    <w:name w:val="כותרת 5 תו"/>
    <w:basedOn w:val="a2"/>
    <w:link w:val="5"/>
    <w:uiPriority w:val="9"/>
    <w:semiHidden/>
    <w:rsid w:val="00565B18"/>
    <w:rPr>
      <w:rFonts w:asciiTheme="majorHAnsi" w:eastAsiaTheme="majorEastAsia" w:hAnsiTheme="majorHAnsi" w:cstheme="majorBidi"/>
      <w:color w:val="2E74B5" w:themeColor="accent1" w:themeShade="BF"/>
    </w:rPr>
  </w:style>
  <w:style w:type="character" w:customStyle="1" w:styleId="10">
    <w:name w:val="כותרת 1 תו"/>
    <w:basedOn w:val="a2"/>
    <w:link w:val="1"/>
    <w:uiPriority w:val="9"/>
    <w:rsid w:val="00E777A6"/>
    <w:rPr>
      <w:rFonts w:asciiTheme="majorHAnsi" w:eastAsiaTheme="majorEastAsia" w:hAnsiTheme="majorHAnsi" w:cstheme="majorBidi"/>
      <w:color w:val="2E74B5" w:themeColor="accent1" w:themeShade="BF"/>
      <w:sz w:val="32"/>
      <w:szCs w:val="32"/>
    </w:rPr>
  </w:style>
  <w:style w:type="character" w:styleId="afb">
    <w:name w:val="annotation reference"/>
    <w:basedOn w:val="a2"/>
    <w:uiPriority w:val="99"/>
    <w:semiHidden/>
    <w:unhideWhenUsed/>
    <w:rsid w:val="00754E65"/>
    <w:rPr>
      <w:sz w:val="16"/>
      <w:szCs w:val="16"/>
    </w:rPr>
  </w:style>
  <w:style w:type="paragraph" w:styleId="afc">
    <w:name w:val="annotation text"/>
    <w:basedOn w:val="a1"/>
    <w:link w:val="afd"/>
    <w:uiPriority w:val="99"/>
    <w:semiHidden/>
    <w:unhideWhenUsed/>
    <w:rsid w:val="00754E65"/>
    <w:pPr>
      <w:spacing w:line="240" w:lineRule="auto"/>
    </w:pPr>
    <w:rPr>
      <w:sz w:val="20"/>
      <w:szCs w:val="20"/>
    </w:rPr>
  </w:style>
  <w:style w:type="character" w:customStyle="1" w:styleId="afd">
    <w:name w:val="טקסט הערה תו"/>
    <w:basedOn w:val="a2"/>
    <w:link w:val="afc"/>
    <w:uiPriority w:val="99"/>
    <w:semiHidden/>
    <w:rsid w:val="00754E65"/>
    <w:rPr>
      <w:sz w:val="20"/>
      <w:szCs w:val="20"/>
    </w:rPr>
  </w:style>
  <w:style w:type="paragraph" w:styleId="afe">
    <w:name w:val="annotation subject"/>
    <w:basedOn w:val="afc"/>
    <w:next w:val="afc"/>
    <w:link w:val="aff"/>
    <w:uiPriority w:val="99"/>
    <w:semiHidden/>
    <w:unhideWhenUsed/>
    <w:rsid w:val="00754E65"/>
    <w:rPr>
      <w:b/>
      <w:bCs/>
    </w:rPr>
  </w:style>
  <w:style w:type="character" w:customStyle="1" w:styleId="aff">
    <w:name w:val="נושא הערה תו"/>
    <w:basedOn w:val="afd"/>
    <w:link w:val="afe"/>
    <w:uiPriority w:val="99"/>
    <w:semiHidden/>
    <w:rsid w:val="00754E65"/>
    <w:rPr>
      <w:b/>
      <w:bCs/>
      <w:sz w:val="20"/>
      <w:szCs w:val="20"/>
    </w:rPr>
  </w:style>
  <w:style w:type="paragraph" w:customStyle="1" w:styleId="aff0">
    <w:name w:val="סגנון"/>
    <w:basedOn w:val="a1"/>
    <w:link w:val="aff1"/>
    <w:rsid w:val="00754E65"/>
    <w:pPr>
      <w:tabs>
        <w:tab w:val="left" w:pos="567"/>
        <w:tab w:val="left" w:pos="1134"/>
        <w:tab w:val="left" w:pos="1701"/>
        <w:tab w:val="left" w:pos="2268"/>
        <w:tab w:val="left" w:pos="2835"/>
        <w:tab w:val="left" w:pos="3402"/>
        <w:tab w:val="left" w:pos="3969"/>
        <w:tab w:val="left" w:pos="4536"/>
        <w:tab w:val="left" w:pos="5103"/>
      </w:tabs>
      <w:spacing w:after="0" w:line="340" w:lineRule="atLeast"/>
      <w:jc w:val="both"/>
    </w:pPr>
    <w:rPr>
      <w:rFonts w:ascii="Times New Roman" w:eastAsia="Times New Roman" w:hAnsi="Times New Roman" w:cs="David"/>
      <w:snapToGrid w:val="0"/>
      <w:sz w:val="24"/>
      <w:szCs w:val="28"/>
      <w:lang w:eastAsia="he-IL"/>
    </w:rPr>
  </w:style>
  <w:style w:type="character" w:customStyle="1" w:styleId="aff1">
    <w:name w:val="סגנון תו"/>
    <w:link w:val="aff0"/>
    <w:rsid w:val="00754E65"/>
    <w:rPr>
      <w:rFonts w:ascii="Times New Roman" w:eastAsia="Times New Roman" w:hAnsi="Times New Roman" w:cs="David"/>
      <w:snapToGrid w:val="0"/>
      <w:sz w:val="24"/>
      <w:szCs w:val="28"/>
      <w:lang w:eastAsia="he-IL"/>
    </w:rPr>
  </w:style>
  <w:style w:type="paragraph" w:styleId="aff2">
    <w:name w:val="Revision"/>
    <w:hidden/>
    <w:uiPriority w:val="99"/>
    <w:semiHidden/>
    <w:rsid w:val="00547FD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020897">
      <w:bodyDiv w:val="1"/>
      <w:marLeft w:val="0"/>
      <w:marRight w:val="0"/>
      <w:marTop w:val="0"/>
      <w:marBottom w:val="0"/>
      <w:divBdr>
        <w:top w:val="none" w:sz="0" w:space="0" w:color="auto"/>
        <w:left w:val="none" w:sz="0" w:space="0" w:color="auto"/>
        <w:bottom w:val="none" w:sz="0" w:space="0" w:color="auto"/>
        <w:right w:val="none" w:sz="0" w:space="0" w:color="auto"/>
      </w:divBdr>
    </w:div>
    <w:div w:id="829058200">
      <w:bodyDiv w:val="1"/>
      <w:marLeft w:val="0"/>
      <w:marRight w:val="0"/>
      <w:marTop w:val="0"/>
      <w:marBottom w:val="0"/>
      <w:divBdr>
        <w:top w:val="none" w:sz="0" w:space="0" w:color="auto"/>
        <w:left w:val="none" w:sz="0" w:space="0" w:color="auto"/>
        <w:bottom w:val="none" w:sz="0" w:space="0" w:color="auto"/>
        <w:right w:val="none" w:sz="0" w:space="0" w:color="auto"/>
      </w:divBdr>
    </w:div>
    <w:div w:id="1646274185">
      <w:bodyDiv w:val="1"/>
      <w:marLeft w:val="0"/>
      <w:marRight w:val="0"/>
      <w:marTop w:val="0"/>
      <w:marBottom w:val="0"/>
      <w:divBdr>
        <w:top w:val="none" w:sz="0" w:space="0" w:color="auto"/>
        <w:left w:val="none" w:sz="0" w:space="0" w:color="auto"/>
        <w:bottom w:val="none" w:sz="0" w:space="0" w:color="auto"/>
        <w:right w:val="none" w:sz="0" w:space="0" w:color="auto"/>
      </w:divBdr>
    </w:div>
    <w:div w:id="1890143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evo.co.il/case/5953594" TargetMode="External"/><Relationship Id="rId18" Type="http://schemas.openxmlformats.org/officeDocument/2006/relationships/hyperlink" Target="http://www.nevo.co.il/case/6144943" TargetMode="External"/><Relationship Id="rId26" Type="http://schemas.openxmlformats.org/officeDocument/2006/relationships/hyperlink" Target="http://www.nevo.co.il/case/30420504" TargetMode="External"/><Relationship Id="rId3" Type="http://schemas.openxmlformats.org/officeDocument/2006/relationships/styles" Target="styles.xml"/><Relationship Id="rId21" Type="http://schemas.openxmlformats.org/officeDocument/2006/relationships/hyperlink" Target="http://www.nevo.co.il/case/28404803" TargetMode="External"/><Relationship Id="rId7" Type="http://schemas.openxmlformats.org/officeDocument/2006/relationships/endnotes" Target="endnotes.xml"/><Relationship Id="rId12" Type="http://schemas.openxmlformats.org/officeDocument/2006/relationships/hyperlink" Target="http://www.nevo.co.il/law/91073" TargetMode="External"/><Relationship Id="rId17" Type="http://schemas.openxmlformats.org/officeDocument/2006/relationships/hyperlink" Target="http://www.nevo.co.il/case/6125533" TargetMode="External"/><Relationship Id="rId25" Type="http://schemas.openxmlformats.org/officeDocument/2006/relationships/hyperlink" Target="http://www.nevo.co.il/case/23538988"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evo.co.il/case/6155403" TargetMode="External"/><Relationship Id="rId20" Type="http://schemas.openxmlformats.org/officeDocument/2006/relationships/hyperlink" Target="http://www.nevo.co.il/law/91073/197"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evo.co.il/law/91073" TargetMode="External"/><Relationship Id="rId24" Type="http://schemas.openxmlformats.org/officeDocument/2006/relationships/hyperlink" Target="http://www.nevo.co.il/case/28799338"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nevo.co.il/case/6155198" TargetMode="External"/><Relationship Id="rId23" Type="http://schemas.openxmlformats.org/officeDocument/2006/relationships/hyperlink" Target="http://www.nevo.co.il/case/27209730" TargetMode="External"/><Relationship Id="rId28" Type="http://schemas.openxmlformats.org/officeDocument/2006/relationships/hyperlink" Target="http://www.nevo.co.il/case/33647984" TargetMode="External"/><Relationship Id="rId10" Type="http://schemas.openxmlformats.org/officeDocument/2006/relationships/hyperlink" Target="http://www.nevo.co.il/case/7012229" TargetMode="External"/><Relationship Id="rId19" Type="http://schemas.openxmlformats.org/officeDocument/2006/relationships/hyperlink" Target="http://www.nevo.co.il/law/91073/198"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evo.co.il/case/35412403" TargetMode="External"/><Relationship Id="rId14" Type="http://schemas.openxmlformats.org/officeDocument/2006/relationships/hyperlink" Target="http://www.nevo.co.il/case/5873139" TargetMode="External"/><Relationship Id="rId22" Type="http://schemas.openxmlformats.org/officeDocument/2006/relationships/hyperlink" Target="http://www.nevo.co.il/case/29964668" TargetMode="External"/><Relationship Id="rId27" Type="http://schemas.openxmlformats.org/officeDocument/2006/relationships/hyperlink" Target="http://www.nevo.co.il/case/32742457" TargetMode="External"/><Relationship Id="rId30" Type="http://schemas.openxmlformats.org/officeDocument/2006/relationships/footer" Target="footer1.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4"/>
        <w:category>
          <w:name w:val="כללי"/>
          <w:gallery w:val="placeholder"/>
        </w:category>
        <w:types>
          <w:type w:val="bbPlcHdr"/>
        </w:types>
        <w:behaviors>
          <w:behavior w:val="content"/>
        </w:behaviors>
        <w:guid w:val="{FC1DFDDD-91C0-444B-943A-9C33DAAD5360}"/>
      </w:docPartPr>
      <w:docPartBody>
        <w:p w:rsidR="00F557C3" w:rsidRDefault="00D50BF8">
          <w:r w:rsidRPr="00441550">
            <w:rPr>
              <w:rStyle w:val="a3"/>
              <w:rFonts w:hint="cs"/>
              <w:rtl/>
            </w:rPr>
            <w:t>לחץ</w:t>
          </w:r>
          <w:r w:rsidRPr="00441550">
            <w:rPr>
              <w:rStyle w:val="a3"/>
              <w:rtl/>
            </w:rPr>
            <w:t xml:space="preserve"> </w:t>
          </w:r>
          <w:r w:rsidRPr="00441550">
            <w:rPr>
              <w:rStyle w:val="a3"/>
              <w:rFonts w:hint="cs"/>
              <w:rtl/>
            </w:rPr>
            <w:t>כאן</w:t>
          </w:r>
          <w:r w:rsidRPr="00441550">
            <w:rPr>
              <w:rStyle w:val="a3"/>
              <w:rtl/>
            </w:rPr>
            <w:t xml:space="preserve"> </w:t>
          </w:r>
          <w:r w:rsidRPr="00441550">
            <w:rPr>
              <w:rStyle w:val="a3"/>
              <w:rFonts w:hint="cs"/>
              <w:rtl/>
            </w:rPr>
            <w:t>להזנת</w:t>
          </w:r>
          <w:r w:rsidRPr="00441550">
            <w:rPr>
              <w:rStyle w:val="a3"/>
              <w:rtl/>
            </w:rPr>
            <w:t xml:space="preserve"> </w:t>
          </w:r>
          <w:r w:rsidRPr="00441550">
            <w:rPr>
              <w:rStyle w:val="a3"/>
              <w:rFonts w:hint="cs"/>
              <w:rtl/>
            </w:rPr>
            <w:t>טקסט</w:t>
          </w:r>
          <w:r w:rsidRPr="00441550">
            <w:rPr>
              <w:rStyle w:val="a3"/>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Tms Rmn">
    <w:altName w:val="Times New Roman"/>
    <w:panose1 w:val="02020603040505020304"/>
    <w:charset w:val="00"/>
    <w:family w:val="roman"/>
    <w:notTrueType/>
    <w:pitch w:val="variable"/>
    <w:sig w:usb0="00000003" w:usb1="00000000" w:usb2="00000000" w:usb3="00000000" w:csb0="00000001" w:csb1="00000000"/>
  </w:font>
  <w:font w:name="Miriam">
    <w:panose1 w:val="020B0502050101010101"/>
    <w:charset w:val="00"/>
    <w:family w:val="swiss"/>
    <w:pitch w:val="variable"/>
    <w:sig w:usb0="00000803" w:usb1="00000000" w:usb2="00000000" w:usb3="00000000" w:csb0="0000002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50BF8"/>
    <w:rsid w:val="000B5B7A"/>
    <w:rsid w:val="001A7B02"/>
    <w:rsid w:val="00260242"/>
    <w:rsid w:val="00276DE4"/>
    <w:rsid w:val="002F485E"/>
    <w:rsid w:val="0037796D"/>
    <w:rsid w:val="003D39DB"/>
    <w:rsid w:val="0042295A"/>
    <w:rsid w:val="0045469C"/>
    <w:rsid w:val="00562311"/>
    <w:rsid w:val="0056293B"/>
    <w:rsid w:val="00583B68"/>
    <w:rsid w:val="00644FD7"/>
    <w:rsid w:val="006D12FC"/>
    <w:rsid w:val="00751C08"/>
    <w:rsid w:val="00791433"/>
    <w:rsid w:val="007950D6"/>
    <w:rsid w:val="00823EE5"/>
    <w:rsid w:val="00827585"/>
    <w:rsid w:val="00827908"/>
    <w:rsid w:val="008B76BA"/>
    <w:rsid w:val="008D3CE4"/>
    <w:rsid w:val="00973883"/>
    <w:rsid w:val="009966F3"/>
    <w:rsid w:val="00A23CBF"/>
    <w:rsid w:val="00A723D8"/>
    <w:rsid w:val="00A85AE7"/>
    <w:rsid w:val="00B569B6"/>
    <w:rsid w:val="00B815CA"/>
    <w:rsid w:val="00BA205C"/>
    <w:rsid w:val="00C55690"/>
    <w:rsid w:val="00CB1B1F"/>
    <w:rsid w:val="00CF79D6"/>
    <w:rsid w:val="00D50BF8"/>
    <w:rsid w:val="00F557C3"/>
    <w:rsid w:val="00F62D73"/>
    <w:rsid w:val="00FA571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229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C1002-9B34-4A62-BD0E-44FCA775E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5995</Words>
  <Characters>29977</Characters>
  <Application>Microsoft Office Word</Application>
  <DocSecurity>0</DocSecurity>
  <Lines>249</Lines>
  <Paragraphs>71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נורית גור</cp:lastModifiedBy>
  <cp:revision>2</cp:revision>
  <dcterms:created xsi:type="dcterms:W3CDTF">2026-04-28T14:07:00Z</dcterms:created>
  <dcterms:modified xsi:type="dcterms:W3CDTF">2026-04-28T14:07:00Z</dcterms:modified>
</cp:coreProperties>
</file>