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834EB4" w14:textId="77777777" w:rsidR="00B10E47" w:rsidRDefault="00B10E47" w:rsidP="00B10E47">
      <w:pPr>
        <w:pStyle w:val="21"/>
        <w:spacing w:after="0" w:afterAutospacing="0"/>
        <w:jc w:val="center"/>
        <w:rPr>
          <w:rFonts w:ascii="David" w:hAnsi="David"/>
          <w:b/>
          <w:bCs/>
          <w:sz w:val="26"/>
          <w:szCs w:val="26"/>
        </w:rPr>
      </w:pPr>
      <w:r>
        <w:rPr>
          <w:rFonts w:ascii="David" w:hAnsi="David"/>
          <w:b/>
          <w:bCs/>
          <w:sz w:val="26"/>
          <w:szCs w:val="26"/>
          <w:rtl/>
        </w:rPr>
        <w:t>מדינת ישראל</w:t>
      </w:r>
      <w:bookmarkStart w:id="0" w:name="_Hlk220405878"/>
    </w:p>
    <w:p w14:paraId="616F3BE3" w14:textId="77777777" w:rsidR="00B10E47" w:rsidRDefault="00B10E47" w:rsidP="00B10E47">
      <w:pPr>
        <w:pStyle w:val="12"/>
        <w:spacing w:line="360" w:lineRule="auto"/>
        <w:jc w:val="center"/>
        <w:rPr>
          <w:rFonts w:ascii="David" w:hAnsi="David"/>
          <w:sz w:val="26"/>
          <w:szCs w:val="26"/>
        </w:rPr>
      </w:pPr>
      <w:r>
        <w:rPr>
          <w:rFonts w:ascii="David" w:hAnsi="David"/>
          <w:sz w:val="26"/>
          <w:szCs w:val="26"/>
          <w:rtl/>
        </w:rPr>
        <w:t>מנהל התכנון – משרד הפנים</w:t>
      </w:r>
    </w:p>
    <w:p w14:paraId="03594DE8" w14:textId="77777777" w:rsidR="00B10E47" w:rsidRPr="00B10E47" w:rsidRDefault="00B10E47" w:rsidP="00B10E47">
      <w:pPr>
        <w:pStyle w:val="12"/>
        <w:spacing w:line="360" w:lineRule="auto"/>
        <w:jc w:val="center"/>
        <w:rPr>
          <w:rFonts w:ascii="David" w:hAnsi="David"/>
          <w:sz w:val="26"/>
          <w:szCs w:val="26"/>
        </w:rPr>
      </w:pPr>
      <w:r>
        <w:rPr>
          <w:rFonts w:ascii="David" w:hAnsi="David"/>
          <w:sz w:val="26"/>
          <w:szCs w:val="26"/>
          <w:rtl/>
        </w:rPr>
        <w:t xml:space="preserve">ועדת </w:t>
      </w:r>
      <w:r w:rsidRPr="00B10E47">
        <w:rPr>
          <w:rFonts w:ascii="David" w:hAnsi="David"/>
          <w:sz w:val="26"/>
          <w:szCs w:val="26"/>
          <w:rtl/>
        </w:rPr>
        <w:t>ערר לפי חוק התכנון והבניה</w:t>
      </w:r>
    </w:p>
    <w:p w14:paraId="140E79FA" w14:textId="6243BD05" w:rsidR="00B10E47" w:rsidRDefault="00B10E47" w:rsidP="00B10E47">
      <w:pPr>
        <w:pStyle w:val="12"/>
        <w:spacing w:line="360" w:lineRule="auto"/>
        <w:jc w:val="center"/>
        <w:rPr>
          <w:rFonts w:ascii="David" w:hAnsi="David"/>
          <w:sz w:val="26"/>
          <w:szCs w:val="26"/>
          <w:rtl/>
        </w:rPr>
      </w:pPr>
      <w:r w:rsidRPr="00B10E47">
        <w:rPr>
          <w:rFonts w:ascii="David" w:hAnsi="David"/>
          <w:sz w:val="26"/>
          <w:szCs w:val="26"/>
          <w:rtl/>
        </w:rPr>
        <w:t>פיצויים והיטלי השבחה</w:t>
      </w:r>
      <w:r w:rsidRPr="00B10E47">
        <w:rPr>
          <w:rFonts w:ascii="David" w:hAnsi="David" w:hint="cs"/>
          <w:sz w:val="26"/>
          <w:szCs w:val="26"/>
          <w:rtl/>
        </w:rPr>
        <w:t xml:space="preserve"> </w:t>
      </w:r>
    </w:p>
    <w:p w14:paraId="0A6A243F" w14:textId="77777777" w:rsidR="00B10E47" w:rsidRDefault="00B10E47" w:rsidP="00B10E47">
      <w:pPr>
        <w:pStyle w:val="12"/>
        <w:spacing w:line="360" w:lineRule="auto"/>
        <w:jc w:val="center"/>
        <w:rPr>
          <w:rFonts w:ascii="David" w:hAnsi="David"/>
          <w:sz w:val="26"/>
          <w:szCs w:val="26"/>
          <w:rtl/>
        </w:rPr>
      </w:pPr>
      <w:r>
        <w:rPr>
          <w:rFonts w:ascii="David" w:hAnsi="David"/>
          <w:sz w:val="26"/>
          <w:szCs w:val="26"/>
          <w:rtl/>
        </w:rPr>
        <w:t>מחוז תל אביב</w:t>
      </w:r>
    </w:p>
    <w:p w14:paraId="24FD2FBF" w14:textId="77777777" w:rsidR="00B10E47" w:rsidRDefault="00B10E47" w:rsidP="00B10E47">
      <w:pPr>
        <w:pStyle w:val="12"/>
        <w:spacing w:line="360" w:lineRule="auto"/>
        <w:jc w:val="both"/>
        <w:rPr>
          <w:rFonts w:ascii="David" w:hAnsi="David"/>
          <w:sz w:val="26"/>
          <w:szCs w:val="26"/>
          <w:rtl/>
        </w:rPr>
      </w:pPr>
      <w:r>
        <w:rPr>
          <w:rFonts w:ascii="David" w:hAnsi="David"/>
          <w:sz w:val="26"/>
          <w:szCs w:val="26"/>
          <w:rtl/>
        </w:rPr>
        <w:t xml:space="preserve"> </w:t>
      </w:r>
    </w:p>
    <w:p w14:paraId="007E75D1" w14:textId="77777777" w:rsidR="00B10E47" w:rsidRPr="00B10E47" w:rsidRDefault="00B10E47" w:rsidP="00B10E47">
      <w:pPr>
        <w:pStyle w:val="12"/>
        <w:spacing w:line="360" w:lineRule="auto"/>
        <w:rPr>
          <w:rFonts w:ascii="David" w:hAnsi="David"/>
          <w:b/>
          <w:bCs/>
          <w:sz w:val="26"/>
          <w:szCs w:val="26"/>
          <w:rtl/>
        </w:rPr>
      </w:pPr>
      <w:r w:rsidRPr="00B10E47">
        <w:rPr>
          <w:rFonts w:ascii="David" w:hAnsi="David"/>
          <w:b/>
          <w:bCs/>
          <w:sz w:val="26"/>
          <w:szCs w:val="26"/>
          <w:rtl/>
        </w:rPr>
        <w:t>אז/86041/0725</w:t>
      </w:r>
      <w:r w:rsidRPr="00B10E47">
        <w:rPr>
          <w:rFonts w:ascii="David" w:hAnsi="David"/>
          <w:b/>
          <w:bCs/>
          <w:sz w:val="26"/>
          <w:szCs w:val="26"/>
        </w:rPr>
        <w:t xml:space="preserve">  </w:t>
      </w:r>
    </w:p>
    <w:p w14:paraId="2803E578" w14:textId="0D6BF021" w:rsidR="00B10E47" w:rsidRDefault="00B10E47" w:rsidP="00B10E47">
      <w:pPr>
        <w:pStyle w:val="12"/>
        <w:bidi/>
        <w:spacing w:line="360" w:lineRule="auto"/>
        <w:jc w:val="right"/>
        <w:rPr>
          <w:rFonts w:ascii="David" w:hAnsi="David"/>
          <w:b/>
          <w:bCs/>
          <w:sz w:val="26"/>
          <w:szCs w:val="26"/>
          <w:u w:val="single"/>
          <w:rtl/>
        </w:rPr>
      </w:pPr>
      <w:r w:rsidRPr="00B10E47">
        <w:rPr>
          <w:rFonts w:ascii="David" w:hAnsi="David"/>
          <w:b/>
          <w:bCs/>
          <w:sz w:val="26"/>
          <w:szCs w:val="26"/>
          <w:rtl/>
        </w:rPr>
        <w:t xml:space="preserve">אז/86042/0725   </w:t>
      </w:r>
    </w:p>
    <w:p w14:paraId="00E7DB20" w14:textId="77777777" w:rsidR="00B10E47" w:rsidRDefault="00B10E47" w:rsidP="00B10E47">
      <w:pPr>
        <w:pStyle w:val="12"/>
        <w:bidi/>
        <w:spacing w:line="360" w:lineRule="auto"/>
        <w:jc w:val="right"/>
        <w:rPr>
          <w:rFonts w:ascii="David" w:hAnsi="David"/>
          <w:b/>
          <w:bCs/>
          <w:sz w:val="26"/>
          <w:szCs w:val="26"/>
          <w:u w:val="single"/>
          <w:rtl/>
        </w:rPr>
      </w:pPr>
    </w:p>
    <w:p w14:paraId="3886F619" w14:textId="77777777" w:rsidR="00B10E47" w:rsidRDefault="00B10E47" w:rsidP="00B10E47">
      <w:pPr>
        <w:pStyle w:val="12"/>
        <w:bidi/>
        <w:spacing w:line="360" w:lineRule="auto"/>
        <w:jc w:val="both"/>
        <w:rPr>
          <w:rFonts w:ascii="David" w:hAnsi="David"/>
          <w:sz w:val="26"/>
          <w:szCs w:val="26"/>
          <w:u w:val="single"/>
          <w:rtl/>
        </w:rPr>
      </w:pPr>
      <w:r>
        <w:rPr>
          <w:rFonts w:ascii="David" w:hAnsi="David"/>
          <w:b/>
          <w:bCs/>
          <w:sz w:val="26"/>
          <w:szCs w:val="26"/>
          <w:u w:val="single"/>
          <w:rtl/>
        </w:rPr>
        <w:t>בפני כב' הוועדה:</w:t>
      </w:r>
    </w:p>
    <w:p w14:paraId="2C9BFE31" w14:textId="77777777" w:rsidR="00B10E47" w:rsidRDefault="00B10E47" w:rsidP="00B10E47">
      <w:pPr>
        <w:pStyle w:val="12"/>
        <w:bidi/>
        <w:spacing w:line="360" w:lineRule="auto"/>
        <w:jc w:val="both"/>
        <w:rPr>
          <w:rFonts w:ascii="David" w:hAnsi="David"/>
          <w:b/>
          <w:bCs/>
          <w:sz w:val="26"/>
          <w:szCs w:val="26"/>
          <w:rtl/>
        </w:rPr>
      </w:pPr>
      <w:r>
        <w:rPr>
          <w:rFonts w:ascii="David" w:hAnsi="David"/>
          <w:b/>
          <w:bCs/>
          <w:sz w:val="26"/>
          <w:szCs w:val="26"/>
          <w:rtl/>
        </w:rPr>
        <w:t>הלל גלקופ, עו"ד</w:t>
      </w:r>
      <w:r>
        <w:rPr>
          <w:rFonts w:ascii="David" w:hAnsi="David"/>
          <w:b/>
          <w:bCs/>
          <w:sz w:val="26"/>
          <w:szCs w:val="26"/>
          <w:rtl/>
        </w:rPr>
        <w:tab/>
      </w:r>
      <w:r>
        <w:rPr>
          <w:rFonts w:ascii="David" w:hAnsi="David"/>
          <w:b/>
          <w:bCs/>
          <w:sz w:val="26"/>
          <w:szCs w:val="26"/>
          <w:rtl/>
        </w:rPr>
        <w:tab/>
      </w:r>
      <w:r>
        <w:rPr>
          <w:rFonts w:ascii="David" w:hAnsi="David"/>
          <w:b/>
          <w:bCs/>
          <w:sz w:val="26"/>
          <w:szCs w:val="26"/>
          <w:rtl/>
        </w:rPr>
        <w:tab/>
      </w:r>
      <w:r>
        <w:rPr>
          <w:rFonts w:ascii="David" w:hAnsi="David"/>
          <w:b/>
          <w:bCs/>
          <w:sz w:val="26"/>
          <w:szCs w:val="26"/>
          <w:rtl/>
        </w:rPr>
        <w:tab/>
      </w:r>
      <w:r>
        <w:rPr>
          <w:rFonts w:ascii="David" w:hAnsi="David"/>
          <w:b/>
          <w:bCs/>
          <w:sz w:val="26"/>
          <w:szCs w:val="26"/>
          <w:rtl/>
        </w:rPr>
        <w:tab/>
      </w:r>
      <w:r>
        <w:rPr>
          <w:rFonts w:ascii="David" w:hAnsi="David"/>
          <w:b/>
          <w:bCs/>
          <w:sz w:val="26"/>
          <w:szCs w:val="26"/>
          <w:rtl/>
        </w:rPr>
        <w:tab/>
      </w:r>
      <w:r>
        <w:rPr>
          <w:rFonts w:ascii="David" w:hAnsi="David"/>
          <w:sz w:val="26"/>
          <w:szCs w:val="26"/>
          <w:rtl/>
        </w:rPr>
        <w:t>- יו"ר הוועדה</w:t>
      </w:r>
    </w:p>
    <w:p w14:paraId="777360DC" w14:textId="0D34E18C" w:rsidR="00B10E47" w:rsidRPr="00B10E47" w:rsidRDefault="00B10E47" w:rsidP="00B10E47">
      <w:pPr>
        <w:pStyle w:val="12"/>
        <w:bidi/>
        <w:spacing w:line="360" w:lineRule="auto"/>
        <w:jc w:val="both"/>
        <w:rPr>
          <w:rFonts w:ascii="David" w:hAnsi="David"/>
          <w:b/>
          <w:bCs/>
          <w:sz w:val="26"/>
          <w:szCs w:val="26"/>
          <w:rtl/>
        </w:rPr>
      </w:pPr>
      <w:r w:rsidRPr="00B10E47">
        <w:rPr>
          <w:rFonts w:ascii="David" w:hAnsi="David"/>
          <w:b/>
          <w:bCs/>
          <w:sz w:val="26"/>
          <w:szCs w:val="26"/>
          <w:rtl/>
        </w:rPr>
        <w:t xml:space="preserve">הגב' </w:t>
      </w:r>
      <w:r w:rsidRPr="00B10E47">
        <w:rPr>
          <w:rFonts w:ascii="David" w:hAnsi="David" w:hint="cs"/>
          <w:b/>
          <w:bCs/>
          <w:sz w:val="26"/>
          <w:szCs w:val="26"/>
          <w:rtl/>
        </w:rPr>
        <w:t>דורית פריאל</w:t>
      </w:r>
      <w:r w:rsidRPr="00B10E47">
        <w:rPr>
          <w:rFonts w:ascii="David" w:hAnsi="David"/>
          <w:b/>
          <w:bCs/>
          <w:sz w:val="26"/>
          <w:szCs w:val="26"/>
          <w:rtl/>
        </w:rPr>
        <w:t xml:space="preserve">, </w:t>
      </w:r>
      <w:r w:rsidRPr="00B10E47">
        <w:rPr>
          <w:rFonts w:ascii="David" w:hAnsi="David" w:hint="cs"/>
          <w:b/>
          <w:bCs/>
          <w:sz w:val="26"/>
          <w:szCs w:val="26"/>
          <w:rtl/>
        </w:rPr>
        <w:t>שמאית מקרקעין</w:t>
      </w:r>
      <w:r w:rsidRPr="00B10E47">
        <w:rPr>
          <w:rFonts w:ascii="David" w:hAnsi="David"/>
          <w:b/>
          <w:bCs/>
          <w:sz w:val="26"/>
          <w:szCs w:val="26"/>
          <w:rtl/>
        </w:rPr>
        <w:tab/>
      </w:r>
      <w:r w:rsidRPr="00B10E47">
        <w:rPr>
          <w:rFonts w:ascii="David" w:hAnsi="David"/>
          <w:b/>
          <w:bCs/>
          <w:sz w:val="26"/>
          <w:szCs w:val="26"/>
          <w:rtl/>
        </w:rPr>
        <w:tab/>
      </w:r>
      <w:r w:rsidRPr="00B10E47">
        <w:rPr>
          <w:rFonts w:ascii="David" w:hAnsi="David"/>
          <w:b/>
          <w:bCs/>
          <w:sz w:val="26"/>
          <w:szCs w:val="26"/>
          <w:rtl/>
        </w:rPr>
        <w:tab/>
      </w:r>
      <w:r w:rsidRPr="00B10E47">
        <w:rPr>
          <w:rFonts w:ascii="David" w:hAnsi="David"/>
          <w:b/>
          <w:bCs/>
          <w:sz w:val="26"/>
          <w:szCs w:val="26"/>
          <w:rtl/>
        </w:rPr>
        <w:tab/>
      </w:r>
      <w:r w:rsidRPr="00B10E47">
        <w:rPr>
          <w:rFonts w:ascii="David" w:hAnsi="David"/>
          <w:sz w:val="26"/>
          <w:szCs w:val="26"/>
          <w:rtl/>
        </w:rPr>
        <w:t>- חברת וועדה</w:t>
      </w:r>
    </w:p>
    <w:p w14:paraId="2057C791" w14:textId="4B8C591E" w:rsidR="00B10E47" w:rsidRDefault="00B10E47" w:rsidP="00B10E47">
      <w:pPr>
        <w:pStyle w:val="12"/>
        <w:bidi/>
        <w:spacing w:line="360" w:lineRule="auto"/>
        <w:jc w:val="both"/>
        <w:rPr>
          <w:rFonts w:ascii="David" w:hAnsi="David"/>
          <w:b/>
          <w:bCs/>
          <w:sz w:val="26"/>
          <w:szCs w:val="26"/>
          <w:rtl/>
        </w:rPr>
      </w:pPr>
      <w:r w:rsidRPr="00B10E47">
        <w:rPr>
          <w:rFonts w:ascii="David" w:hAnsi="David"/>
          <w:b/>
          <w:bCs/>
          <w:sz w:val="26"/>
          <w:szCs w:val="26"/>
          <w:rtl/>
        </w:rPr>
        <w:t xml:space="preserve">הגב' </w:t>
      </w:r>
      <w:r>
        <w:rPr>
          <w:rFonts w:ascii="David" w:hAnsi="David" w:hint="cs"/>
          <w:b/>
          <w:bCs/>
          <w:sz w:val="26"/>
          <w:szCs w:val="26"/>
          <w:rtl/>
        </w:rPr>
        <w:t>יעל פרי</w:t>
      </w:r>
      <w:r>
        <w:rPr>
          <w:rFonts w:ascii="David" w:hAnsi="David"/>
          <w:b/>
          <w:bCs/>
          <w:sz w:val="26"/>
          <w:szCs w:val="26"/>
          <w:rtl/>
        </w:rPr>
        <w:t xml:space="preserve">, נציגת </w:t>
      </w:r>
      <w:r>
        <w:rPr>
          <w:rFonts w:ascii="David" w:hAnsi="David" w:hint="cs"/>
          <w:b/>
          <w:bCs/>
          <w:sz w:val="26"/>
          <w:szCs w:val="26"/>
          <w:rtl/>
        </w:rPr>
        <w:t>מתכנן מחוז</w:t>
      </w:r>
      <w:r>
        <w:rPr>
          <w:rFonts w:ascii="David" w:hAnsi="David"/>
          <w:b/>
          <w:bCs/>
          <w:sz w:val="26"/>
          <w:szCs w:val="26"/>
          <w:rtl/>
        </w:rPr>
        <w:tab/>
      </w:r>
      <w:r>
        <w:rPr>
          <w:rFonts w:ascii="David" w:hAnsi="David"/>
          <w:b/>
          <w:bCs/>
          <w:sz w:val="26"/>
          <w:szCs w:val="26"/>
          <w:rtl/>
        </w:rPr>
        <w:tab/>
      </w:r>
      <w:r>
        <w:rPr>
          <w:rFonts w:ascii="David" w:hAnsi="David"/>
          <w:b/>
          <w:bCs/>
          <w:sz w:val="26"/>
          <w:szCs w:val="26"/>
          <w:rtl/>
        </w:rPr>
        <w:tab/>
      </w:r>
      <w:r>
        <w:rPr>
          <w:rFonts w:ascii="David" w:hAnsi="David"/>
          <w:b/>
          <w:bCs/>
          <w:sz w:val="26"/>
          <w:szCs w:val="26"/>
          <w:rtl/>
        </w:rPr>
        <w:tab/>
      </w:r>
      <w:r>
        <w:rPr>
          <w:rFonts w:ascii="David" w:hAnsi="David"/>
          <w:sz w:val="26"/>
          <w:szCs w:val="26"/>
          <w:rtl/>
        </w:rPr>
        <w:t>- חברת וועדה</w:t>
      </w:r>
    </w:p>
    <w:p w14:paraId="427933E7" w14:textId="77777777" w:rsidR="00B10E47" w:rsidRDefault="00B10E47" w:rsidP="00B10E47">
      <w:pPr>
        <w:pStyle w:val="12"/>
        <w:bidi/>
        <w:spacing w:line="360" w:lineRule="auto"/>
        <w:jc w:val="both"/>
        <w:rPr>
          <w:rFonts w:ascii="David" w:hAnsi="David"/>
          <w:sz w:val="26"/>
          <w:szCs w:val="26"/>
          <w:rtl/>
        </w:rPr>
      </w:pPr>
      <w:r>
        <w:rPr>
          <w:rFonts w:ascii="David" w:hAnsi="David"/>
          <w:sz w:val="26"/>
          <w:szCs w:val="26"/>
          <w:rtl/>
        </w:rPr>
        <w:t xml:space="preserve"> </w:t>
      </w:r>
    </w:p>
    <w:p w14:paraId="3EC90B32" w14:textId="77777777" w:rsidR="00B10E47" w:rsidRDefault="00B10E47" w:rsidP="00B10E47">
      <w:pPr>
        <w:pStyle w:val="12"/>
        <w:bidi/>
        <w:spacing w:line="360" w:lineRule="auto"/>
        <w:jc w:val="both"/>
        <w:rPr>
          <w:rFonts w:ascii="David" w:hAnsi="David"/>
          <w:b/>
          <w:bCs/>
          <w:sz w:val="26"/>
          <w:szCs w:val="26"/>
          <w:rtl/>
        </w:rPr>
      </w:pPr>
    </w:p>
    <w:p w14:paraId="69DE5251" w14:textId="5036BB30" w:rsidR="00B10E47" w:rsidRPr="00B10E47" w:rsidRDefault="00B10E47" w:rsidP="00B10E47">
      <w:pPr>
        <w:pStyle w:val="12"/>
        <w:bidi/>
        <w:spacing w:line="360" w:lineRule="auto"/>
        <w:rPr>
          <w:rFonts w:ascii="David" w:hAnsi="David"/>
          <w:b/>
          <w:bCs/>
          <w:sz w:val="26"/>
          <w:szCs w:val="26"/>
          <w:rtl/>
        </w:rPr>
      </w:pPr>
      <w:r>
        <w:rPr>
          <w:rFonts w:ascii="David" w:hAnsi="David"/>
          <w:b/>
          <w:bCs/>
          <w:sz w:val="26"/>
          <w:szCs w:val="26"/>
          <w:rtl/>
        </w:rPr>
        <w:t xml:space="preserve">העוררת: </w:t>
      </w:r>
      <w:r>
        <w:rPr>
          <w:rFonts w:ascii="David" w:hAnsi="David"/>
          <w:b/>
          <w:bCs/>
          <w:sz w:val="26"/>
          <w:szCs w:val="26"/>
          <w:rtl/>
        </w:rPr>
        <w:tab/>
      </w:r>
      <w:r>
        <w:rPr>
          <w:rFonts w:ascii="David" w:hAnsi="David"/>
          <w:b/>
          <w:bCs/>
          <w:sz w:val="26"/>
          <w:szCs w:val="26"/>
          <w:rtl/>
        </w:rPr>
        <w:tab/>
      </w:r>
      <w:r>
        <w:rPr>
          <w:rFonts w:ascii="David" w:hAnsi="David"/>
          <w:b/>
          <w:bCs/>
          <w:sz w:val="26"/>
          <w:szCs w:val="26"/>
          <w:rtl/>
        </w:rPr>
        <w:tab/>
      </w:r>
      <w:r w:rsidRPr="00B10E47">
        <w:rPr>
          <w:rFonts w:ascii="David" w:hAnsi="David"/>
          <w:b/>
          <w:bCs/>
          <w:sz w:val="26"/>
          <w:szCs w:val="26"/>
          <w:rtl/>
        </w:rPr>
        <w:t>הוועדה המקומית לתכנון ובניה אזור</w:t>
      </w:r>
      <w:r w:rsidRPr="00B10E47">
        <w:rPr>
          <w:rFonts w:ascii="David" w:hAnsi="David"/>
          <w:b/>
          <w:bCs/>
          <w:sz w:val="26"/>
          <w:szCs w:val="26"/>
        </w:rPr>
        <w:t xml:space="preserve">  </w:t>
      </w:r>
    </w:p>
    <w:p w14:paraId="4C83C70C" w14:textId="5EB8091C" w:rsidR="00B10E47" w:rsidRPr="00B10E47" w:rsidRDefault="00B10E47" w:rsidP="00B10E47">
      <w:pPr>
        <w:pStyle w:val="12"/>
        <w:bidi/>
        <w:spacing w:line="360" w:lineRule="auto"/>
        <w:rPr>
          <w:rFonts w:ascii="David" w:hAnsi="David"/>
          <w:sz w:val="26"/>
          <w:szCs w:val="26"/>
          <w:rtl/>
        </w:rPr>
      </w:pPr>
      <w:r w:rsidRPr="00B10E47">
        <w:rPr>
          <w:rFonts w:ascii="David" w:hAnsi="David"/>
          <w:b/>
          <w:bCs/>
          <w:sz w:val="26"/>
          <w:szCs w:val="26"/>
          <w:rtl/>
        </w:rPr>
        <w:t xml:space="preserve">    </w:t>
      </w:r>
      <w:r w:rsidRPr="00B10E47">
        <w:rPr>
          <w:rFonts w:ascii="David" w:hAnsi="David"/>
          <w:b/>
          <w:bCs/>
          <w:sz w:val="26"/>
          <w:szCs w:val="26"/>
          <w:rtl/>
        </w:rPr>
        <w:tab/>
      </w:r>
      <w:r w:rsidRPr="00B10E47">
        <w:rPr>
          <w:rFonts w:ascii="David" w:hAnsi="David"/>
          <w:b/>
          <w:bCs/>
          <w:sz w:val="26"/>
          <w:szCs w:val="26"/>
          <w:rtl/>
        </w:rPr>
        <w:tab/>
      </w:r>
      <w:r w:rsidRPr="00B10E47">
        <w:rPr>
          <w:rFonts w:ascii="David" w:hAnsi="David"/>
          <w:b/>
          <w:bCs/>
          <w:sz w:val="26"/>
          <w:szCs w:val="26"/>
          <w:rtl/>
        </w:rPr>
        <w:tab/>
      </w:r>
      <w:r>
        <w:rPr>
          <w:rFonts w:ascii="David" w:hAnsi="David" w:hint="cs"/>
          <w:b/>
          <w:bCs/>
          <w:sz w:val="26"/>
          <w:szCs w:val="26"/>
          <w:rtl/>
        </w:rPr>
        <w:t xml:space="preserve"> </w:t>
      </w:r>
      <w:r>
        <w:rPr>
          <w:rFonts w:ascii="David" w:hAnsi="David"/>
          <w:sz w:val="26"/>
          <w:szCs w:val="26"/>
          <w:rtl/>
        </w:rPr>
        <w:tab/>
      </w:r>
      <w:r w:rsidRPr="00B10E47">
        <w:rPr>
          <w:rFonts w:ascii="David" w:hAnsi="David"/>
          <w:sz w:val="26"/>
          <w:szCs w:val="26"/>
          <w:rtl/>
        </w:rPr>
        <w:t xml:space="preserve">ע"י ב"כ עו"ד שלי רוזטל </w:t>
      </w:r>
    </w:p>
    <w:p w14:paraId="17F9AD0B" w14:textId="77777777" w:rsidR="00B10E47" w:rsidRDefault="00B10E47" w:rsidP="00B10E47">
      <w:pPr>
        <w:pStyle w:val="12"/>
        <w:bidi/>
        <w:spacing w:line="360" w:lineRule="auto"/>
        <w:ind w:left="2160" w:firstLine="720"/>
        <w:rPr>
          <w:rFonts w:ascii="David" w:hAnsi="David"/>
          <w:b/>
          <w:bCs/>
          <w:sz w:val="26"/>
          <w:szCs w:val="26"/>
          <w:rtl/>
        </w:rPr>
      </w:pPr>
      <w:r>
        <w:rPr>
          <w:rFonts w:ascii="David" w:hAnsi="David"/>
          <w:b/>
          <w:bCs/>
          <w:sz w:val="26"/>
          <w:szCs w:val="26"/>
          <w:rtl/>
        </w:rPr>
        <w:t xml:space="preserve">      </w:t>
      </w:r>
    </w:p>
    <w:p w14:paraId="76780055" w14:textId="214CBCF4" w:rsidR="00B10E47" w:rsidRDefault="00B10E47" w:rsidP="00B10E47">
      <w:pPr>
        <w:pStyle w:val="12"/>
        <w:bidi/>
        <w:spacing w:line="360" w:lineRule="auto"/>
        <w:ind w:left="2160" w:firstLine="720"/>
        <w:rPr>
          <w:rFonts w:ascii="David" w:hAnsi="David"/>
          <w:b/>
          <w:bCs/>
          <w:sz w:val="26"/>
          <w:szCs w:val="26"/>
          <w:rtl/>
        </w:rPr>
      </w:pPr>
      <w:r>
        <w:rPr>
          <w:rFonts w:ascii="David" w:hAnsi="David"/>
          <w:b/>
          <w:bCs/>
          <w:sz w:val="26"/>
          <w:szCs w:val="26"/>
          <w:rtl/>
        </w:rPr>
        <w:tab/>
        <w:t>-נגד-</w:t>
      </w:r>
    </w:p>
    <w:p w14:paraId="74B1A913" w14:textId="77777777" w:rsidR="00B10E47" w:rsidRDefault="00B10E47" w:rsidP="00B10E47">
      <w:pPr>
        <w:pStyle w:val="12"/>
        <w:bidi/>
        <w:spacing w:line="360" w:lineRule="auto"/>
        <w:jc w:val="both"/>
        <w:rPr>
          <w:rFonts w:ascii="David" w:hAnsi="David"/>
          <w:b/>
          <w:bCs/>
          <w:sz w:val="26"/>
          <w:szCs w:val="26"/>
          <w:highlight w:val="yellow"/>
          <w:rtl/>
        </w:rPr>
      </w:pPr>
      <w:r>
        <w:rPr>
          <w:rFonts w:ascii="David" w:hAnsi="David"/>
          <w:b/>
          <w:bCs/>
          <w:sz w:val="26"/>
          <w:szCs w:val="26"/>
          <w:highlight w:val="yellow"/>
          <w:rtl/>
        </w:rPr>
        <w:t xml:space="preserve"> </w:t>
      </w:r>
    </w:p>
    <w:p w14:paraId="03A27126" w14:textId="77777777" w:rsidR="00B10E47" w:rsidRPr="00B10E47" w:rsidRDefault="00B10E47" w:rsidP="00B10E47">
      <w:pPr>
        <w:pStyle w:val="12"/>
        <w:bidi/>
        <w:spacing w:line="360" w:lineRule="auto"/>
        <w:rPr>
          <w:rFonts w:ascii="David" w:hAnsi="David"/>
          <w:b/>
          <w:bCs/>
          <w:sz w:val="26"/>
          <w:szCs w:val="26"/>
          <w:rtl/>
        </w:rPr>
      </w:pPr>
      <w:r w:rsidRPr="00B10E47">
        <w:rPr>
          <w:rFonts w:ascii="David" w:hAnsi="David"/>
          <w:b/>
          <w:bCs/>
          <w:sz w:val="26"/>
          <w:szCs w:val="26"/>
          <w:rtl/>
        </w:rPr>
        <w:t>המשיבה בערר אז/86041/0725</w:t>
      </w:r>
      <w:r w:rsidRPr="00B10E47">
        <w:rPr>
          <w:rFonts w:ascii="David" w:hAnsi="David"/>
          <w:b/>
          <w:bCs/>
          <w:sz w:val="26"/>
          <w:szCs w:val="26"/>
        </w:rPr>
        <w:t xml:space="preserve"> :</w:t>
      </w:r>
      <w:r w:rsidRPr="00B10E47">
        <w:rPr>
          <w:rFonts w:ascii="David" w:hAnsi="David"/>
          <w:b/>
          <w:bCs/>
          <w:sz w:val="26"/>
          <w:szCs w:val="26"/>
        </w:rPr>
        <w:tab/>
      </w:r>
      <w:r w:rsidRPr="00B10E47">
        <w:rPr>
          <w:rFonts w:ascii="David" w:hAnsi="David"/>
          <w:b/>
          <w:bCs/>
          <w:sz w:val="26"/>
          <w:szCs w:val="26"/>
        </w:rPr>
        <w:tab/>
        <w:t xml:space="preserve">   </w:t>
      </w:r>
      <w:r w:rsidRPr="00B10E47">
        <w:rPr>
          <w:rFonts w:ascii="David" w:hAnsi="David"/>
          <w:b/>
          <w:bCs/>
          <w:sz w:val="26"/>
          <w:szCs w:val="26"/>
        </w:rPr>
        <w:tab/>
      </w:r>
    </w:p>
    <w:p w14:paraId="09DB6E03" w14:textId="77777777" w:rsidR="00B10E47" w:rsidRPr="00B10E47" w:rsidRDefault="00B10E47" w:rsidP="00B10E47">
      <w:pPr>
        <w:pStyle w:val="12"/>
        <w:bidi/>
        <w:spacing w:line="360" w:lineRule="auto"/>
        <w:ind w:left="2160" w:firstLine="720"/>
        <w:rPr>
          <w:rFonts w:ascii="David" w:hAnsi="David"/>
          <w:b/>
          <w:bCs/>
          <w:sz w:val="26"/>
          <w:szCs w:val="26"/>
          <w:rtl/>
        </w:rPr>
      </w:pPr>
      <w:r w:rsidRPr="00B10E47">
        <w:rPr>
          <w:rFonts w:ascii="David" w:hAnsi="David"/>
          <w:b/>
          <w:bCs/>
          <w:sz w:val="26"/>
          <w:szCs w:val="26"/>
          <w:rtl/>
        </w:rPr>
        <w:t>אמות השקעות בע"מ</w:t>
      </w:r>
    </w:p>
    <w:p w14:paraId="42182D33" w14:textId="77777777" w:rsidR="00B10E47" w:rsidRPr="00B10E47" w:rsidRDefault="00B10E47" w:rsidP="00B10E47">
      <w:pPr>
        <w:pStyle w:val="12"/>
        <w:bidi/>
        <w:spacing w:line="360" w:lineRule="auto"/>
        <w:rPr>
          <w:rFonts w:ascii="David" w:hAnsi="David"/>
          <w:b/>
          <w:bCs/>
          <w:sz w:val="26"/>
          <w:szCs w:val="26"/>
          <w:rtl/>
        </w:rPr>
      </w:pPr>
      <w:r w:rsidRPr="00B10E47">
        <w:rPr>
          <w:rFonts w:ascii="David" w:hAnsi="David"/>
          <w:b/>
          <w:bCs/>
          <w:sz w:val="26"/>
          <w:szCs w:val="26"/>
          <w:rtl/>
        </w:rPr>
        <w:t>המשיבות בערר אז/86042/0725</w:t>
      </w:r>
      <w:r w:rsidRPr="00B10E47">
        <w:rPr>
          <w:rFonts w:ascii="David" w:hAnsi="David"/>
          <w:b/>
          <w:bCs/>
          <w:sz w:val="26"/>
          <w:szCs w:val="26"/>
        </w:rPr>
        <w:t xml:space="preserve"> :</w:t>
      </w:r>
      <w:r w:rsidRPr="00B10E47">
        <w:rPr>
          <w:rFonts w:ascii="David" w:hAnsi="David"/>
          <w:b/>
          <w:bCs/>
          <w:sz w:val="26"/>
          <w:szCs w:val="26"/>
        </w:rPr>
        <w:tab/>
      </w:r>
      <w:r w:rsidRPr="00B10E47">
        <w:rPr>
          <w:rFonts w:ascii="David" w:hAnsi="David"/>
          <w:b/>
          <w:bCs/>
          <w:sz w:val="26"/>
          <w:szCs w:val="26"/>
        </w:rPr>
        <w:tab/>
        <w:t xml:space="preserve">   </w:t>
      </w:r>
      <w:r w:rsidRPr="00B10E47">
        <w:rPr>
          <w:rFonts w:ascii="David" w:hAnsi="David"/>
          <w:b/>
          <w:bCs/>
          <w:sz w:val="26"/>
          <w:szCs w:val="26"/>
        </w:rPr>
        <w:tab/>
      </w:r>
    </w:p>
    <w:p w14:paraId="348ADBA3" w14:textId="707D5FF8" w:rsidR="00B10E47" w:rsidRPr="00B10E47" w:rsidRDefault="00B10E47" w:rsidP="00B10E47">
      <w:pPr>
        <w:pStyle w:val="12"/>
        <w:bidi/>
        <w:spacing w:line="360" w:lineRule="auto"/>
        <w:rPr>
          <w:rFonts w:ascii="David" w:hAnsi="David"/>
          <w:b/>
          <w:bCs/>
          <w:sz w:val="26"/>
          <w:szCs w:val="26"/>
          <w:rtl/>
        </w:rPr>
      </w:pPr>
      <w:r w:rsidRPr="00B10E47">
        <w:rPr>
          <w:rFonts w:ascii="David" w:hAnsi="David"/>
          <w:b/>
          <w:bCs/>
          <w:sz w:val="26"/>
          <w:szCs w:val="26"/>
        </w:rPr>
        <w:tab/>
      </w:r>
      <w:r w:rsidRPr="00B10E47">
        <w:rPr>
          <w:rFonts w:ascii="David" w:hAnsi="David"/>
          <w:b/>
          <w:bCs/>
          <w:sz w:val="26"/>
          <w:szCs w:val="26"/>
        </w:rPr>
        <w:tab/>
      </w:r>
      <w:r w:rsidRPr="00B10E47">
        <w:rPr>
          <w:rFonts w:ascii="David" w:hAnsi="David"/>
          <w:b/>
          <w:bCs/>
          <w:sz w:val="26"/>
          <w:szCs w:val="26"/>
        </w:rPr>
        <w:tab/>
      </w:r>
      <w:r>
        <w:rPr>
          <w:rFonts w:ascii="David" w:hAnsi="David"/>
          <w:b/>
          <w:bCs/>
          <w:sz w:val="26"/>
          <w:szCs w:val="26"/>
        </w:rPr>
        <w:tab/>
      </w:r>
      <w:r w:rsidRPr="00B10E47">
        <w:rPr>
          <w:rFonts w:ascii="David" w:hAnsi="David"/>
          <w:b/>
          <w:bCs/>
          <w:sz w:val="26"/>
          <w:szCs w:val="26"/>
          <w:rtl/>
        </w:rPr>
        <w:t>אפריקה ישראל מגורים בע"מ ואח</w:t>
      </w:r>
      <w:r w:rsidRPr="00B10E47">
        <w:rPr>
          <w:rFonts w:ascii="David" w:hAnsi="David"/>
          <w:b/>
          <w:bCs/>
          <w:sz w:val="26"/>
          <w:szCs w:val="26"/>
        </w:rPr>
        <w:t xml:space="preserve">' </w:t>
      </w:r>
    </w:p>
    <w:p w14:paraId="392B1D1D" w14:textId="77777777" w:rsidR="00B10E47" w:rsidRDefault="00B10E47" w:rsidP="00B10E47">
      <w:pPr>
        <w:pStyle w:val="12"/>
        <w:bidi/>
        <w:spacing w:line="360" w:lineRule="auto"/>
        <w:jc w:val="both"/>
        <w:rPr>
          <w:rFonts w:ascii="David" w:hAnsi="David"/>
          <w:sz w:val="26"/>
          <w:szCs w:val="26"/>
          <w:rtl/>
        </w:rPr>
      </w:pPr>
      <w:r w:rsidRPr="00B10E47">
        <w:rPr>
          <w:rFonts w:ascii="David" w:hAnsi="David"/>
          <w:b/>
          <w:bCs/>
          <w:sz w:val="26"/>
          <w:szCs w:val="26"/>
          <w:rtl/>
        </w:rPr>
        <w:tab/>
      </w:r>
      <w:r w:rsidRPr="00B10E47">
        <w:rPr>
          <w:rFonts w:ascii="David" w:hAnsi="David"/>
          <w:b/>
          <w:bCs/>
          <w:sz w:val="26"/>
          <w:szCs w:val="26"/>
          <w:rtl/>
        </w:rPr>
        <w:tab/>
      </w:r>
      <w:r w:rsidRPr="00B10E47">
        <w:rPr>
          <w:rFonts w:ascii="David" w:hAnsi="David"/>
          <w:b/>
          <w:bCs/>
          <w:sz w:val="26"/>
          <w:szCs w:val="26"/>
          <w:rtl/>
        </w:rPr>
        <w:tab/>
      </w:r>
      <w:r>
        <w:rPr>
          <w:rFonts w:ascii="David" w:hAnsi="David"/>
          <w:sz w:val="26"/>
          <w:szCs w:val="26"/>
          <w:rtl/>
        </w:rPr>
        <w:tab/>
      </w:r>
      <w:r w:rsidRPr="00B10E47">
        <w:rPr>
          <w:rFonts w:ascii="David" w:hAnsi="David"/>
          <w:sz w:val="26"/>
          <w:szCs w:val="26"/>
          <w:rtl/>
        </w:rPr>
        <w:t>שתי המשיבות ע"י ב"כ עו"ד טלי סלטון-ישועה</w:t>
      </w:r>
      <w:r>
        <w:rPr>
          <w:rFonts w:ascii="David" w:hAnsi="David" w:hint="cs"/>
          <w:sz w:val="26"/>
          <w:szCs w:val="26"/>
          <w:rtl/>
        </w:rPr>
        <w:t xml:space="preserve"> </w:t>
      </w:r>
    </w:p>
    <w:p w14:paraId="2F6F8C3A" w14:textId="7C5738CD" w:rsidR="00B10E47" w:rsidRDefault="00B10E47" w:rsidP="00B10E47">
      <w:pPr>
        <w:pStyle w:val="12"/>
        <w:bidi/>
        <w:spacing w:line="360" w:lineRule="auto"/>
        <w:ind w:left="2160" w:firstLine="720"/>
        <w:jc w:val="both"/>
        <w:rPr>
          <w:rFonts w:ascii="David" w:hAnsi="David"/>
          <w:b/>
          <w:bCs/>
          <w:sz w:val="26"/>
          <w:szCs w:val="26"/>
          <w:rtl/>
        </w:rPr>
      </w:pPr>
      <w:r>
        <w:rPr>
          <w:rFonts w:ascii="David" w:hAnsi="David" w:hint="cs"/>
          <w:sz w:val="26"/>
          <w:szCs w:val="26"/>
          <w:rtl/>
        </w:rPr>
        <w:t>ו/או</w:t>
      </w:r>
      <w:r w:rsidRPr="00B10E47">
        <w:rPr>
          <w:rFonts w:ascii="David" w:hAnsi="David"/>
          <w:sz w:val="26"/>
          <w:szCs w:val="26"/>
          <w:rtl/>
        </w:rPr>
        <w:t xml:space="preserve"> עו"ד יונתן ליבצ'יק</w:t>
      </w:r>
      <w:r w:rsidRPr="00B10E47">
        <w:rPr>
          <w:rFonts w:ascii="David" w:hAnsi="David" w:hint="cs"/>
          <w:sz w:val="26"/>
          <w:szCs w:val="26"/>
          <w:rtl/>
        </w:rPr>
        <w:t xml:space="preserve"> </w:t>
      </w:r>
    </w:p>
    <w:p w14:paraId="2D6D987D" w14:textId="77777777" w:rsidR="00B10E47" w:rsidRDefault="00B10E47" w:rsidP="00B10E47">
      <w:pPr>
        <w:pStyle w:val="12"/>
        <w:bidi/>
        <w:spacing w:line="360" w:lineRule="auto"/>
        <w:jc w:val="both"/>
        <w:rPr>
          <w:rFonts w:ascii="David" w:hAnsi="David"/>
          <w:b/>
          <w:bCs/>
          <w:sz w:val="26"/>
          <w:szCs w:val="26"/>
          <w:rtl/>
        </w:rPr>
      </w:pPr>
    </w:p>
    <w:p w14:paraId="4F2D9FF4" w14:textId="77777777" w:rsidR="00B10E47" w:rsidRPr="00B10E47" w:rsidRDefault="00B10E47" w:rsidP="00B10E47">
      <w:pPr>
        <w:pStyle w:val="12"/>
        <w:bidi/>
        <w:spacing w:line="360" w:lineRule="auto"/>
        <w:rPr>
          <w:rFonts w:ascii="David" w:hAnsi="David"/>
          <w:sz w:val="26"/>
          <w:szCs w:val="26"/>
          <w:rtl/>
        </w:rPr>
      </w:pPr>
      <w:r>
        <w:rPr>
          <w:rFonts w:ascii="David" w:hAnsi="David" w:hint="cs"/>
          <w:b/>
          <w:bCs/>
          <w:sz w:val="26"/>
          <w:szCs w:val="26"/>
          <w:rtl/>
        </w:rPr>
        <w:t xml:space="preserve">פרטי הנכס: </w:t>
      </w:r>
      <w:r w:rsidRPr="00B10E47">
        <w:rPr>
          <w:rFonts w:ascii="David" w:hAnsi="David"/>
          <w:sz w:val="26"/>
          <w:szCs w:val="26"/>
          <w:rtl/>
        </w:rPr>
        <w:t>רח' משה שרת, מתחם "אופיס" אזור</w:t>
      </w:r>
      <w:r w:rsidRPr="00B10E47">
        <w:rPr>
          <w:rFonts w:ascii="David" w:hAnsi="David"/>
          <w:sz w:val="26"/>
          <w:szCs w:val="26"/>
        </w:rPr>
        <w:t>.</w:t>
      </w:r>
    </w:p>
    <w:p w14:paraId="46ADF5A1" w14:textId="29702FD9" w:rsidR="00B10E47" w:rsidRDefault="00B10E47" w:rsidP="00B10E47">
      <w:pPr>
        <w:pStyle w:val="12"/>
        <w:bidi/>
        <w:spacing w:line="360" w:lineRule="auto"/>
        <w:jc w:val="both"/>
        <w:rPr>
          <w:rFonts w:ascii="David" w:hAnsi="David"/>
          <w:sz w:val="26"/>
          <w:szCs w:val="26"/>
          <w:rtl/>
        </w:rPr>
      </w:pPr>
      <w:r w:rsidRPr="00B10E47">
        <w:rPr>
          <w:rFonts w:ascii="David" w:hAnsi="David"/>
          <w:sz w:val="26"/>
          <w:szCs w:val="26"/>
          <w:rtl/>
        </w:rPr>
        <w:t xml:space="preserve"> </w:t>
      </w:r>
      <w:r>
        <w:rPr>
          <w:rFonts w:ascii="David" w:hAnsi="David"/>
          <w:sz w:val="26"/>
          <w:szCs w:val="26"/>
          <w:rtl/>
        </w:rPr>
        <w:tab/>
      </w:r>
      <w:r>
        <w:rPr>
          <w:rFonts w:ascii="David" w:hAnsi="David" w:hint="cs"/>
          <w:sz w:val="26"/>
          <w:szCs w:val="26"/>
          <w:rtl/>
        </w:rPr>
        <w:t xml:space="preserve">         </w:t>
      </w:r>
      <w:r w:rsidRPr="00B10E47">
        <w:rPr>
          <w:rFonts w:ascii="David" w:hAnsi="David"/>
          <w:sz w:val="26"/>
          <w:szCs w:val="26"/>
          <w:rtl/>
        </w:rPr>
        <w:t>גוש 6001, חלק מחלקה 142.</w:t>
      </w:r>
    </w:p>
    <w:p w14:paraId="4FE863E2" w14:textId="77777777" w:rsidR="00B10E47" w:rsidRPr="00B10E47" w:rsidRDefault="00B10E47" w:rsidP="00B10E47">
      <w:pPr>
        <w:pStyle w:val="12"/>
        <w:bidi/>
        <w:spacing w:line="360" w:lineRule="auto"/>
        <w:jc w:val="both"/>
        <w:rPr>
          <w:rFonts w:ascii="David" w:hAnsi="David"/>
          <w:sz w:val="36"/>
          <w:szCs w:val="36"/>
          <w:u w:val="single"/>
          <w:rtl/>
        </w:rPr>
      </w:pPr>
    </w:p>
    <w:p w14:paraId="1AB4FD6E" w14:textId="77777777" w:rsidR="00B10E47" w:rsidRDefault="00B10E47" w:rsidP="00B10E47">
      <w:pPr>
        <w:spacing w:after="360"/>
        <w:jc w:val="center"/>
        <w:rPr>
          <w:rtl/>
        </w:rPr>
      </w:pPr>
      <w:r>
        <w:rPr>
          <w:rFonts w:ascii="David" w:eastAsia="Times New Roman" w:hAnsi="David" w:cs="David"/>
          <w:b/>
          <w:bCs/>
          <w:sz w:val="36"/>
          <w:szCs w:val="36"/>
          <w:u w:val="single"/>
          <w:rtl/>
        </w:rPr>
        <w:t>החלטה</w:t>
      </w:r>
    </w:p>
    <w:bookmarkEnd w:id="0"/>
    <w:p w14:paraId="17B0F0EF" w14:textId="27BF2BA1" w:rsidR="0069496D" w:rsidRDefault="0069496D" w:rsidP="00D319A4">
      <w:pPr>
        <w:numPr>
          <w:ilvl w:val="0"/>
          <w:numId w:val="1"/>
        </w:numPr>
        <w:tabs>
          <w:tab w:val="clear" w:pos="720"/>
        </w:tabs>
        <w:spacing w:beforeLines="120" w:before="288" w:afterLines="120" w:after="288" w:line="360" w:lineRule="auto"/>
        <w:ind w:left="84" w:hanging="567"/>
        <w:jc w:val="both"/>
        <w:rPr>
          <w:rFonts w:ascii="David" w:eastAsia="Times New Roman" w:hAnsi="David" w:cs="David"/>
          <w:sz w:val="26"/>
          <w:szCs w:val="26"/>
        </w:rPr>
      </w:pPr>
      <w:r w:rsidRPr="0069496D">
        <w:rPr>
          <w:rFonts w:ascii="David" w:eastAsia="Times New Roman" w:hAnsi="David" w:cs="David"/>
          <w:sz w:val="26"/>
          <w:szCs w:val="26"/>
          <w:rtl/>
        </w:rPr>
        <w:t xml:space="preserve">לפנינו שני עררים שהגישה הוועדה המקומית לתכנון ולבנייה אזור על שומותיו המכריעות של השמאי המכריע, מר יעקב הלוי, מיום 2.4.2025. השומות נערכו ביחס להשבחה שנוצרה עקב אישורה של תכנית 554-0905372, </w:t>
      </w:r>
      <w:r w:rsidR="00325019">
        <w:rPr>
          <w:rFonts w:ascii="David" w:eastAsia="Times New Roman" w:hAnsi="David" w:cs="David" w:hint="cs"/>
          <w:sz w:val="26"/>
          <w:szCs w:val="26"/>
          <w:rtl/>
        </w:rPr>
        <w:t>"</w:t>
      </w:r>
      <w:r w:rsidRPr="0069496D">
        <w:rPr>
          <w:rFonts w:ascii="David" w:eastAsia="Times New Roman" w:hAnsi="David" w:cs="David"/>
          <w:sz w:val="26"/>
          <w:szCs w:val="26"/>
          <w:rtl/>
        </w:rPr>
        <w:t xml:space="preserve">התחדשות עירונית במתחם אופיס </w:t>
      </w:r>
      <w:r w:rsidR="00E52374">
        <w:rPr>
          <w:rFonts w:ascii="David" w:eastAsia="Times New Roman" w:hAnsi="David" w:cs="David" w:hint="cs"/>
          <w:sz w:val="26"/>
          <w:szCs w:val="26"/>
          <w:rtl/>
        </w:rPr>
        <w:t>-</w:t>
      </w:r>
      <w:r w:rsidRPr="0069496D">
        <w:rPr>
          <w:rFonts w:ascii="David" w:eastAsia="Times New Roman" w:hAnsi="David" w:cs="David"/>
          <w:sz w:val="26"/>
          <w:szCs w:val="26"/>
          <w:rtl/>
        </w:rPr>
        <w:t xml:space="preserve"> אזור</w:t>
      </w:r>
      <w:r w:rsidR="00325019">
        <w:rPr>
          <w:rFonts w:ascii="David" w:eastAsia="Times New Roman" w:hAnsi="David" w:cs="David" w:hint="cs"/>
          <w:sz w:val="26"/>
          <w:szCs w:val="26"/>
          <w:rtl/>
        </w:rPr>
        <w:t>"</w:t>
      </w:r>
      <w:r w:rsidRPr="0069496D">
        <w:rPr>
          <w:rFonts w:ascii="David" w:eastAsia="Times New Roman" w:hAnsi="David" w:cs="David"/>
          <w:sz w:val="26"/>
          <w:szCs w:val="26"/>
          <w:rtl/>
        </w:rPr>
        <w:t>, ובהתייחס לזכויות המשיבות במקרקעין הידועים כחלק מחלקה 142 בגוש 6001</w:t>
      </w:r>
      <w:r w:rsidRPr="0069496D">
        <w:rPr>
          <w:rFonts w:ascii="David" w:eastAsia="Times New Roman" w:hAnsi="David" w:cs="David"/>
          <w:sz w:val="26"/>
          <w:szCs w:val="26"/>
        </w:rPr>
        <w:t>.</w:t>
      </w:r>
    </w:p>
    <w:p w14:paraId="1E5F161F" w14:textId="77777777" w:rsidR="00A64AAE" w:rsidRPr="0069496D" w:rsidRDefault="00A64AAE" w:rsidP="00D319A4">
      <w:pPr>
        <w:numPr>
          <w:ilvl w:val="0"/>
          <w:numId w:val="1"/>
        </w:numPr>
        <w:tabs>
          <w:tab w:val="clear" w:pos="720"/>
        </w:tabs>
        <w:spacing w:beforeLines="120" w:before="288" w:afterLines="120" w:after="288" w:line="360" w:lineRule="auto"/>
        <w:ind w:left="84" w:hanging="567"/>
        <w:jc w:val="both"/>
        <w:rPr>
          <w:rFonts w:ascii="David" w:eastAsia="Times New Roman" w:hAnsi="David" w:cs="David"/>
          <w:sz w:val="26"/>
          <w:szCs w:val="26"/>
        </w:rPr>
      </w:pPr>
      <w:r w:rsidRPr="0069496D">
        <w:rPr>
          <w:rFonts w:ascii="David" w:eastAsia="Times New Roman" w:hAnsi="David" w:cs="David"/>
          <w:sz w:val="26"/>
          <w:szCs w:val="26"/>
          <w:rtl/>
        </w:rPr>
        <w:lastRenderedPageBreak/>
        <w:t>ההליך לפני השמאי המכריע התנהל במסגרת שני מינויים נפרדים, בהתאם לזהות בעלי הזכויות, אולם הדיונים המקצועיים התקיימו במאוחד. השמאי המכריע קיים שני דיונים, אפשר לצדדים להגיש התייחסויות משלימות, ולאחר מכן ניתנו השומות המכריעות מושא העררים</w:t>
      </w:r>
      <w:r w:rsidRPr="0069496D">
        <w:rPr>
          <w:rFonts w:ascii="David" w:eastAsia="Times New Roman" w:hAnsi="David" w:cs="David"/>
          <w:sz w:val="26"/>
          <w:szCs w:val="26"/>
        </w:rPr>
        <w:t>.</w:t>
      </w:r>
    </w:p>
    <w:p w14:paraId="40E053BE" w14:textId="77777777" w:rsidR="00A64AAE" w:rsidRDefault="00A64AAE" w:rsidP="00D319A4">
      <w:pPr>
        <w:numPr>
          <w:ilvl w:val="0"/>
          <w:numId w:val="1"/>
        </w:numPr>
        <w:tabs>
          <w:tab w:val="clear" w:pos="720"/>
        </w:tabs>
        <w:spacing w:beforeLines="120" w:before="288" w:afterLines="120" w:after="288" w:line="360" w:lineRule="auto"/>
        <w:ind w:left="84" w:hanging="567"/>
        <w:jc w:val="both"/>
        <w:rPr>
          <w:rFonts w:ascii="David" w:eastAsia="Times New Roman" w:hAnsi="David" w:cs="David"/>
          <w:sz w:val="26"/>
          <w:szCs w:val="26"/>
        </w:rPr>
      </w:pPr>
      <w:r w:rsidRPr="0069496D">
        <w:rPr>
          <w:rFonts w:ascii="David" w:eastAsia="Times New Roman" w:hAnsi="David" w:cs="David"/>
          <w:sz w:val="26"/>
          <w:szCs w:val="26"/>
          <w:rtl/>
        </w:rPr>
        <w:t>במהלך ההליך שלפנינו הגיעו הצדדים להסדר פשרה חלקי, אשר קיבל תוקף של החלטה וצמצם את גדרי המחלוקת. לאחר הגשת כתב תשובה מאוחד קיימנו ביום 1.7.2026 דיון, שבמסגרתו נשמעו בהרחבה טענות הצדדים והשמאים מטעמם בנושאים שנותרו במחלוקת</w:t>
      </w:r>
      <w:r w:rsidRPr="0069496D">
        <w:rPr>
          <w:rFonts w:ascii="David" w:eastAsia="Times New Roman" w:hAnsi="David" w:cs="David"/>
          <w:sz w:val="26"/>
          <w:szCs w:val="26"/>
        </w:rPr>
        <w:t>.</w:t>
      </w:r>
    </w:p>
    <w:p w14:paraId="2571EB5D" w14:textId="4575100D" w:rsidR="00A64AAE" w:rsidRPr="00EC6E99" w:rsidRDefault="00A64AAE" w:rsidP="00A64AAE">
      <w:pPr>
        <w:spacing w:beforeLines="120" w:before="288" w:afterLines="120" w:after="288" w:line="360" w:lineRule="auto"/>
        <w:ind w:left="368"/>
        <w:jc w:val="both"/>
        <w:rPr>
          <w:rFonts w:ascii="David" w:eastAsia="Times New Roman" w:hAnsi="David" w:cs="David"/>
          <w:b/>
          <w:bCs/>
          <w:sz w:val="28"/>
          <w:szCs w:val="28"/>
          <w:u w:val="single"/>
          <w:rtl/>
        </w:rPr>
      </w:pPr>
      <w:r w:rsidRPr="00EC6E99">
        <w:rPr>
          <w:rFonts w:ascii="David" w:eastAsia="Times New Roman" w:hAnsi="David" w:cs="David" w:hint="cs"/>
          <w:b/>
          <w:bCs/>
          <w:sz w:val="28"/>
          <w:szCs w:val="28"/>
          <w:u w:val="single"/>
          <w:rtl/>
        </w:rPr>
        <w:t>שומות הצדדים</w:t>
      </w:r>
    </w:p>
    <w:p w14:paraId="4BCF07FD" w14:textId="1A518C03" w:rsidR="00A64AAE" w:rsidRDefault="00A64AAE" w:rsidP="00D319A4">
      <w:pPr>
        <w:numPr>
          <w:ilvl w:val="0"/>
          <w:numId w:val="1"/>
        </w:numPr>
        <w:tabs>
          <w:tab w:val="clear" w:pos="720"/>
        </w:tabs>
        <w:spacing w:beforeLines="120" w:before="288" w:afterLines="120" w:after="288" w:line="360" w:lineRule="auto"/>
        <w:ind w:left="84" w:hanging="567"/>
        <w:jc w:val="both"/>
        <w:rPr>
          <w:rFonts w:ascii="David" w:eastAsia="Times New Roman" w:hAnsi="David" w:cs="David"/>
          <w:sz w:val="26"/>
          <w:szCs w:val="26"/>
        </w:rPr>
      </w:pPr>
      <w:r>
        <w:rPr>
          <w:rFonts w:ascii="David" w:eastAsia="Times New Roman" w:hAnsi="David" w:cs="David" w:hint="cs"/>
          <w:sz w:val="26"/>
          <w:szCs w:val="26"/>
          <w:rtl/>
        </w:rPr>
        <w:t>בהתאם לשומת הוועדה המקומית היטל ההשבחה</w:t>
      </w:r>
      <w:r w:rsidR="00094D80">
        <w:rPr>
          <w:rFonts w:ascii="David" w:eastAsia="Times New Roman" w:hAnsi="David" w:cs="David" w:hint="cs"/>
          <w:sz w:val="26"/>
          <w:szCs w:val="26"/>
          <w:rtl/>
        </w:rPr>
        <w:t>,</w:t>
      </w:r>
      <w:r>
        <w:rPr>
          <w:rFonts w:ascii="David" w:eastAsia="Times New Roman" w:hAnsi="David" w:cs="David" w:hint="cs"/>
          <w:sz w:val="26"/>
          <w:szCs w:val="26"/>
          <w:rtl/>
        </w:rPr>
        <w:t xml:space="preserve"> כדלקמן:</w:t>
      </w:r>
    </w:p>
    <w:p w14:paraId="7DECEBD9" w14:textId="38F584E5" w:rsidR="00A64AAE" w:rsidRDefault="00A64AAE" w:rsidP="003B5CBB">
      <w:pPr>
        <w:spacing w:beforeLines="120" w:before="288" w:afterLines="120" w:after="288" w:line="360" w:lineRule="auto"/>
        <w:ind w:left="360"/>
        <w:jc w:val="both"/>
        <w:rPr>
          <w:rFonts w:ascii="David" w:eastAsia="Times New Roman" w:hAnsi="David" w:cs="David"/>
          <w:sz w:val="26"/>
          <w:szCs w:val="26"/>
          <w:rtl/>
        </w:rPr>
      </w:pPr>
      <w:r w:rsidRPr="00A64AAE">
        <w:rPr>
          <w:rFonts w:ascii="David" w:eastAsia="Times New Roman" w:hAnsi="David" w:cs="David"/>
          <w:noProof/>
          <w:sz w:val="26"/>
          <w:szCs w:val="26"/>
          <w:rtl/>
        </w:rPr>
        <w:drawing>
          <wp:inline distT="0" distB="0" distL="0" distR="0" wp14:anchorId="6164D6C2" wp14:editId="4826C333">
            <wp:extent cx="5274310" cy="3302635"/>
            <wp:effectExtent l="0" t="0" r="2540" b="0"/>
            <wp:docPr id="2"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5274310" cy="3302635"/>
                    </a:xfrm>
                    <a:prstGeom prst="rect">
                      <a:avLst/>
                    </a:prstGeom>
                  </pic:spPr>
                </pic:pic>
              </a:graphicData>
            </a:graphic>
          </wp:inline>
        </w:drawing>
      </w:r>
    </w:p>
    <w:p w14:paraId="2A8CC4AA" w14:textId="63494F6C" w:rsidR="008D427A" w:rsidRDefault="008D427A" w:rsidP="008D427A">
      <w:pPr>
        <w:spacing w:beforeLines="120" w:before="288" w:afterLines="120" w:after="288" w:line="360" w:lineRule="auto"/>
        <w:ind w:left="84"/>
        <w:jc w:val="both"/>
        <w:rPr>
          <w:rFonts w:ascii="David" w:eastAsia="Times New Roman" w:hAnsi="David" w:cs="David"/>
          <w:sz w:val="26"/>
          <w:szCs w:val="26"/>
          <w:rtl/>
        </w:rPr>
      </w:pPr>
    </w:p>
    <w:p w14:paraId="0E78CB4A" w14:textId="4B1B7C52" w:rsidR="00B10E47" w:rsidRDefault="00B10E47" w:rsidP="008D427A">
      <w:pPr>
        <w:spacing w:beforeLines="120" w:before="288" w:afterLines="120" w:after="288" w:line="360" w:lineRule="auto"/>
        <w:ind w:left="84"/>
        <w:jc w:val="both"/>
        <w:rPr>
          <w:rFonts w:ascii="David" w:eastAsia="Times New Roman" w:hAnsi="David" w:cs="David"/>
          <w:sz w:val="26"/>
          <w:szCs w:val="26"/>
          <w:rtl/>
        </w:rPr>
      </w:pPr>
    </w:p>
    <w:p w14:paraId="787D3698" w14:textId="76A45921" w:rsidR="00B10E47" w:rsidRDefault="00B10E47" w:rsidP="008D427A">
      <w:pPr>
        <w:spacing w:beforeLines="120" w:before="288" w:afterLines="120" w:after="288" w:line="360" w:lineRule="auto"/>
        <w:ind w:left="84"/>
        <w:jc w:val="both"/>
        <w:rPr>
          <w:rFonts w:ascii="David" w:eastAsia="Times New Roman" w:hAnsi="David" w:cs="David"/>
          <w:sz w:val="26"/>
          <w:szCs w:val="26"/>
          <w:rtl/>
        </w:rPr>
      </w:pPr>
    </w:p>
    <w:p w14:paraId="19FC4731" w14:textId="7E43F48B" w:rsidR="00B10E47" w:rsidRDefault="00B10E47" w:rsidP="008D427A">
      <w:pPr>
        <w:spacing w:beforeLines="120" w:before="288" w:afterLines="120" w:after="288" w:line="360" w:lineRule="auto"/>
        <w:ind w:left="84"/>
        <w:jc w:val="both"/>
        <w:rPr>
          <w:rFonts w:ascii="David" w:eastAsia="Times New Roman" w:hAnsi="David" w:cs="David"/>
          <w:sz w:val="26"/>
          <w:szCs w:val="26"/>
          <w:rtl/>
        </w:rPr>
      </w:pPr>
    </w:p>
    <w:p w14:paraId="10097F38" w14:textId="77777777" w:rsidR="00B10E47" w:rsidRDefault="00B10E47" w:rsidP="008D427A">
      <w:pPr>
        <w:spacing w:beforeLines="120" w:before="288" w:afterLines="120" w:after="288" w:line="360" w:lineRule="auto"/>
        <w:ind w:left="84"/>
        <w:jc w:val="both"/>
        <w:rPr>
          <w:rFonts w:ascii="David" w:eastAsia="Times New Roman" w:hAnsi="David" w:cs="David"/>
          <w:sz w:val="26"/>
          <w:szCs w:val="26"/>
        </w:rPr>
      </w:pPr>
    </w:p>
    <w:p w14:paraId="3DF8100C" w14:textId="4BD914CE" w:rsidR="003B5CBB" w:rsidRDefault="003C03BC" w:rsidP="00D319A4">
      <w:pPr>
        <w:numPr>
          <w:ilvl w:val="0"/>
          <w:numId w:val="1"/>
        </w:numPr>
        <w:tabs>
          <w:tab w:val="clear" w:pos="720"/>
        </w:tabs>
        <w:spacing w:beforeLines="120" w:before="288" w:afterLines="120" w:after="288" w:line="360" w:lineRule="auto"/>
        <w:ind w:left="84" w:hanging="567"/>
        <w:jc w:val="both"/>
        <w:rPr>
          <w:rFonts w:ascii="David" w:eastAsia="Times New Roman" w:hAnsi="David" w:cs="David"/>
          <w:sz w:val="26"/>
          <w:szCs w:val="26"/>
          <w:rtl/>
        </w:rPr>
      </w:pPr>
      <w:r>
        <w:rPr>
          <w:rFonts w:ascii="David" w:eastAsia="Times New Roman" w:hAnsi="David" w:cs="David" w:hint="cs"/>
          <w:sz w:val="26"/>
          <w:szCs w:val="26"/>
          <w:rtl/>
        </w:rPr>
        <w:lastRenderedPageBreak/>
        <w:t xml:space="preserve">בהתאם לשומת </w:t>
      </w:r>
      <w:r w:rsidR="008D427A">
        <w:rPr>
          <w:rFonts w:ascii="David" w:eastAsia="Times New Roman" w:hAnsi="David" w:cs="David" w:hint="cs"/>
          <w:sz w:val="26"/>
          <w:szCs w:val="26"/>
          <w:rtl/>
        </w:rPr>
        <w:t>החברות</w:t>
      </w:r>
      <w:r>
        <w:rPr>
          <w:rFonts w:ascii="David" w:eastAsia="Times New Roman" w:hAnsi="David" w:cs="David" w:hint="cs"/>
          <w:sz w:val="26"/>
          <w:szCs w:val="26"/>
          <w:rtl/>
        </w:rPr>
        <w:t xml:space="preserve"> היטל ההשבחה, כדלקמן:</w:t>
      </w:r>
    </w:p>
    <w:p w14:paraId="0D9FE33D" w14:textId="103EEDB4" w:rsidR="003C03BC" w:rsidRDefault="003C03BC" w:rsidP="003B5CBB">
      <w:pPr>
        <w:spacing w:beforeLines="120" w:before="288" w:afterLines="120" w:after="288" w:line="360" w:lineRule="auto"/>
        <w:ind w:left="360"/>
        <w:jc w:val="both"/>
        <w:rPr>
          <w:rFonts w:ascii="David" w:eastAsia="Times New Roman" w:hAnsi="David" w:cs="David"/>
          <w:sz w:val="26"/>
          <w:szCs w:val="26"/>
          <w:rtl/>
        </w:rPr>
      </w:pPr>
      <w:r w:rsidRPr="003C03BC">
        <w:rPr>
          <w:rFonts w:ascii="David" w:eastAsia="Times New Roman" w:hAnsi="David" w:cs="David"/>
          <w:noProof/>
          <w:sz w:val="26"/>
          <w:szCs w:val="26"/>
          <w:rtl/>
        </w:rPr>
        <w:drawing>
          <wp:inline distT="0" distB="0" distL="0" distR="0" wp14:anchorId="1C021E44" wp14:editId="144AAF97">
            <wp:extent cx="5274310" cy="1589405"/>
            <wp:effectExtent l="0" t="0" r="2540" b="0"/>
            <wp:docPr id="4" name="תמונה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274310" cy="1589405"/>
                    </a:xfrm>
                    <a:prstGeom prst="rect">
                      <a:avLst/>
                    </a:prstGeom>
                  </pic:spPr>
                </pic:pic>
              </a:graphicData>
            </a:graphic>
          </wp:inline>
        </w:drawing>
      </w:r>
    </w:p>
    <w:p w14:paraId="5931CE8F" w14:textId="36847253" w:rsidR="003C03BC" w:rsidRDefault="003C03BC" w:rsidP="00D319A4">
      <w:pPr>
        <w:numPr>
          <w:ilvl w:val="0"/>
          <w:numId w:val="1"/>
        </w:numPr>
        <w:tabs>
          <w:tab w:val="clear" w:pos="720"/>
        </w:tabs>
        <w:spacing w:beforeLines="120" w:before="288" w:afterLines="120" w:after="288" w:line="360" w:lineRule="auto"/>
        <w:ind w:left="84" w:hanging="567"/>
        <w:jc w:val="both"/>
        <w:rPr>
          <w:rFonts w:ascii="David" w:eastAsia="Times New Roman" w:hAnsi="David" w:cs="David"/>
          <w:sz w:val="26"/>
          <w:szCs w:val="26"/>
          <w:rtl/>
        </w:rPr>
      </w:pPr>
      <w:r>
        <w:rPr>
          <w:rFonts w:ascii="David" w:eastAsia="Times New Roman" w:hAnsi="David" w:cs="David" w:hint="cs"/>
          <w:sz w:val="26"/>
          <w:szCs w:val="26"/>
          <w:rtl/>
        </w:rPr>
        <w:t>בשומה המכרעת נקבע כך:</w:t>
      </w:r>
    </w:p>
    <w:p w14:paraId="12229E0A" w14:textId="12D1EA2E" w:rsidR="00121B7B" w:rsidRDefault="00121B7B" w:rsidP="003B5CBB">
      <w:pPr>
        <w:spacing w:beforeLines="120" w:before="288" w:afterLines="120" w:after="288" w:line="360" w:lineRule="auto"/>
        <w:ind w:left="360"/>
        <w:jc w:val="both"/>
        <w:rPr>
          <w:rFonts w:ascii="David" w:eastAsia="Times New Roman" w:hAnsi="David" w:cs="David"/>
          <w:sz w:val="26"/>
          <w:szCs w:val="26"/>
          <w:rtl/>
        </w:rPr>
      </w:pPr>
      <w:r w:rsidRPr="00121B7B">
        <w:rPr>
          <w:rFonts w:ascii="David" w:eastAsia="Times New Roman" w:hAnsi="David" w:cs="David"/>
          <w:noProof/>
          <w:sz w:val="26"/>
          <w:szCs w:val="26"/>
          <w:rtl/>
        </w:rPr>
        <w:drawing>
          <wp:inline distT="0" distB="0" distL="0" distR="0" wp14:anchorId="50C45937" wp14:editId="0720DD2E">
            <wp:extent cx="5274310" cy="2312670"/>
            <wp:effectExtent l="0" t="0" r="2540" b="0"/>
            <wp:docPr id="5"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274310" cy="2312670"/>
                    </a:xfrm>
                    <a:prstGeom prst="rect">
                      <a:avLst/>
                    </a:prstGeom>
                  </pic:spPr>
                </pic:pic>
              </a:graphicData>
            </a:graphic>
          </wp:inline>
        </w:drawing>
      </w:r>
    </w:p>
    <w:p w14:paraId="1A11B098" w14:textId="5C56D59C" w:rsidR="00121B7B" w:rsidRPr="0069496D" w:rsidRDefault="00121B7B" w:rsidP="00D319A4">
      <w:pPr>
        <w:numPr>
          <w:ilvl w:val="0"/>
          <w:numId w:val="1"/>
        </w:numPr>
        <w:tabs>
          <w:tab w:val="clear" w:pos="720"/>
        </w:tabs>
        <w:spacing w:beforeLines="120" w:before="288" w:afterLines="120" w:after="288" w:line="360" w:lineRule="auto"/>
        <w:ind w:left="84" w:hanging="567"/>
        <w:jc w:val="both"/>
        <w:rPr>
          <w:rFonts w:ascii="David" w:eastAsia="Times New Roman" w:hAnsi="David" w:cs="David"/>
          <w:sz w:val="26"/>
          <w:szCs w:val="26"/>
        </w:rPr>
      </w:pPr>
      <w:r>
        <w:rPr>
          <w:rFonts w:ascii="David" w:eastAsia="Times New Roman" w:hAnsi="David" w:cs="David" w:hint="cs"/>
          <w:sz w:val="26"/>
          <w:szCs w:val="26"/>
          <w:rtl/>
        </w:rPr>
        <w:t>העררים שבפנינו הוגשו כנגד קביעות השמאי המכריע בשומות אלה.</w:t>
      </w:r>
    </w:p>
    <w:p w14:paraId="2AD6EE36" w14:textId="77777777" w:rsidR="0069496D" w:rsidRPr="00254148" w:rsidRDefault="0069496D" w:rsidP="00DF0498">
      <w:pPr>
        <w:spacing w:beforeLines="120" w:before="288" w:afterLines="120" w:after="288" w:line="360" w:lineRule="auto"/>
        <w:jc w:val="both"/>
        <w:outlineLvl w:val="1"/>
        <w:rPr>
          <w:rFonts w:ascii="David" w:eastAsia="Times New Roman" w:hAnsi="David" w:cs="David"/>
          <w:b/>
          <w:bCs/>
          <w:sz w:val="30"/>
          <w:szCs w:val="30"/>
          <w:u w:val="single"/>
        </w:rPr>
      </w:pPr>
      <w:r w:rsidRPr="00254148">
        <w:rPr>
          <w:rFonts w:ascii="David" w:eastAsia="Times New Roman" w:hAnsi="David" w:cs="David"/>
          <w:b/>
          <w:bCs/>
          <w:sz w:val="30"/>
          <w:szCs w:val="30"/>
          <w:u w:val="single"/>
          <w:rtl/>
        </w:rPr>
        <w:t>היקף ההתערבות בשומה מכרעת</w:t>
      </w:r>
    </w:p>
    <w:p w14:paraId="4E0A69E7" w14:textId="2A72BF9F" w:rsidR="00917625" w:rsidRDefault="00917625" w:rsidP="00D319A4">
      <w:pPr>
        <w:numPr>
          <w:ilvl w:val="0"/>
          <w:numId w:val="1"/>
        </w:numPr>
        <w:tabs>
          <w:tab w:val="clear" w:pos="720"/>
        </w:tabs>
        <w:spacing w:beforeLines="120" w:before="288" w:afterLines="120" w:after="288" w:line="360" w:lineRule="auto"/>
        <w:ind w:left="84" w:hanging="567"/>
        <w:jc w:val="both"/>
        <w:rPr>
          <w:rFonts w:ascii="David" w:eastAsia="Times New Roman" w:hAnsi="David" w:cs="David"/>
          <w:sz w:val="26"/>
          <w:szCs w:val="26"/>
        </w:rPr>
      </w:pPr>
      <w:r>
        <w:rPr>
          <w:rFonts w:ascii="David" w:eastAsia="Times New Roman" w:hAnsi="David" w:cs="David"/>
          <w:sz w:val="26"/>
          <w:szCs w:val="26"/>
          <w:rtl/>
        </w:rPr>
        <w:t xml:space="preserve">עררים אלה, ככל העררים המוגשים על שומת שמאי מכריע, נדונים על ידינו בהתאם לאמות המידה המצמצמות להתערבות שנקבעו בבר"ם 3644/13 </w:t>
      </w:r>
      <w:r w:rsidRPr="00B52B5B">
        <w:rPr>
          <w:rFonts w:ascii="David" w:hAnsi="David" w:cs="David"/>
          <w:b/>
          <w:bCs/>
          <w:sz w:val="26"/>
          <w:szCs w:val="26"/>
          <w:rtl/>
        </w:rPr>
        <w:t>משרד התחבורה נ' גלר דוד ואארורה ואח'</w:t>
      </w:r>
      <w:r>
        <w:rPr>
          <w:rFonts w:ascii="David" w:eastAsia="Times New Roman" w:hAnsi="David" w:cs="David"/>
          <w:sz w:val="26"/>
          <w:szCs w:val="26"/>
          <w:rtl/>
        </w:rPr>
        <w:t xml:space="preserve"> (נבו, 23.4.2014): "</w:t>
      </w:r>
      <w:r w:rsidRPr="00B52B5B">
        <w:rPr>
          <w:rFonts w:ascii="David" w:hAnsi="David" w:cs="David"/>
          <w:b/>
          <w:bCs/>
          <w:sz w:val="26"/>
          <w:szCs w:val="26"/>
          <w:rtl/>
        </w:rPr>
        <w:t>ועדת הערר תיטה לאמץ את חוות דעתו של השמאי וככלל התערבותה תוגבל למקרים שבהם נפלה בה טעות מהותית או דופי חמור</w:t>
      </w:r>
      <w:r w:rsidRPr="00B52B5B">
        <w:rPr>
          <w:rFonts w:ascii="David" w:eastAsia="Times New Roman" w:hAnsi="David" w:cs="David"/>
          <w:b/>
          <w:bCs/>
          <w:sz w:val="26"/>
          <w:szCs w:val="26"/>
          <w:rtl/>
        </w:rPr>
        <w:t>. [...]</w:t>
      </w:r>
      <w:r w:rsidRPr="00B52B5B">
        <w:rPr>
          <w:rFonts w:ascii="David" w:hAnsi="David" w:cs="David"/>
          <w:b/>
          <w:bCs/>
          <w:sz w:val="26"/>
          <w:szCs w:val="26"/>
          <w:rtl/>
        </w:rPr>
        <w:t xml:space="preserve"> כך</w:t>
      </w:r>
      <w:r w:rsidRPr="00B52B5B">
        <w:rPr>
          <w:rFonts w:ascii="David" w:eastAsia="Times New Roman" w:hAnsi="David" w:cs="David"/>
          <w:b/>
          <w:bCs/>
          <w:sz w:val="26"/>
          <w:szCs w:val="26"/>
          <w:rtl/>
        </w:rPr>
        <w:t>,</w:t>
      </w:r>
      <w:r w:rsidRPr="00B52B5B">
        <w:rPr>
          <w:rFonts w:ascii="David" w:hAnsi="David" w:cs="David"/>
          <w:b/>
          <w:bCs/>
          <w:sz w:val="26"/>
          <w:szCs w:val="26"/>
          <w:rtl/>
        </w:rPr>
        <w:t xml:space="preserve"> למשל, ועדת הערר תיטה לאמץ את שיקול דעתו של השמאי אם מסקנותיו הושתתו על שיטה שמאית מקובלת ועל מסד עובדתי הולם, וזאת אף אם קיימות גישות מקצועיות שונות בשאלה שבמחלוקת</w:t>
      </w:r>
      <w:r>
        <w:rPr>
          <w:rFonts w:ascii="David" w:eastAsia="Times New Roman" w:hAnsi="David" w:cs="David"/>
          <w:sz w:val="26"/>
          <w:szCs w:val="26"/>
          <w:rtl/>
        </w:rPr>
        <w:t>". (ההדגשות אינן במקור)</w:t>
      </w:r>
    </w:p>
    <w:p w14:paraId="0F2DFBC6" w14:textId="77777777" w:rsidR="00D578D5" w:rsidRPr="00917625" w:rsidRDefault="00D578D5" w:rsidP="00D578D5">
      <w:pPr>
        <w:spacing w:beforeLines="120" w:before="288" w:afterLines="120" w:after="288" w:line="360" w:lineRule="auto"/>
        <w:ind w:left="84"/>
        <w:jc w:val="both"/>
        <w:rPr>
          <w:rFonts w:ascii="David" w:eastAsia="Times New Roman" w:hAnsi="David" w:cs="David"/>
          <w:sz w:val="26"/>
          <w:szCs w:val="26"/>
          <w:rtl/>
        </w:rPr>
      </w:pPr>
    </w:p>
    <w:p w14:paraId="57360872" w14:textId="2ED40AAA" w:rsidR="00917625" w:rsidRPr="00917625" w:rsidRDefault="00917625" w:rsidP="00D319A4">
      <w:pPr>
        <w:numPr>
          <w:ilvl w:val="0"/>
          <w:numId w:val="1"/>
        </w:numPr>
        <w:tabs>
          <w:tab w:val="clear" w:pos="720"/>
        </w:tabs>
        <w:spacing w:beforeLines="120" w:before="288" w:afterLines="120" w:after="288" w:line="360" w:lineRule="auto"/>
        <w:ind w:left="84" w:hanging="567"/>
        <w:jc w:val="both"/>
        <w:rPr>
          <w:rFonts w:ascii="David" w:eastAsia="Times New Roman" w:hAnsi="David" w:cs="David"/>
          <w:sz w:val="26"/>
          <w:szCs w:val="26"/>
          <w:rtl/>
        </w:rPr>
      </w:pPr>
      <w:r>
        <w:rPr>
          <w:rFonts w:ascii="David" w:eastAsia="Times New Roman" w:hAnsi="David" w:cs="David"/>
          <w:sz w:val="26"/>
          <w:szCs w:val="26"/>
          <w:rtl/>
        </w:rPr>
        <w:lastRenderedPageBreak/>
        <w:t xml:space="preserve">דברים אלה נכונים במיוחד ביחס לקביעת מקדמי התאמה, המצויה בליבת המלאכה השמאית. בעמ"נ (חי') 58356-02-25 </w:t>
      </w:r>
      <w:r w:rsidRPr="009E16A0">
        <w:rPr>
          <w:rFonts w:ascii="David" w:eastAsia="Times New Roman" w:hAnsi="David" w:cs="David"/>
          <w:b/>
          <w:bCs/>
          <w:sz w:val="26"/>
          <w:szCs w:val="26"/>
          <w:rtl/>
        </w:rPr>
        <w:t>י.א. טאוורס החזקות ויזמות בע"מ נ' הוועדה המקומית לתכנון ובניה חדרה</w:t>
      </w:r>
      <w:r>
        <w:rPr>
          <w:rFonts w:ascii="David" w:eastAsia="Times New Roman" w:hAnsi="David" w:cs="David"/>
          <w:sz w:val="26"/>
          <w:szCs w:val="26"/>
          <w:rtl/>
        </w:rPr>
        <w:t xml:space="preserve"> (נבו, 2</w:t>
      </w:r>
      <w:r w:rsidR="00B931E2">
        <w:rPr>
          <w:rFonts w:ascii="David" w:eastAsia="Times New Roman" w:hAnsi="David" w:cs="David" w:hint="cs"/>
          <w:sz w:val="26"/>
          <w:szCs w:val="26"/>
          <w:rtl/>
        </w:rPr>
        <w:t>2</w:t>
      </w:r>
      <w:r>
        <w:rPr>
          <w:rFonts w:ascii="David" w:eastAsia="Times New Roman" w:hAnsi="David" w:cs="David"/>
          <w:sz w:val="26"/>
          <w:szCs w:val="26"/>
          <w:rtl/>
        </w:rPr>
        <w:t>.12.2025) נקבע: "</w:t>
      </w:r>
      <w:r w:rsidRPr="00B52B5B">
        <w:rPr>
          <w:rFonts w:ascii="David" w:hAnsi="David" w:cs="David"/>
          <w:b/>
          <w:bCs/>
          <w:sz w:val="26"/>
          <w:szCs w:val="26"/>
          <w:rtl/>
        </w:rPr>
        <w:t>בשים לב לכך שקביעת המקדם הינה כאמור עניין מובהק של שיקול דעת שמאי, קיימת גם אפשרות בלתי מבוטלת לכך שעל בסיס אותן עובדות רלוונטיות, שמאים שונים יגיעו למסקנות שונות</w:t>
      </w:r>
      <w:r>
        <w:rPr>
          <w:rFonts w:ascii="David" w:eastAsia="Times New Roman" w:hAnsi="David" w:cs="David"/>
          <w:sz w:val="26"/>
          <w:szCs w:val="26"/>
          <w:rtl/>
        </w:rPr>
        <w:t>".</w:t>
      </w:r>
      <w:r w:rsidR="009E16A0">
        <w:rPr>
          <w:rFonts w:ascii="David" w:eastAsia="Times New Roman" w:hAnsi="David" w:cs="David" w:hint="cs"/>
          <w:sz w:val="26"/>
          <w:szCs w:val="26"/>
          <w:rtl/>
        </w:rPr>
        <w:t xml:space="preserve"> בית המשפט אף חזר על פסקי הדין המורים כי: "</w:t>
      </w:r>
      <w:r w:rsidR="009E16A0" w:rsidRPr="00B52B5B">
        <w:rPr>
          <w:rFonts w:ascii="David" w:eastAsia="Times New Roman" w:hAnsi="David" w:cs="David"/>
          <w:b/>
          <w:bCs/>
          <w:sz w:val="26"/>
          <w:szCs w:val="26"/>
          <w:rtl/>
        </w:rPr>
        <w:t>קביעת מקדם היא עניין שמאי מובהק</w:t>
      </w:r>
      <w:r w:rsidR="009E16A0">
        <w:rPr>
          <w:rFonts w:ascii="David" w:eastAsia="Times New Roman" w:hAnsi="David" w:cs="David" w:hint="cs"/>
          <w:sz w:val="26"/>
          <w:szCs w:val="26"/>
          <w:rtl/>
        </w:rPr>
        <w:t>".</w:t>
      </w:r>
    </w:p>
    <w:p w14:paraId="6F2D8E3A" w14:textId="1702B1BA" w:rsidR="0069496D" w:rsidRPr="0069496D" w:rsidRDefault="00917625" w:rsidP="00D319A4">
      <w:pPr>
        <w:numPr>
          <w:ilvl w:val="0"/>
          <w:numId w:val="1"/>
        </w:numPr>
        <w:tabs>
          <w:tab w:val="clear" w:pos="720"/>
        </w:tabs>
        <w:spacing w:beforeLines="120" w:before="288" w:afterLines="120" w:after="288" w:line="360" w:lineRule="auto"/>
        <w:ind w:left="84" w:hanging="567"/>
        <w:jc w:val="both"/>
        <w:rPr>
          <w:rFonts w:ascii="David" w:eastAsia="Times New Roman" w:hAnsi="David" w:cs="David"/>
          <w:sz w:val="26"/>
          <w:szCs w:val="26"/>
        </w:rPr>
      </w:pPr>
      <w:r>
        <w:rPr>
          <w:rFonts w:ascii="David" w:eastAsia="Times New Roman" w:hAnsi="David" w:cs="David"/>
          <w:sz w:val="26"/>
          <w:szCs w:val="26"/>
          <w:rtl/>
        </w:rPr>
        <w:t>בהתאם לאמור, ככל שטענות בעניין מקדמי התאמה אינן מושתתות על טענה משפטית, אלא על שיטה שמאית או על עניין שבמומחיות, לא נתערב בהן. ועדת הערר אינה אמורה להחליף את שיקול דעתו של השמאי המכריע בשיקול דעתה רק משום שניתן היה לנקוט גישה שמאית אחרת. ההתערבות שמורה למקרים שבהם מתעורר קושי מהותי, כגון הסתמכות על מסד עובדתי בלתי הולם, הנחות שאינן מוסברות או שאינן מתיישבות זו עם זו, תשתית משפטית חסרה או שגויה, או היעדר הנמקה המאפשרת לבקר את ההכרעה.</w:t>
      </w:r>
    </w:p>
    <w:p w14:paraId="41B63464" w14:textId="77777777" w:rsidR="0069496D" w:rsidRPr="0069496D" w:rsidRDefault="0069496D" w:rsidP="00D319A4">
      <w:pPr>
        <w:numPr>
          <w:ilvl w:val="0"/>
          <w:numId w:val="1"/>
        </w:numPr>
        <w:tabs>
          <w:tab w:val="clear" w:pos="720"/>
        </w:tabs>
        <w:spacing w:beforeLines="120" w:before="288" w:afterLines="120" w:after="288" w:line="360" w:lineRule="auto"/>
        <w:ind w:left="84" w:hanging="567"/>
        <w:jc w:val="both"/>
        <w:rPr>
          <w:rFonts w:ascii="David" w:eastAsia="Times New Roman" w:hAnsi="David" w:cs="David"/>
          <w:sz w:val="26"/>
          <w:szCs w:val="26"/>
        </w:rPr>
      </w:pPr>
      <w:r w:rsidRPr="0069496D">
        <w:rPr>
          <w:rFonts w:ascii="David" w:eastAsia="Times New Roman" w:hAnsi="David" w:cs="David"/>
          <w:sz w:val="26"/>
          <w:szCs w:val="26"/>
          <w:rtl/>
        </w:rPr>
        <w:t>לצד זאת, מקום שבו לא ניתן להבין בבירור את הנתונים ששימשו בסיס להכרעה, את ההתאמות שנערכו או את היחס בין חלקים שונים בשומה, רשאית ועדת הערר להשיב את העניין לשמאי המכריע לצורך הבהרה ובדיקה נוספת. השבה כאמור אינה מבטאת, כשלעצמה, קביעה כי יש לבטל את השומה או כי יש להעדיף את עמדתו השמאית של אחד הצדדים</w:t>
      </w:r>
      <w:r w:rsidRPr="0069496D">
        <w:rPr>
          <w:rFonts w:ascii="David" w:eastAsia="Times New Roman" w:hAnsi="David" w:cs="David"/>
          <w:sz w:val="26"/>
          <w:szCs w:val="26"/>
        </w:rPr>
        <w:t>.</w:t>
      </w:r>
    </w:p>
    <w:p w14:paraId="2224CD53" w14:textId="5999AD1B" w:rsidR="00141123" w:rsidRPr="00141123" w:rsidRDefault="0069496D" w:rsidP="00D319A4">
      <w:pPr>
        <w:numPr>
          <w:ilvl w:val="0"/>
          <w:numId w:val="1"/>
        </w:numPr>
        <w:tabs>
          <w:tab w:val="clear" w:pos="720"/>
        </w:tabs>
        <w:spacing w:beforeLines="120" w:before="288" w:afterLines="120" w:after="288" w:line="360" w:lineRule="auto"/>
        <w:ind w:left="84" w:hanging="567"/>
        <w:jc w:val="both"/>
        <w:rPr>
          <w:rFonts w:ascii="David" w:eastAsia="Times New Roman" w:hAnsi="David" w:cs="David"/>
          <w:sz w:val="26"/>
          <w:szCs w:val="26"/>
        </w:rPr>
      </w:pPr>
      <w:r>
        <w:rPr>
          <w:rFonts w:ascii="David" w:eastAsia="Times New Roman" w:hAnsi="David" w:cs="David"/>
          <w:b/>
          <w:bCs/>
          <w:sz w:val="26"/>
          <w:szCs w:val="26"/>
          <w:rtl/>
        </w:rPr>
        <w:t>לאחר ששמענו את טענות הצדדים, אנו סבורים כי רוב טענות העררים נדחות. בשתי סוגיות נדרשות הבהרה ובדיקה נוספת, כמפורט להלן.</w:t>
      </w:r>
    </w:p>
    <w:p w14:paraId="0604BAC5" w14:textId="64D39447" w:rsidR="0069496D" w:rsidRPr="0069496D" w:rsidRDefault="0069496D" w:rsidP="00D319A4">
      <w:pPr>
        <w:numPr>
          <w:ilvl w:val="0"/>
          <w:numId w:val="1"/>
        </w:numPr>
        <w:tabs>
          <w:tab w:val="clear" w:pos="720"/>
        </w:tabs>
        <w:spacing w:beforeLines="120" w:before="288" w:afterLines="120" w:after="288" w:line="360" w:lineRule="auto"/>
        <w:ind w:left="84" w:hanging="567"/>
        <w:jc w:val="both"/>
        <w:rPr>
          <w:rFonts w:ascii="David" w:eastAsia="Times New Roman" w:hAnsi="David" w:cs="David"/>
          <w:sz w:val="26"/>
          <w:szCs w:val="26"/>
        </w:rPr>
      </w:pPr>
      <w:r>
        <w:rPr>
          <w:rFonts w:ascii="David" w:eastAsia="Times New Roman" w:hAnsi="David" w:cs="David"/>
          <w:sz w:val="26"/>
          <w:szCs w:val="26"/>
          <w:rtl/>
        </w:rPr>
        <w:t xml:space="preserve">ההבהרות נדרשות כדי שניתן יהיה לעמוד על מלוא דרך הילוכו של השמאי המכריע. ככל שהחסר הוא בהנמקה בלבד, ניתן יהיה להשלימו במסגרת הבהרותיו. </w:t>
      </w:r>
      <w:r w:rsidRPr="00D319A4">
        <w:rPr>
          <w:rFonts w:ascii="David" w:eastAsia="Times New Roman" w:hAnsi="David" w:cs="David"/>
          <w:sz w:val="26"/>
          <w:szCs w:val="26"/>
          <w:rtl/>
        </w:rPr>
        <w:t>אין בעצם הפניית השאלות שלהלן משום הבעת עמדה סופית באשר לנכונות השומה או לצורך בתיקונה</w:t>
      </w:r>
      <w:r>
        <w:rPr>
          <w:rFonts w:ascii="David" w:eastAsia="Times New Roman" w:hAnsi="David" w:cs="David"/>
          <w:sz w:val="26"/>
          <w:szCs w:val="26"/>
          <w:rtl/>
        </w:rPr>
        <w:t>.</w:t>
      </w:r>
    </w:p>
    <w:p w14:paraId="7430EBCF" w14:textId="13D363BB" w:rsidR="00AF7B29" w:rsidRDefault="00AF7B29" w:rsidP="00AF7B29">
      <w:pPr>
        <w:spacing w:beforeLines="120" w:before="288" w:afterLines="120" w:after="288" w:line="360" w:lineRule="auto"/>
        <w:jc w:val="both"/>
        <w:rPr>
          <w:rFonts w:ascii="David" w:eastAsia="Times New Roman" w:hAnsi="David" w:cs="David"/>
          <w:sz w:val="26"/>
          <w:szCs w:val="26"/>
          <w:rtl/>
        </w:rPr>
      </w:pPr>
    </w:p>
    <w:p w14:paraId="2D5892D5" w14:textId="77777777" w:rsidR="0069496D" w:rsidRPr="00BD0F25" w:rsidRDefault="0069496D" w:rsidP="00DF0498">
      <w:pPr>
        <w:spacing w:beforeLines="120" w:before="288" w:afterLines="120" w:after="288" w:line="360" w:lineRule="auto"/>
        <w:jc w:val="both"/>
        <w:outlineLvl w:val="1"/>
        <w:rPr>
          <w:rFonts w:ascii="David" w:eastAsia="Times New Roman" w:hAnsi="David" w:cs="David"/>
          <w:b/>
          <w:bCs/>
          <w:sz w:val="28"/>
          <w:szCs w:val="28"/>
          <w:u w:val="single"/>
        </w:rPr>
      </w:pPr>
      <w:r w:rsidRPr="00BD0F25">
        <w:rPr>
          <w:rFonts w:ascii="David" w:eastAsia="Times New Roman" w:hAnsi="David" w:cs="David"/>
          <w:b/>
          <w:bCs/>
          <w:sz w:val="28"/>
          <w:szCs w:val="28"/>
          <w:u w:val="single"/>
          <w:rtl/>
        </w:rPr>
        <w:t>שווי זכויות המגורים</w:t>
      </w:r>
    </w:p>
    <w:p w14:paraId="3A05C780" w14:textId="7C7C4693" w:rsidR="0069496D" w:rsidRDefault="0069496D" w:rsidP="00D319A4">
      <w:pPr>
        <w:numPr>
          <w:ilvl w:val="0"/>
          <w:numId w:val="1"/>
        </w:numPr>
        <w:tabs>
          <w:tab w:val="clear" w:pos="720"/>
        </w:tabs>
        <w:spacing w:beforeLines="120" w:before="288" w:afterLines="120" w:after="288" w:line="360" w:lineRule="auto"/>
        <w:ind w:left="84" w:hanging="567"/>
        <w:jc w:val="both"/>
        <w:rPr>
          <w:rFonts w:ascii="David" w:eastAsia="Times New Roman" w:hAnsi="David" w:cs="David"/>
          <w:sz w:val="26"/>
          <w:szCs w:val="26"/>
        </w:rPr>
      </w:pPr>
      <w:r>
        <w:rPr>
          <w:rFonts w:ascii="David" w:eastAsia="Times New Roman" w:hAnsi="David" w:cs="David"/>
          <w:sz w:val="26"/>
          <w:szCs w:val="26"/>
          <w:rtl/>
        </w:rPr>
        <w:t xml:space="preserve">השמאי המכריע קבע את שווי זכויות המגורים, בין היתר, על יסוד עסקאות בשני פרויקטים באזור. כעולה מטענות הצדדים, בקבוצת נתונים אחת נבחנו דירות ששטחן הממוצע </w:t>
      </w:r>
      <w:r w:rsidR="00E2328B">
        <w:rPr>
          <w:rFonts w:ascii="David" w:eastAsia="Times New Roman" w:hAnsi="David" w:cs="David" w:hint="cs"/>
          <w:sz w:val="26"/>
          <w:szCs w:val="26"/>
          <w:rtl/>
        </w:rPr>
        <w:t xml:space="preserve">כ </w:t>
      </w:r>
      <w:r w:rsidR="00121C35">
        <w:rPr>
          <w:rFonts w:ascii="David" w:eastAsia="Times New Roman" w:hAnsi="David" w:cs="David" w:hint="cs"/>
          <w:sz w:val="26"/>
          <w:szCs w:val="26"/>
          <w:rtl/>
        </w:rPr>
        <w:t>-</w:t>
      </w:r>
      <w:r w:rsidR="00E2328B">
        <w:rPr>
          <w:rFonts w:ascii="David" w:eastAsia="Times New Roman" w:hAnsi="David" w:cs="David" w:hint="cs"/>
          <w:sz w:val="26"/>
          <w:szCs w:val="26"/>
          <w:rtl/>
        </w:rPr>
        <w:t xml:space="preserve"> </w:t>
      </w:r>
      <w:r w:rsidR="004D1E65">
        <w:rPr>
          <w:rFonts w:ascii="David" w:eastAsia="Times New Roman" w:hAnsi="David" w:cs="David" w:hint="cs"/>
          <w:sz w:val="26"/>
          <w:szCs w:val="26"/>
          <w:rtl/>
        </w:rPr>
        <w:t>104</w:t>
      </w:r>
      <w:r>
        <w:rPr>
          <w:rFonts w:ascii="David" w:eastAsia="Times New Roman" w:hAnsi="David" w:cs="David"/>
          <w:sz w:val="26"/>
          <w:szCs w:val="26"/>
          <w:rtl/>
        </w:rPr>
        <w:t xml:space="preserve"> מ"ר (עמוד 63 לשומה המכרעת), ואילו בקבוצת נתונים נוספת נבחנו דירות ששטחן הממוצע </w:t>
      </w:r>
      <w:r w:rsidR="00734A2A">
        <w:rPr>
          <w:rFonts w:ascii="David" w:eastAsia="Times New Roman" w:hAnsi="David" w:cs="David" w:hint="cs"/>
          <w:sz w:val="26"/>
          <w:szCs w:val="26"/>
          <w:rtl/>
        </w:rPr>
        <w:t xml:space="preserve">כ - </w:t>
      </w:r>
      <w:r w:rsidR="004D1E65">
        <w:rPr>
          <w:rFonts w:ascii="David" w:eastAsia="Times New Roman" w:hAnsi="David" w:cs="David" w:hint="cs"/>
          <w:sz w:val="26"/>
          <w:szCs w:val="26"/>
          <w:rtl/>
        </w:rPr>
        <w:t>115</w:t>
      </w:r>
      <w:r>
        <w:rPr>
          <w:rFonts w:ascii="David" w:eastAsia="Times New Roman" w:hAnsi="David" w:cs="David"/>
          <w:sz w:val="26"/>
          <w:szCs w:val="26"/>
          <w:rtl/>
        </w:rPr>
        <w:t xml:space="preserve"> מ"ר (טבלה ראשונה עמוד 64 לשומה, ראה הערות לטבלה), בעוד שהדירה הממוצעת בהתאם לתמהיל הקבוע בתכנית היא בשטח של </w:t>
      </w:r>
      <w:r w:rsidR="00F9369B">
        <w:rPr>
          <w:rFonts w:ascii="David" w:eastAsia="Times New Roman" w:hAnsi="David" w:cs="David" w:hint="cs"/>
          <w:sz w:val="26"/>
          <w:szCs w:val="26"/>
          <w:rtl/>
        </w:rPr>
        <w:t xml:space="preserve">כ </w:t>
      </w:r>
      <w:r w:rsidR="00F9369B">
        <w:rPr>
          <w:rFonts w:ascii="David" w:eastAsia="Times New Roman" w:hAnsi="David" w:cs="David"/>
          <w:sz w:val="26"/>
          <w:szCs w:val="26"/>
          <w:rtl/>
        </w:rPr>
        <w:t>–</w:t>
      </w:r>
      <w:r w:rsidR="00F9369B">
        <w:rPr>
          <w:rFonts w:ascii="David" w:eastAsia="Times New Roman" w:hAnsi="David" w:cs="David" w:hint="cs"/>
          <w:sz w:val="26"/>
          <w:szCs w:val="26"/>
          <w:rtl/>
        </w:rPr>
        <w:t xml:space="preserve"> 90</w:t>
      </w:r>
      <w:r>
        <w:rPr>
          <w:rFonts w:ascii="David" w:eastAsia="Times New Roman" w:hAnsi="David" w:cs="David"/>
          <w:sz w:val="26"/>
          <w:szCs w:val="26"/>
          <w:rtl/>
        </w:rPr>
        <w:t xml:space="preserve"> מ"ר (ראה המסקנה בעמוד 65 לשומה). אך הממוצע האמור משקף תמהיל של שטחי דירות מורכב יותר כך:</w:t>
      </w:r>
    </w:p>
    <w:p w14:paraId="486A514D" w14:textId="6DC25A4E" w:rsidR="00431020" w:rsidRPr="0069496D" w:rsidRDefault="00431020" w:rsidP="00DF0498">
      <w:pPr>
        <w:spacing w:beforeLines="120" w:before="288" w:afterLines="120" w:after="288" w:line="360" w:lineRule="auto"/>
        <w:ind w:left="360"/>
        <w:jc w:val="both"/>
        <w:rPr>
          <w:rFonts w:ascii="David" w:eastAsia="Times New Roman" w:hAnsi="David" w:cs="David"/>
          <w:sz w:val="26"/>
          <w:szCs w:val="26"/>
        </w:rPr>
      </w:pPr>
      <w:r w:rsidRPr="00431020">
        <w:rPr>
          <w:rFonts w:ascii="David" w:eastAsia="Times New Roman" w:hAnsi="David" w:cs="David"/>
          <w:noProof/>
          <w:sz w:val="26"/>
          <w:szCs w:val="26"/>
          <w:rtl/>
        </w:rPr>
        <w:lastRenderedPageBreak/>
        <w:drawing>
          <wp:inline distT="0" distB="0" distL="0" distR="0" wp14:anchorId="26D92D3E" wp14:editId="3B9C7D50">
            <wp:extent cx="5274310" cy="1313535"/>
            <wp:effectExtent l="0" t="0" r="2540" b="1270"/>
            <wp:docPr id="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74310" cy="1313535"/>
                    </a:xfrm>
                    <a:prstGeom prst="rect">
                      <a:avLst/>
                    </a:prstGeom>
                    <a:noFill/>
                    <a:ln>
                      <a:noFill/>
                    </a:ln>
                  </pic:spPr>
                </pic:pic>
              </a:graphicData>
            </a:graphic>
          </wp:inline>
        </w:drawing>
      </w:r>
    </w:p>
    <w:p w14:paraId="0AC35657" w14:textId="360A2B5C" w:rsidR="0069496D" w:rsidRPr="0069496D" w:rsidRDefault="007A3AEF" w:rsidP="00D319A4">
      <w:pPr>
        <w:numPr>
          <w:ilvl w:val="0"/>
          <w:numId w:val="1"/>
        </w:numPr>
        <w:tabs>
          <w:tab w:val="clear" w:pos="720"/>
        </w:tabs>
        <w:spacing w:beforeLines="120" w:before="288" w:afterLines="120" w:after="288" w:line="360" w:lineRule="auto"/>
        <w:ind w:left="84" w:hanging="567"/>
        <w:jc w:val="both"/>
        <w:rPr>
          <w:rFonts w:ascii="David" w:eastAsia="Times New Roman" w:hAnsi="David" w:cs="David"/>
          <w:sz w:val="26"/>
          <w:szCs w:val="26"/>
        </w:rPr>
      </w:pPr>
      <w:r>
        <w:rPr>
          <w:rFonts w:ascii="David" w:eastAsia="Times New Roman" w:hAnsi="David" w:cs="David" w:hint="cs"/>
          <w:sz w:val="26"/>
          <w:szCs w:val="26"/>
          <w:rtl/>
        </w:rPr>
        <w:t>הוועדה המקומית</w:t>
      </w:r>
      <w:r w:rsidR="0069496D" w:rsidRPr="0069496D">
        <w:rPr>
          <w:rFonts w:ascii="David" w:eastAsia="Times New Roman" w:hAnsi="David" w:cs="David"/>
          <w:sz w:val="26"/>
          <w:szCs w:val="26"/>
          <w:rtl/>
        </w:rPr>
        <w:t xml:space="preserve"> טענה כי בפני השמאי המכריע הוצגו עסקאות בדירות ששטחן קרוב לשטח הדירה הממוצעת על פי התכנית, וכי לא ניתן להבין מדוע לא נעשה בהן שימוש ישיר או מה היה המשקל שניתן להן. עוד נטען כי לא ברור מהן ההתאמות שבוצעו ביחס לשטחי הדירות, ובפרט אם וכיצד הובאה בחשבון האפשרות כי השווי הממוצע למ"ר בדירות גדולות מושפע משוליותם של חלק מן השטחים</w:t>
      </w:r>
      <w:r w:rsidR="0069496D" w:rsidRPr="0069496D">
        <w:rPr>
          <w:rFonts w:ascii="David" w:eastAsia="Times New Roman" w:hAnsi="David" w:cs="David"/>
          <w:sz w:val="26"/>
          <w:szCs w:val="26"/>
        </w:rPr>
        <w:t>.</w:t>
      </w:r>
    </w:p>
    <w:p w14:paraId="02D3FD1C" w14:textId="64489118" w:rsidR="0069496D" w:rsidRDefault="0069496D" w:rsidP="00D319A4">
      <w:pPr>
        <w:numPr>
          <w:ilvl w:val="0"/>
          <w:numId w:val="1"/>
        </w:numPr>
        <w:tabs>
          <w:tab w:val="clear" w:pos="720"/>
        </w:tabs>
        <w:spacing w:beforeLines="120" w:before="288" w:afterLines="120" w:after="288" w:line="360" w:lineRule="auto"/>
        <w:ind w:left="84" w:hanging="567"/>
        <w:jc w:val="both"/>
        <w:rPr>
          <w:rFonts w:ascii="David" w:eastAsia="Times New Roman" w:hAnsi="David" w:cs="David"/>
          <w:sz w:val="26"/>
          <w:szCs w:val="26"/>
        </w:rPr>
      </w:pPr>
      <w:r w:rsidRPr="0069496D">
        <w:rPr>
          <w:rFonts w:ascii="David" w:eastAsia="Times New Roman" w:hAnsi="David" w:cs="David"/>
          <w:sz w:val="26"/>
          <w:szCs w:val="26"/>
          <w:rtl/>
        </w:rPr>
        <w:t>המשיבות טענו מנגד כי השמאי המכריע בחן שתי קבוצות נתונים, ערך את ההתאמות המקצועיות שמצא לנכון והגיע באמצעותן לערכים דומים. לשיטתן, תוצאה זו מלמדת כי ההבדלים בשטחי הדירות לא השפיעו באופן מהותי על השווי, וכי מדובר בעניין המצוי בליבת שיקול דעתו המקצועי של השמאי המכריע</w:t>
      </w:r>
      <w:r w:rsidRPr="0069496D">
        <w:rPr>
          <w:rFonts w:ascii="David" w:eastAsia="Times New Roman" w:hAnsi="David" w:cs="David"/>
          <w:sz w:val="26"/>
          <w:szCs w:val="26"/>
        </w:rPr>
        <w:t>.</w:t>
      </w:r>
    </w:p>
    <w:p w14:paraId="4EF33B48" w14:textId="7CD4F5B7" w:rsidR="009211F4" w:rsidRPr="009211F4" w:rsidRDefault="009211F4" w:rsidP="007A3AEF">
      <w:pPr>
        <w:spacing w:beforeLines="120" w:before="288" w:afterLines="120" w:after="288" w:line="360" w:lineRule="auto"/>
        <w:jc w:val="both"/>
        <w:rPr>
          <w:rFonts w:ascii="David" w:eastAsia="Times New Roman" w:hAnsi="David" w:cs="David"/>
          <w:b/>
          <w:bCs/>
          <w:sz w:val="26"/>
          <w:szCs w:val="26"/>
          <w:u w:val="single"/>
        </w:rPr>
      </w:pPr>
      <w:r w:rsidRPr="009211F4">
        <w:rPr>
          <w:rFonts w:ascii="David" w:eastAsia="Times New Roman" w:hAnsi="David" w:cs="David" w:hint="cs"/>
          <w:b/>
          <w:bCs/>
          <w:sz w:val="26"/>
          <w:szCs w:val="26"/>
          <w:u w:val="single"/>
          <w:rtl/>
        </w:rPr>
        <w:t>דיון והכרעה</w:t>
      </w:r>
    </w:p>
    <w:p w14:paraId="19A1C2D0" w14:textId="3A01F6E6" w:rsidR="0069496D" w:rsidRPr="0069496D" w:rsidRDefault="0069496D" w:rsidP="00D319A4">
      <w:pPr>
        <w:numPr>
          <w:ilvl w:val="0"/>
          <w:numId w:val="1"/>
        </w:numPr>
        <w:tabs>
          <w:tab w:val="clear" w:pos="720"/>
        </w:tabs>
        <w:spacing w:beforeLines="120" w:before="288" w:afterLines="120" w:after="288" w:line="360" w:lineRule="auto"/>
        <w:ind w:left="84" w:hanging="567"/>
        <w:jc w:val="both"/>
        <w:rPr>
          <w:rFonts w:ascii="David" w:eastAsia="Times New Roman" w:hAnsi="David" w:cs="David"/>
          <w:sz w:val="26"/>
          <w:szCs w:val="26"/>
        </w:rPr>
      </w:pPr>
      <w:r w:rsidRPr="0069496D">
        <w:rPr>
          <w:rFonts w:ascii="David" w:eastAsia="Times New Roman" w:hAnsi="David" w:cs="David"/>
          <w:sz w:val="26"/>
          <w:szCs w:val="26"/>
          <w:rtl/>
        </w:rPr>
        <w:t>איננו קובעים בשלב זה כי היה על השמאי המכריע להסתמך דווקא על קבוצת עסקאות מסוימת, או כי היה עליו לקבוע מקדם שוליות בשיעור זה או אחר. עם זאת, קיים קושי להתחקות אחר היחס בין נתוני השטח השונים המופיעים בשומה, אחר שטח דירת הייחוס שאליו בוצעו ההתאמות ואחר האופן שבו השפיעו עסקאות בדירות גדולות יותר על התוצא</w:t>
      </w:r>
      <w:r w:rsidR="00807CC4">
        <w:rPr>
          <w:rFonts w:ascii="David" w:eastAsia="Times New Roman" w:hAnsi="David" w:cs="David" w:hint="cs"/>
          <w:sz w:val="26"/>
          <w:szCs w:val="26"/>
          <w:rtl/>
        </w:rPr>
        <w:t>ה של מגוון הדירות בתמהיל הקיים בפרויקט</w:t>
      </w:r>
      <w:r w:rsidRPr="0069496D">
        <w:rPr>
          <w:rFonts w:ascii="David" w:eastAsia="Times New Roman" w:hAnsi="David" w:cs="David"/>
          <w:sz w:val="26"/>
          <w:szCs w:val="26"/>
        </w:rPr>
        <w:t>.</w:t>
      </w:r>
    </w:p>
    <w:p w14:paraId="6DBB5C69" w14:textId="3F21CA2D" w:rsidR="0069496D" w:rsidRPr="0069496D" w:rsidRDefault="0069496D" w:rsidP="00D319A4">
      <w:pPr>
        <w:numPr>
          <w:ilvl w:val="0"/>
          <w:numId w:val="1"/>
        </w:numPr>
        <w:tabs>
          <w:tab w:val="clear" w:pos="720"/>
        </w:tabs>
        <w:spacing w:beforeLines="120" w:before="288" w:afterLines="120" w:after="288" w:line="360" w:lineRule="auto"/>
        <w:ind w:left="84" w:hanging="567"/>
        <w:jc w:val="both"/>
        <w:rPr>
          <w:rFonts w:ascii="David" w:eastAsia="Times New Roman" w:hAnsi="David" w:cs="David"/>
          <w:sz w:val="26"/>
          <w:szCs w:val="26"/>
        </w:rPr>
      </w:pPr>
      <w:r w:rsidRPr="0069496D">
        <w:rPr>
          <w:rFonts w:ascii="David" w:eastAsia="Times New Roman" w:hAnsi="David" w:cs="David"/>
          <w:sz w:val="26"/>
          <w:szCs w:val="26"/>
          <w:rtl/>
        </w:rPr>
        <w:t xml:space="preserve">בהקשר זה נזכיר כי בגישת ההשוואה אין די בהצגת מקבץ עסקאות ובחישוב תוצאה ממוצעת. יש לבחון אם הנכסים שנכללו במקבץ אכן בני השוואה לנכס הנישום, וככל שקיימים ביניהם הבדלים מהותיים </w:t>
      </w:r>
      <w:r w:rsidR="007B4CAD">
        <w:rPr>
          <w:rFonts w:ascii="David" w:eastAsia="Times New Roman" w:hAnsi="David" w:cs="David" w:hint="cs"/>
          <w:sz w:val="26"/>
          <w:szCs w:val="26"/>
          <w:rtl/>
        </w:rPr>
        <w:t>-</w:t>
      </w:r>
      <w:r w:rsidRPr="0069496D">
        <w:rPr>
          <w:rFonts w:ascii="David" w:eastAsia="Times New Roman" w:hAnsi="David" w:cs="David"/>
          <w:sz w:val="26"/>
          <w:szCs w:val="26"/>
          <w:rtl/>
        </w:rPr>
        <w:t xml:space="preserve"> לרבות בהיבט הגודל</w:t>
      </w:r>
      <w:r w:rsidR="00850C5F">
        <w:rPr>
          <w:rFonts w:ascii="David" w:eastAsia="Times New Roman" w:hAnsi="David" w:cs="David" w:hint="cs"/>
          <w:sz w:val="26"/>
          <w:szCs w:val="26"/>
          <w:rtl/>
        </w:rPr>
        <w:t>/שטח הדירה</w:t>
      </w:r>
      <w:r w:rsidR="007B4CAD">
        <w:rPr>
          <w:rFonts w:ascii="David" w:eastAsia="Times New Roman" w:hAnsi="David" w:cs="David" w:hint="cs"/>
          <w:sz w:val="26"/>
          <w:szCs w:val="26"/>
          <w:rtl/>
        </w:rPr>
        <w:t xml:space="preserve"> -</w:t>
      </w:r>
      <w:r w:rsidRPr="0069496D">
        <w:rPr>
          <w:rFonts w:ascii="David" w:eastAsia="Times New Roman" w:hAnsi="David" w:cs="David"/>
          <w:sz w:val="26"/>
          <w:szCs w:val="26"/>
          <w:rtl/>
        </w:rPr>
        <w:t xml:space="preserve"> יש להבהיר אם נערכו בגינם התאמות ומה טיבן</w:t>
      </w:r>
      <w:r w:rsidRPr="0069496D">
        <w:rPr>
          <w:rFonts w:ascii="David" w:eastAsia="Times New Roman" w:hAnsi="David" w:cs="David"/>
          <w:sz w:val="26"/>
          <w:szCs w:val="26"/>
        </w:rPr>
        <w:t>.</w:t>
      </w:r>
      <w:r w:rsidR="002F0D45">
        <w:rPr>
          <w:rFonts w:ascii="David" w:eastAsia="Times New Roman" w:hAnsi="David" w:cs="David" w:hint="cs"/>
          <w:sz w:val="26"/>
          <w:szCs w:val="26"/>
          <w:rtl/>
        </w:rPr>
        <w:t xml:space="preserve"> כך עולה גם מהתקינה השמאית</w:t>
      </w:r>
      <w:r w:rsidR="00FF22BD">
        <w:rPr>
          <w:rFonts w:ascii="David" w:eastAsia="Times New Roman" w:hAnsi="David" w:cs="David" w:hint="cs"/>
          <w:sz w:val="26"/>
          <w:szCs w:val="26"/>
          <w:rtl/>
        </w:rPr>
        <w:t>, ראו</w:t>
      </w:r>
      <w:r w:rsidR="00B150E7">
        <w:rPr>
          <w:rFonts w:ascii="David" w:eastAsia="Times New Roman" w:hAnsi="David" w:cs="David" w:hint="cs"/>
          <w:sz w:val="26"/>
          <w:szCs w:val="26"/>
          <w:rtl/>
        </w:rPr>
        <w:t>:</w:t>
      </w:r>
      <w:r w:rsidR="005311C1">
        <w:rPr>
          <w:rFonts w:ascii="David" w:eastAsia="Times New Roman" w:hAnsi="David" w:cs="David" w:hint="cs"/>
          <w:sz w:val="26"/>
          <w:szCs w:val="26"/>
          <w:rtl/>
        </w:rPr>
        <w:t xml:space="preserve"> פרק 4 לתקן 2.1.</w:t>
      </w:r>
    </w:p>
    <w:p w14:paraId="1DA08C85" w14:textId="0EE5EF47" w:rsidR="002F0513" w:rsidRDefault="0069496D" w:rsidP="00D319A4">
      <w:pPr>
        <w:numPr>
          <w:ilvl w:val="0"/>
          <w:numId w:val="1"/>
        </w:numPr>
        <w:tabs>
          <w:tab w:val="clear" w:pos="720"/>
        </w:tabs>
        <w:spacing w:beforeLines="120" w:before="288" w:afterLines="120" w:after="288" w:line="360" w:lineRule="auto"/>
        <w:ind w:left="84" w:hanging="567"/>
        <w:jc w:val="both"/>
        <w:rPr>
          <w:rFonts w:ascii="David" w:eastAsia="Times New Roman" w:hAnsi="David" w:cs="David"/>
          <w:sz w:val="26"/>
          <w:szCs w:val="26"/>
        </w:rPr>
      </w:pPr>
      <w:r>
        <w:rPr>
          <w:rFonts w:ascii="David" w:eastAsia="Times New Roman" w:hAnsi="David" w:cs="David"/>
          <w:sz w:val="26"/>
          <w:szCs w:val="26"/>
          <w:rtl/>
        </w:rPr>
        <w:t xml:space="preserve">כך, בערר 8034/17 </w:t>
      </w:r>
      <w:r w:rsidRPr="006978A7">
        <w:rPr>
          <w:rFonts w:ascii="David" w:eastAsia="Times New Roman" w:hAnsi="David" w:cs="David"/>
          <w:b/>
          <w:bCs/>
          <w:sz w:val="26"/>
          <w:szCs w:val="26"/>
          <w:rtl/>
        </w:rPr>
        <w:t xml:space="preserve">חברת </w:t>
      </w:r>
      <w:r w:rsidRPr="006978A7">
        <w:rPr>
          <w:rFonts w:ascii="David" w:hAnsi="David" w:cs="David"/>
          <w:b/>
          <w:bCs/>
          <w:sz w:val="26"/>
          <w:szCs w:val="26"/>
          <w:rtl/>
        </w:rPr>
        <w:t xml:space="preserve">הכשרת </w:t>
      </w:r>
      <w:r w:rsidRPr="006978A7">
        <w:rPr>
          <w:rFonts w:ascii="David" w:eastAsia="Times New Roman" w:hAnsi="David" w:cs="David"/>
          <w:b/>
          <w:bCs/>
          <w:sz w:val="26"/>
          <w:szCs w:val="26"/>
          <w:rtl/>
        </w:rPr>
        <w:t>הישוב</w:t>
      </w:r>
      <w:r w:rsidRPr="006978A7">
        <w:rPr>
          <w:rFonts w:ascii="David" w:hAnsi="David" w:cs="David"/>
          <w:b/>
          <w:bCs/>
          <w:sz w:val="26"/>
          <w:szCs w:val="26"/>
          <w:rtl/>
        </w:rPr>
        <w:t xml:space="preserve"> בישראל בע"מ נ' הוועדה המקומית לתכנון ולבנייה חדרה</w:t>
      </w:r>
      <w:r>
        <w:rPr>
          <w:rFonts w:ascii="David" w:eastAsia="Times New Roman" w:hAnsi="David" w:cs="David"/>
          <w:sz w:val="26"/>
          <w:szCs w:val="26"/>
          <w:rtl/>
        </w:rPr>
        <w:t xml:space="preserve"> (נבו, 22.5.2018), הודגש כי שימוש בעסקאות שנערכו בנכסים שגודלם שונה מגודל הנכס הנישום מחייב בחינה של הפער וביצוע התאמה מנומקת. כך:</w:t>
      </w:r>
    </w:p>
    <w:p w14:paraId="0C138965" w14:textId="539C2EE6" w:rsidR="002F0513" w:rsidRPr="00251B23" w:rsidRDefault="002F0513" w:rsidP="00DF0498">
      <w:pPr>
        <w:spacing w:beforeLines="120" w:before="288" w:afterLines="120" w:after="288" w:line="360" w:lineRule="auto"/>
        <w:ind w:left="793" w:right="284"/>
        <w:jc w:val="both"/>
        <w:rPr>
          <w:rFonts w:ascii="David" w:eastAsia="Times New Roman" w:hAnsi="David" w:cs="David"/>
          <w:b/>
          <w:bCs/>
        </w:rPr>
      </w:pPr>
      <w:r>
        <w:rPr>
          <w:rFonts w:ascii="David" w:eastAsia="Times New Roman" w:hAnsi="David" w:cs="David"/>
          <w:b/>
          <w:bCs/>
          <w:rtl/>
        </w:rPr>
        <w:t>במילים אחרות, בפני השמאי המכריע עמדה ברירה בין שתיים: או להתבסס על עסקאות השוואה בנכסים בעלי מאפיינים דומים לאלו של המקרקעין, כלומר כאלו אשר אינם מטריחים בביצוע התאמות; או לחלופין להתבסס על עסקאות השוואה בנכסים בעלי מאפיינים דומים פחות לאלו של המקרקעין, תוך ביצוע ההתאמות המחויבות</w:t>
      </w:r>
      <w:r w:rsidR="00447256">
        <w:rPr>
          <w:rFonts w:ascii="David" w:eastAsia="Times New Roman" w:hAnsi="David" w:cs="David" w:hint="cs"/>
          <w:b/>
          <w:bCs/>
          <w:rtl/>
        </w:rPr>
        <w:t>[</w:t>
      </w:r>
      <w:r>
        <w:rPr>
          <w:rFonts w:ascii="David" w:eastAsia="Times New Roman" w:hAnsi="David" w:cs="David"/>
          <w:b/>
          <w:bCs/>
          <w:rtl/>
        </w:rPr>
        <w:t>.</w:t>
      </w:r>
      <w:r w:rsidR="00447256">
        <w:rPr>
          <w:rFonts w:ascii="David" w:eastAsia="Times New Roman" w:hAnsi="David" w:cs="David" w:hint="cs"/>
          <w:b/>
          <w:bCs/>
          <w:rtl/>
        </w:rPr>
        <w:t>....]</w:t>
      </w:r>
    </w:p>
    <w:p w14:paraId="72C8550B" w14:textId="77777777" w:rsidR="002F0513" w:rsidRPr="00251B23" w:rsidRDefault="002F0513" w:rsidP="00DF0498">
      <w:pPr>
        <w:spacing w:beforeLines="120" w:before="288" w:afterLines="120" w:after="288" w:line="360" w:lineRule="auto"/>
        <w:ind w:left="793" w:right="284"/>
        <w:jc w:val="both"/>
        <w:rPr>
          <w:rFonts w:ascii="David" w:eastAsia="Times New Roman" w:hAnsi="David" w:cs="David"/>
          <w:b/>
          <w:bCs/>
          <w:rtl/>
        </w:rPr>
      </w:pPr>
      <w:r w:rsidRPr="00251B23">
        <w:rPr>
          <w:rFonts w:ascii="David" w:eastAsia="Times New Roman" w:hAnsi="David" w:cs="David"/>
          <w:b/>
          <w:bCs/>
          <w:rtl/>
        </w:rPr>
        <w:lastRenderedPageBreak/>
        <w:t>לצורך המחשה ניטול לדוגמא מקרקעין בהם בנוי מבנה בן 10 קומות, 4 דירות בכל קומה (סך-הכול 40 דירות). הדירות בצדו המערבי של הבניין משקיפות אל עבר הים, ואילו מחלונות הדירות שבצד המזרחי של הבניין ניבט אזור תעשיה כבדה.</w:t>
      </w:r>
    </w:p>
    <w:p w14:paraId="0CC8E4B2" w14:textId="531B96A3" w:rsidR="002F0513" w:rsidRPr="00251B23" w:rsidRDefault="002F0513" w:rsidP="00DF0498">
      <w:pPr>
        <w:spacing w:beforeLines="120" w:before="288" w:afterLines="120" w:after="288" w:line="360" w:lineRule="auto"/>
        <w:ind w:left="793" w:right="284"/>
        <w:jc w:val="both"/>
        <w:rPr>
          <w:rFonts w:ascii="David" w:eastAsia="Times New Roman" w:hAnsi="David" w:cs="David"/>
          <w:b/>
          <w:bCs/>
          <w:rtl/>
        </w:rPr>
      </w:pPr>
      <w:r w:rsidRPr="00251B23">
        <w:rPr>
          <w:rFonts w:ascii="David" w:eastAsia="Times New Roman" w:hAnsi="David" w:cs="David"/>
          <w:b/>
          <w:bCs/>
          <w:rtl/>
        </w:rPr>
        <w:t>נניח כי 20 דירות בבניין הנ״ל כבר נמכרו; 10 דירות הפונות לכיוון מערב נמכרו במחיר זהה של 1,500 ש״ח למ״ר, ו-10 דירות הפונות לכיוון מזרח נמכרו במחיר זהה של 1,000 ש״ח למ״ר. כעת נמכרת דירה נוספת הפונה לצד מזרח, ונשאלת שאלת שוויה בשוק החופשי.</w:t>
      </w:r>
    </w:p>
    <w:p w14:paraId="460B421F" w14:textId="62F1F768" w:rsidR="002F0513" w:rsidRPr="00251B23" w:rsidRDefault="002F0513" w:rsidP="00DF0498">
      <w:pPr>
        <w:spacing w:beforeLines="120" w:before="288" w:afterLines="120" w:after="288" w:line="360" w:lineRule="auto"/>
        <w:ind w:left="793" w:right="284"/>
        <w:jc w:val="both"/>
        <w:rPr>
          <w:rFonts w:ascii="David" w:eastAsia="Times New Roman" w:hAnsi="David" w:cs="David"/>
          <w:b/>
          <w:bCs/>
          <w:rtl/>
        </w:rPr>
      </w:pPr>
      <w:r>
        <w:rPr>
          <w:rFonts w:ascii="David" w:eastAsia="Times New Roman" w:hAnsi="David" w:cs="David" w:hint="cs"/>
          <w:b/>
          <w:bCs/>
          <w:rtl/>
        </w:rPr>
        <w:t xml:space="preserve">כפי ששנינו לעיל, אפשרות לגיטימית אחת לעריכת השומה – והיא האפשרות העדיפה – היא להתבסס על העסקה בנכס עצמו, או </w:t>
      </w:r>
      <w:r w:rsidRPr="00251B23">
        <w:rPr>
          <w:rFonts w:ascii="David" w:eastAsia="Times New Roman" w:hAnsi="David" w:cs="David"/>
          <w:b/>
          <w:bCs/>
          <w:rtl/>
        </w:rPr>
        <w:t>למזער</w:t>
      </w:r>
      <w:r>
        <w:rPr>
          <w:rFonts w:ascii="David" w:eastAsia="Times New Roman" w:hAnsi="David" w:cs="David" w:hint="cs"/>
          <w:b/>
          <w:bCs/>
          <w:rtl/>
        </w:rPr>
        <w:t xml:space="preserve"> על עסקה זו ועל עסקאות השוואה בנכסים בעלי מאפיינים חופפים לאלו של הנכס הנמכר (דירות הפונות לכיוון מזרח בלבד), ללא צורך בביצוען של התאמות כלשהן.</w:t>
      </w:r>
    </w:p>
    <w:p w14:paraId="167A84C0" w14:textId="77777777" w:rsidR="002F0513" w:rsidRPr="00251B23" w:rsidRDefault="002F0513" w:rsidP="00DF0498">
      <w:pPr>
        <w:spacing w:beforeLines="120" w:before="288" w:afterLines="120" w:after="288" w:line="360" w:lineRule="auto"/>
        <w:ind w:left="793" w:right="284"/>
        <w:jc w:val="both"/>
        <w:rPr>
          <w:rFonts w:ascii="David" w:eastAsia="Times New Roman" w:hAnsi="David" w:cs="David"/>
          <w:b/>
          <w:bCs/>
          <w:rtl/>
        </w:rPr>
      </w:pPr>
      <w:r w:rsidRPr="00251B23">
        <w:rPr>
          <w:rFonts w:ascii="David" w:eastAsia="Times New Roman" w:hAnsi="David" w:cs="David"/>
          <w:b/>
          <w:bCs/>
          <w:rtl/>
        </w:rPr>
        <w:t>בשיטה זו יוערך שוויה של הדירה הנמכרת בסך של 1,000 ש״ח למ״ר.</w:t>
      </w:r>
    </w:p>
    <w:p w14:paraId="35FBC4AB" w14:textId="0B9C4054" w:rsidR="002F0513" w:rsidRPr="00251B23" w:rsidRDefault="002F0513" w:rsidP="00DF0498">
      <w:pPr>
        <w:spacing w:beforeLines="120" w:before="288" w:afterLines="120" w:after="288" w:line="360" w:lineRule="auto"/>
        <w:ind w:left="793" w:right="284"/>
        <w:jc w:val="both"/>
        <w:rPr>
          <w:rFonts w:ascii="David" w:eastAsia="Times New Roman" w:hAnsi="David" w:cs="David"/>
          <w:b/>
          <w:bCs/>
          <w:rtl/>
        </w:rPr>
      </w:pPr>
      <w:r w:rsidRPr="00251B23">
        <w:rPr>
          <w:rFonts w:ascii="David" w:eastAsia="Times New Roman" w:hAnsi="David" w:cs="David"/>
          <w:b/>
          <w:bCs/>
          <w:rtl/>
        </w:rPr>
        <w:t>אפשרות לגיטימית אחרת לעריכת השומה, המובילה לתוצאה זהה, היא להתבסס על כלל עסקאות ההשוואה בבניין, תוך ביצוע ההתאמה הנדרשת לעניין המיקום.</w:t>
      </w:r>
    </w:p>
    <w:p w14:paraId="2912EF9D" w14:textId="77777777" w:rsidR="002F0513" w:rsidRPr="00251B23" w:rsidRDefault="002F0513" w:rsidP="00DF0498">
      <w:pPr>
        <w:spacing w:beforeLines="120" w:before="288" w:afterLines="120" w:after="288" w:line="360" w:lineRule="auto"/>
        <w:ind w:left="793" w:right="284"/>
        <w:jc w:val="both"/>
        <w:rPr>
          <w:rFonts w:ascii="David" w:eastAsia="Times New Roman" w:hAnsi="David" w:cs="David"/>
          <w:b/>
          <w:bCs/>
          <w:rtl/>
        </w:rPr>
      </w:pPr>
      <w:r w:rsidRPr="00251B23">
        <w:rPr>
          <w:rFonts w:ascii="David" w:eastAsia="Times New Roman" w:hAnsi="David" w:cs="David"/>
          <w:b/>
          <w:bCs/>
          <w:rtl/>
        </w:rPr>
        <w:t>על-פי שיטה זו, שווי מ״ר קרקע בהתעלם מכיוון הנכס הינו 1,250 ש״ח למ״ר, ועל שווי זה יש להפעיל מקדם התאמה לאור המיקום הרלוונטי של הדירה בה עסקינן (20% בנתוני הדוגמא, כך שהמקדם לדירה בכיוון מערב הוא 1.2, והמקדם לדירה בכיוון מזרח הוא 0.8).</w:t>
      </w:r>
    </w:p>
    <w:p w14:paraId="6826F35B" w14:textId="6D37E62B" w:rsidR="002F0513" w:rsidRPr="00251B23" w:rsidRDefault="002F0513" w:rsidP="00DF0498">
      <w:pPr>
        <w:spacing w:beforeLines="120" w:before="288" w:afterLines="120" w:after="288" w:line="360" w:lineRule="auto"/>
        <w:ind w:left="793" w:right="284"/>
        <w:jc w:val="both"/>
        <w:rPr>
          <w:rFonts w:ascii="David" w:eastAsia="Times New Roman" w:hAnsi="David" w:cs="David"/>
          <w:b/>
          <w:bCs/>
          <w:rtl/>
        </w:rPr>
      </w:pPr>
      <w:r w:rsidRPr="00251B23">
        <w:rPr>
          <w:rFonts w:ascii="David" w:eastAsia="Times New Roman" w:hAnsi="David" w:cs="David"/>
          <w:b/>
          <w:bCs/>
          <w:rtl/>
        </w:rPr>
        <w:t>ואולם יושם אל לב, כי בשיטה השנייה קביעת שווי שוק אחיד לכלל הדירות: 1,250 ש״ח למ״ר, תוך הימנעות מהפעלת מקדם התאמה לעניין המיקום, תביא לכך שעבור דירות הפונות לכיוון מערב תחושב השבחה בחסר (250 ש״ח למ״ר פחות משווי השוק), ואילו עבור הדירות הפונות לכיוון מזרח תחושב השבחה ביתר (250 ש״ח למ״ר מעבר לשווי השוק).</w:t>
      </w:r>
    </w:p>
    <w:p w14:paraId="3B59B060" w14:textId="1D150B45" w:rsidR="002F0513" w:rsidRPr="00251B23" w:rsidRDefault="002F0513" w:rsidP="00DF0498">
      <w:pPr>
        <w:spacing w:beforeLines="120" w:before="288" w:afterLines="120" w:after="288" w:line="360" w:lineRule="auto"/>
        <w:ind w:left="793" w:right="284"/>
        <w:jc w:val="both"/>
        <w:rPr>
          <w:rFonts w:ascii="David" w:eastAsia="Times New Roman" w:hAnsi="David" w:cs="David"/>
          <w:b/>
          <w:bCs/>
          <w:rtl/>
        </w:rPr>
      </w:pPr>
      <w:r>
        <w:rPr>
          <w:rFonts w:ascii="David" w:eastAsia="Times New Roman" w:hAnsi="David" w:cs="David"/>
          <w:b/>
          <w:bCs/>
          <w:rtl/>
        </w:rPr>
        <w:t>במקרה שעל המדוכה נקט השמאי המכריע באפשרות השנייה, תוך שלקביעת השווי הובאו על-ידו כדי חשבון גם נתוני השוואה מעסקאות שבוצעו במגרשים גדולים (בהשאלה: דירות הפונות לכיוון מזרח), וגם נתוני השוואה מעסקאות שבוצעו במגרשים קטנים (בהשאלה: דירות הפונות לכיוון מערב).</w:t>
      </w:r>
    </w:p>
    <w:p w14:paraId="20B4AA1E" w14:textId="6FEE3EDA" w:rsidR="002F0513" w:rsidRPr="00251B23" w:rsidRDefault="002F0513" w:rsidP="00DF0498">
      <w:pPr>
        <w:spacing w:beforeLines="120" w:before="288" w:afterLines="120" w:after="288" w:line="360" w:lineRule="auto"/>
        <w:ind w:left="793" w:right="284"/>
        <w:jc w:val="both"/>
        <w:rPr>
          <w:rFonts w:ascii="David" w:eastAsia="Times New Roman" w:hAnsi="David" w:cs="David"/>
          <w:b/>
          <w:bCs/>
          <w:rtl/>
        </w:rPr>
      </w:pPr>
      <w:r w:rsidRPr="00251B23">
        <w:rPr>
          <w:rFonts w:ascii="David" w:eastAsia="Times New Roman" w:hAnsi="David" w:cs="David"/>
          <w:b/>
          <w:bCs/>
          <w:rtl/>
        </w:rPr>
        <w:t>לאור הנתונים שעמדו בפניו קבע השמאי המכריע שווי שוק אחיד לכלל הנכסים (1,285 ש״ח למ״ר), וזאת בטווח שבין מחירי העסקאות שבוצעו בחלקות הגדולות לבין מחירי העסקאות שבוצעו בחלקות הקטנות.</w:t>
      </w:r>
    </w:p>
    <w:p w14:paraId="128E46C5" w14:textId="21EE1527" w:rsidR="002F0513" w:rsidRPr="00251B23" w:rsidRDefault="002F0513" w:rsidP="00DF0498">
      <w:pPr>
        <w:spacing w:beforeLines="120" w:before="288" w:afterLines="120" w:after="288" w:line="360" w:lineRule="auto"/>
        <w:ind w:left="793" w:right="284"/>
        <w:jc w:val="both"/>
        <w:rPr>
          <w:rFonts w:ascii="David" w:eastAsia="Times New Roman" w:hAnsi="David" w:cs="David"/>
          <w:b/>
          <w:bCs/>
        </w:rPr>
      </w:pPr>
      <w:r w:rsidRPr="00251B23">
        <w:rPr>
          <w:rFonts w:ascii="David" w:eastAsia="Times New Roman" w:hAnsi="David" w:cs="David"/>
          <w:b/>
          <w:bCs/>
          <w:rtl/>
        </w:rPr>
        <w:t>אלא שבהמשך לכך לא בוצעה ההתאמה המתחייבת לעניין שטח המקרקעין הנישומים, והלכה למעשה למאפיין רלוונטי ודומיננטי זה לא ניתן ביטוי כלשהו במסגרת הערכת עליית השווי.</w:t>
      </w:r>
    </w:p>
    <w:p w14:paraId="67B04A2E" w14:textId="77777777" w:rsidR="00D578D5" w:rsidRDefault="00D578D5" w:rsidP="00D578D5">
      <w:pPr>
        <w:spacing w:beforeLines="120" w:before="288" w:afterLines="120" w:after="288" w:line="360" w:lineRule="auto"/>
        <w:ind w:left="84"/>
        <w:jc w:val="both"/>
        <w:rPr>
          <w:rFonts w:ascii="David" w:eastAsia="Times New Roman" w:hAnsi="David" w:cs="David"/>
          <w:sz w:val="26"/>
          <w:szCs w:val="26"/>
        </w:rPr>
      </w:pPr>
    </w:p>
    <w:p w14:paraId="2B36D1B7" w14:textId="77777777" w:rsidR="00D578D5" w:rsidRDefault="00D578D5" w:rsidP="00D578D5">
      <w:pPr>
        <w:spacing w:beforeLines="120" w:before="288" w:afterLines="120" w:after="288" w:line="360" w:lineRule="auto"/>
        <w:ind w:left="84"/>
        <w:jc w:val="both"/>
        <w:rPr>
          <w:rFonts w:ascii="David" w:eastAsia="Times New Roman" w:hAnsi="David" w:cs="David"/>
          <w:sz w:val="26"/>
          <w:szCs w:val="26"/>
        </w:rPr>
      </w:pPr>
    </w:p>
    <w:p w14:paraId="04DAFADD" w14:textId="711AC650" w:rsidR="001061E9" w:rsidRDefault="001061E9" w:rsidP="00D319A4">
      <w:pPr>
        <w:numPr>
          <w:ilvl w:val="0"/>
          <w:numId w:val="1"/>
        </w:numPr>
        <w:tabs>
          <w:tab w:val="clear" w:pos="720"/>
        </w:tabs>
        <w:spacing w:beforeLines="120" w:before="288" w:afterLines="120" w:after="288" w:line="360" w:lineRule="auto"/>
        <w:ind w:left="84" w:hanging="567"/>
        <w:jc w:val="both"/>
        <w:rPr>
          <w:rFonts w:ascii="David" w:eastAsia="Times New Roman" w:hAnsi="David" w:cs="David"/>
          <w:sz w:val="26"/>
          <w:szCs w:val="26"/>
        </w:rPr>
      </w:pPr>
      <w:r w:rsidRPr="001061E9">
        <w:rPr>
          <w:rFonts w:ascii="David" w:eastAsia="Times New Roman" w:hAnsi="David" w:cs="David"/>
          <w:sz w:val="26"/>
          <w:szCs w:val="26"/>
          <w:rtl/>
        </w:rPr>
        <w:lastRenderedPageBreak/>
        <w:t xml:space="preserve">הדברים שנקבעו בעניין הכשרת היישוב יפים, בשינויים המחויבים, גם לענייננו. אין פסול עקרוני בהסתמכות על מאגר המשלב עסקאות בנכסים בעלי מאפיינים שונים; ואולם, ככל שנבחרה דרך זו, נדרש להסביר ולבצע את ההתאמות המתחייבות מן ההבדלים שבין נכסי ההשוואה לבין הנכס הנישום. </w:t>
      </w:r>
    </w:p>
    <w:p w14:paraId="3510C3EF" w14:textId="3B9ACEF1" w:rsidR="001B72A0" w:rsidRDefault="001B72A0" w:rsidP="00D319A4">
      <w:pPr>
        <w:numPr>
          <w:ilvl w:val="0"/>
          <w:numId w:val="1"/>
        </w:numPr>
        <w:tabs>
          <w:tab w:val="clear" w:pos="720"/>
        </w:tabs>
        <w:spacing w:beforeLines="120" w:before="288" w:afterLines="120" w:after="288" w:line="360" w:lineRule="auto"/>
        <w:ind w:left="84" w:hanging="567"/>
        <w:jc w:val="both"/>
        <w:rPr>
          <w:rFonts w:ascii="David" w:eastAsia="Times New Roman" w:hAnsi="David" w:cs="David"/>
          <w:sz w:val="26"/>
          <w:szCs w:val="26"/>
        </w:rPr>
      </w:pPr>
      <w:r>
        <w:rPr>
          <w:rFonts w:ascii="David" w:eastAsia="Times New Roman" w:hAnsi="David" w:cs="David"/>
          <w:sz w:val="26"/>
          <w:szCs w:val="26"/>
          <w:rtl/>
        </w:rPr>
        <w:t xml:space="preserve">טענת הוועדה המקומית אינה מתמצה בכך שהשמאי המכריע הסתמך על עסקאות בדירות ששטחן שונה משטח הדירה הממוצעת בתכנית. לטענתה, במסגרת מאגר הנתונים שעמד לפניו נכללו גם עסקאות ישירות בדירות ששטחן קרוב </w:t>
      </w:r>
      <w:r w:rsidRPr="001B72A0">
        <w:rPr>
          <w:rFonts w:ascii="David" w:eastAsia="Times New Roman" w:hAnsi="David" w:cs="David"/>
          <w:sz w:val="26"/>
          <w:szCs w:val="26"/>
          <w:rtl/>
        </w:rPr>
        <w:t>לכ</w:t>
      </w:r>
      <w:r w:rsidR="000F4CDE">
        <w:rPr>
          <w:rFonts w:ascii="David" w:eastAsia="Times New Roman" w:hAnsi="David" w:cs="David" w:hint="cs"/>
          <w:sz w:val="26"/>
          <w:szCs w:val="26"/>
          <w:rtl/>
        </w:rPr>
        <w:t xml:space="preserve"> - </w:t>
      </w:r>
      <w:r w:rsidRPr="001B72A0">
        <w:rPr>
          <w:rFonts w:ascii="David" w:eastAsia="Times New Roman" w:hAnsi="David" w:cs="David"/>
          <w:sz w:val="26"/>
          <w:szCs w:val="26"/>
          <w:rtl/>
        </w:rPr>
        <w:t>90</w:t>
      </w:r>
      <w:r>
        <w:rPr>
          <w:rFonts w:ascii="David" w:eastAsia="Times New Roman" w:hAnsi="David" w:cs="David"/>
          <w:sz w:val="26"/>
          <w:szCs w:val="26"/>
          <w:rtl/>
        </w:rPr>
        <w:t xml:space="preserve"> מ"ר, אך לא הובהר מדוע לא ניתן להן המשקל המתאים. תחת זאת שולבו בניתוח עסקאות בדירות גדולות יותר, אשר המחיר הממוצע למ"ר בהן נמוך יותר, ובוצעו התאמות על יסוד שטח ייחוס של כ</w:t>
      </w:r>
      <w:r w:rsidR="00157D20">
        <w:rPr>
          <w:rFonts w:ascii="David" w:eastAsia="Times New Roman" w:hAnsi="David" w:cs="David" w:hint="cs"/>
          <w:sz w:val="26"/>
          <w:szCs w:val="26"/>
          <w:rtl/>
        </w:rPr>
        <w:t xml:space="preserve"> - </w:t>
      </w:r>
      <w:r>
        <w:rPr>
          <w:rFonts w:ascii="David" w:eastAsia="Times New Roman" w:hAnsi="David" w:cs="David"/>
          <w:sz w:val="26"/>
          <w:szCs w:val="26"/>
          <w:rtl/>
        </w:rPr>
        <w:t xml:space="preserve">115 מ"ר, אף ששטח הדירה הממוצעת בפרויקט הנישום הוא </w:t>
      </w:r>
      <w:r w:rsidRPr="001B72A0">
        <w:rPr>
          <w:rFonts w:ascii="David" w:eastAsia="Times New Roman" w:hAnsi="David" w:cs="David"/>
          <w:sz w:val="26"/>
          <w:szCs w:val="26"/>
          <w:rtl/>
        </w:rPr>
        <w:t>כ</w:t>
      </w:r>
      <w:r w:rsidR="00EA0F45">
        <w:rPr>
          <w:rFonts w:ascii="David" w:eastAsia="Times New Roman" w:hAnsi="David" w:cs="David" w:hint="cs"/>
          <w:sz w:val="26"/>
          <w:szCs w:val="26"/>
          <w:rtl/>
        </w:rPr>
        <w:t xml:space="preserve"> -</w:t>
      </w:r>
      <w:r w:rsidR="000434CE">
        <w:rPr>
          <w:rFonts w:ascii="David" w:eastAsia="Times New Roman" w:hAnsi="David" w:cs="David" w:hint="cs"/>
          <w:sz w:val="26"/>
          <w:szCs w:val="26"/>
          <w:rtl/>
        </w:rPr>
        <w:t xml:space="preserve"> </w:t>
      </w:r>
      <w:r w:rsidRPr="001B72A0">
        <w:rPr>
          <w:rFonts w:ascii="David" w:eastAsia="Times New Roman" w:hAnsi="David" w:cs="David"/>
          <w:sz w:val="26"/>
          <w:szCs w:val="26"/>
          <w:rtl/>
        </w:rPr>
        <w:t>90</w:t>
      </w:r>
      <w:r>
        <w:rPr>
          <w:rFonts w:ascii="David" w:eastAsia="Times New Roman" w:hAnsi="David" w:cs="David"/>
          <w:sz w:val="26"/>
          <w:szCs w:val="26"/>
          <w:rtl/>
        </w:rPr>
        <w:t xml:space="preserve"> מ"ר. לטענת העוררת, דרך זו עירבה בין דירות בעלות מאפיינים שונים, לא נתנה ביטוי לשוליות המשתקפת בנתוני העסקאות עצמם, ואף הביאה להפחתת עסקאות בדירות ששטחן תואם את המוצר הנישום.</w:t>
      </w:r>
    </w:p>
    <w:p w14:paraId="54F2ED40" w14:textId="77777777" w:rsidR="0069496D" w:rsidRPr="0069496D" w:rsidRDefault="0069496D" w:rsidP="00D319A4">
      <w:pPr>
        <w:numPr>
          <w:ilvl w:val="0"/>
          <w:numId w:val="1"/>
        </w:numPr>
        <w:tabs>
          <w:tab w:val="clear" w:pos="720"/>
        </w:tabs>
        <w:spacing w:beforeLines="120" w:before="288" w:afterLines="120" w:after="288" w:line="360" w:lineRule="auto"/>
        <w:ind w:left="84" w:hanging="567"/>
        <w:jc w:val="both"/>
        <w:rPr>
          <w:rFonts w:ascii="David" w:eastAsia="Times New Roman" w:hAnsi="David" w:cs="David"/>
          <w:sz w:val="26"/>
          <w:szCs w:val="26"/>
        </w:rPr>
      </w:pPr>
      <w:r w:rsidRPr="0069496D">
        <w:rPr>
          <w:rFonts w:ascii="David" w:eastAsia="Times New Roman" w:hAnsi="David" w:cs="David"/>
          <w:sz w:val="26"/>
          <w:szCs w:val="26"/>
          <w:rtl/>
        </w:rPr>
        <w:t>לפיכך מתבקש השמאי המכריע להבהיר</w:t>
      </w:r>
      <w:r w:rsidRPr="0069496D">
        <w:rPr>
          <w:rFonts w:ascii="David" w:eastAsia="Times New Roman" w:hAnsi="David" w:cs="David"/>
          <w:sz w:val="26"/>
          <w:szCs w:val="26"/>
        </w:rPr>
        <w:t>:</w:t>
      </w:r>
    </w:p>
    <w:p w14:paraId="2638EC00" w14:textId="74B4E984" w:rsidR="0069496D" w:rsidRPr="0069496D" w:rsidRDefault="00920076" w:rsidP="00DF0498">
      <w:pPr>
        <w:spacing w:beforeLines="120" w:before="288" w:afterLines="120" w:after="288" w:line="360" w:lineRule="auto"/>
        <w:jc w:val="both"/>
        <w:rPr>
          <w:rFonts w:ascii="David" w:eastAsia="Times New Roman" w:hAnsi="David" w:cs="David"/>
          <w:sz w:val="26"/>
          <w:szCs w:val="26"/>
        </w:rPr>
      </w:pPr>
      <w:r>
        <w:rPr>
          <w:rFonts w:ascii="David" w:eastAsia="Times New Roman" w:hAnsi="David" w:cs="David" w:hint="cs"/>
          <w:sz w:val="26"/>
          <w:szCs w:val="26"/>
          <w:rtl/>
        </w:rPr>
        <w:t>א. מה משמעותו של הנתון בדבר שטח ממוצע של כ</w:t>
      </w:r>
      <w:r w:rsidR="00484A8A">
        <w:rPr>
          <w:rFonts w:ascii="David" w:eastAsia="Times New Roman" w:hAnsi="David" w:cs="David" w:hint="cs"/>
          <w:sz w:val="26"/>
          <w:szCs w:val="26"/>
          <w:rtl/>
        </w:rPr>
        <w:t xml:space="preserve"> - </w:t>
      </w:r>
      <w:r>
        <w:rPr>
          <w:rFonts w:ascii="David" w:eastAsia="Times New Roman" w:hAnsi="David" w:cs="David" w:hint="cs"/>
          <w:sz w:val="26"/>
          <w:szCs w:val="26"/>
          <w:rtl/>
        </w:rPr>
        <w:t>115 מ</w:t>
      </w:r>
      <w:r w:rsidR="00C609D4" w:rsidRPr="001B72A0">
        <w:rPr>
          <w:rFonts w:ascii="David" w:eastAsia="Times New Roman" w:hAnsi="David" w:cs="David"/>
          <w:sz w:val="26"/>
          <w:szCs w:val="26"/>
          <w:rtl/>
        </w:rPr>
        <w:t>״</w:t>
      </w:r>
      <w:r>
        <w:rPr>
          <w:rFonts w:ascii="David" w:eastAsia="Times New Roman" w:hAnsi="David" w:cs="David" w:hint="cs"/>
          <w:sz w:val="26"/>
          <w:szCs w:val="26"/>
          <w:rtl/>
        </w:rPr>
        <w:t xml:space="preserve">ר המופיע בסיפת טבלת עסקאות ההשוואה, והאם נתון זה שימש כשטח הייחוס לצורך ביצוע ההתאמות. ככל שכן, יבהיר מדוע נבחר שטח ייחוס זה, שעה ששטח הדירה הממוצעת בהתאם לתמהיל הקבוע בתכנית הוא </w:t>
      </w:r>
      <w:r w:rsidR="00C609D4" w:rsidRPr="001B72A0">
        <w:rPr>
          <w:rFonts w:ascii="David" w:eastAsia="Times New Roman" w:hAnsi="David" w:cs="David"/>
          <w:sz w:val="26"/>
          <w:szCs w:val="26"/>
          <w:rtl/>
        </w:rPr>
        <w:t>כ</w:t>
      </w:r>
      <w:r w:rsidR="009F69BC">
        <w:rPr>
          <w:rFonts w:ascii="David" w:eastAsia="Times New Roman" w:hAnsi="David" w:cs="David" w:hint="cs"/>
          <w:sz w:val="26"/>
          <w:szCs w:val="26"/>
          <w:rtl/>
        </w:rPr>
        <w:t xml:space="preserve"> - </w:t>
      </w:r>
      <w:r w:rsidR="00C609D4" w:rsidRPr="001B72A0">
        <w:rPr>
          <w:rFonts w:ascii="David" w:eastAsia="Times New Roman" w:hAnsi="David" w:cs="David"/>
          <w:sz w:val="26"/>
          <w:szCs w:val="26"/>
          <w:rtl/>
        </w:rPr>
        <w:t>90</w:t>
      </w:r>
      <w:r>
        <w:rPr>
          <w:rFonts w:ascii="David" w:eastAsia="Times New Roman" w:hAnsi="David" w:cs="David" w:hint="cs"/>
          <w:sz w:val="26"/>
          <w:szCs w:val="26"/>
          <w:rtl/>
        </w:rPr>
        <w:t xml:space="preserve"> מ</w:t>
      </w:r>
      <w:r w:rsidR="00C609D4" w:rsidRPr="001B72A0">
        <w:rPr>
          <w:rFonts w:ascii="David" w:eastAsia="Times New Roman" w:hAnsi="David" w:cs="David"/>
          <w:sz w:val="26"/>
          <w:szCs w:val="26"/>
          <w:rtl/>
        </w:rPr>
        <w:t>״</w:t>
      </w:r>
      <w:r>
        <w:rPr>
          <w:rFonts w:ascii="David" w:eastAsia="Times New Roman" w:hAnsi="David" w:cs="David" w:hint="cs"/>
          <w:sz w:val="26"/>
          <w:szCs w:val="26"/>
          <w:rtl/>
        </w:rPr>
        <w:t>ר.</w:t>
      </w:r>
    </w:p>
    <w:p w14:paraId="29F34173" w14:textId="6B64A81E" w:rsidR="001B72A0" w:rsidRPr="001B72A0" w:rsidRDefault="00920076" w:rsidP="00DF0498">
      <w:pPr>
        <w:spacing w:beforeLines="120" w:before="288" w:afterLines="120" w:after="288" w:line="360" w:lineRule="auto"/>
        <w:jc w:val="both"/>
        <w:rPr>
          <w:rFonts w:ascii="David" w:eastAsia="Times New Roman" w:hAnsi="David" w:cs="David"/>
          <w:sz w:val="26"/>
          <w:szCs w:val="26"/>
          <w:rtl/>
        </w:rPr>
      </w:pPr>
      <w:r>
        <w:rPr>
          <w:rFonts w:ascii="David" w:eastAsia="Times New Roman" w:hAnsi="David" w:cs="David" w:hint="cs"/>
          <w:sz w:val="26"/>
          <w:szCs w:val="26"/>
          <w:rtl/>
        </w:rPr>
        <w:t xml:space="preserve">ב. השמאי המכריע יבהיר כיצד בוצעו ההתאמות לעסקאות בדירות ששטחן 86–99 מ"ר, לעומת ההתאמות שנערכו </w:t>
      </w:r>
      <w:r w:rsidR="00484A8A">
        <w:rPr>
          <w:rFonts w:ascii="David" w:eastAsia="Times New Roman" w:hAnsi="David" w:cs="David" w:hint="cs"/>
          <w:sz w:val="26"/>
          <w:szCs w:val="26"/>
          <w:rtl/>
        </w:rPr>
        <w:t xml:space="preserve"> - </w:t>
      </w:r>
      <w:r>
        <w:rPr>
          <w:rFonts w:ascii="David" w:eastAsia="Times New Roman" w:hAnsi="David" w:cs="David" w:hint="cs"/>
          <w:sz w:val="26"/>
          <w:szCs w:val="26"/>
          <w:rtl/>
        </w:rPr>
        <w:t xml:space="preserve">או שלא נערכו </w:t>
      </w:r>
      <w:r w:rsidR="00484A8A">
        <w:rPr>
          <w:rFonts w:ascii="David" w:eastAsia="Times New Roman" w:hAnsi="David" w:cs="David" w:hint="cs"/>
          <w:sz w:val="26"/>
          <w:szCs w:val="26"/>
          <w:rtl/>
        </w:rPr>
        <w:t xml:space="preserve"> - </w:t>
      </w:r>
      <w:r>
        <w:rPr>
          <w:rFonts w:ascii="David" w:eastAsia="Times New Roman" w:hAnsi="David" w:cs="David" w:hint="cs"/>
          <w:sz w:val="26"/>
          <w:szCs w:val="26"/>
          <w:rtl/>
        </w:rPr>
        <w:t xml:space="preserve"> לעסקאות בדירות ששטחן גדול יותר; וזאת בשים לב לטענת העוררת כי לעסקאות הקרובות בגודלן למוצר הנישום בוצעה התאמה כלפי מטה, בעוד שלעסקאות בדירות גדולות יותר לא בוצעה התאמה מקבילה.</w:t>
      </w:r>
    </w:p>
    <w:p w14:paraId="715C3261" w14:textId="2C11BE3B" w:rsidR="001B72A0" w:rsidRPr="001B72A0" w:rsidRDefault="0077486B" w:rsidP="00DF0498">
      <w:pPr>
        <w:spacing w:beforeLines="120" w:before="288" w:afterLines="120" w:after="288" w:line="360" w:lineRule="auto"/>
        <w:jc w:val="both"/>
        <w:rPr>
          <w:rFonts w:ascii="David" w:eastAsia="Times New Roman" w:hAnsi="David" w:cs="David"/>
          <w:sz w:val="26"/>
          <w:szCs w:val="26"/>
          <w:rtl/>
        </w:rPr>
      </w:pPr>
      <w:r>
        <w:rPr>
          <w:rFonts w:ascii="David" w:eastAsia="Times New Roman" w:hAnsi="David" w:cs="David" w:hint="cs"/>
          <w:sz w:val="26"/>
          <w:szCs w:val="26"/>
          <w:rtl/>
        </w:rPr>
        <w:t>ג. עוד יבהיר אם העסקאות בדירות ששטחן 86–99 מ"ר נותחו כקבוצת השוואה עצמאית; ואם לא – מה הטעם לכך. כן יבהיר מדוע לא ניתן להן, ככל שלא ניתן, משקל מוגבר, והאם קיים בנתונים בסיס למסקנה בדבר שוליות או יתרון בשווי למ"ר הנובעים מגודל הדירה.</w:t>
      </w:r>
    </w:p>
    <w:p w14:paraId="34BE8EF5" w14:textId="55F92857" w:rsidR="00691563" w:rsidRDefault="0077486B" w:rsidP="000C0CB0">
      <w:pPr>
        <w:tabs>
          <w:tab w:val="left" w:pos="5329"/>
        </w:tabs>
        <w:spacing w:beforeLines="120" w:before="288" w:afterLines="120" w:after="288" w:line="360" w:lineRule="auto"/>
        <w:jc w:val="both"/>
        <w:rPr>
          <w:rFonts w:ascii="David" w:eastAsia="Times New Roman" w:hAnsi="David" w:cs="David"/>
          <w:b/>
          <w:bCs/>
          <w:sz w:val="26"/>
          <w:szCs w:val="26"/>
          <w:rtl/>
        </w:rPr>
      </w:pPr>
      <w:r>
        <w:rPr>
          <w:rFonts w:ascii="David" w:eastAsia="Times New Roman" w:hAnsi="David" w:cs="David" w:hint="cs"/>
          <w:sz w:val="26"/>
          <w:szCs w:val="26"/>
          <w:rtl/>
        </w:rPr>
        <w:t>ד. לאחר מתן ההבהרות יקבע השמאי המכריע אם יש בדברים כדי לשנות את השווי למ"ר מבונה למגורים שקבע. בין אם ימצא שיש מקום לשינוי ובין אם לאו, ינמק את קביעתו ויסביר כיצד הנתונים וההתאמות מתיישבים עם התוצאה שאליה הגיע.</w:t>
      </w:r>
    </w:p>
    <w:p w14:paraId="58F46540" w14:textId="19D2C615" w:rsidR="00F728C4" w:rsidRDefault="00F728C4" w:rsidP="000C0CB0">
      <w:pPr>
        <w:tabs>
          <w:tab w:val="left" w:pos="5329"/>
        </w:tabs>
        <w:spacing w:beforeLines="120" w:before="288" w:afterLines="120" w:after="288" w:line="360" w:lineRule="auto"/>
        <w:jc w:val="both"/>
        <w:rPr>
          <w:rFonts w:ascii="David" w:eastAsia="Times New Roman" w:hAnsi="David" w:cs="David"/>
          <w:b/>
          <w:bCs/>
          <w:sz w:val="26"/>
          <w:szCs w:val="26"/>
          <w:rtl/>
        </w:rPr>
      </w:pPr>
    </w:p>
    <w:p w14:paraId="4605E381" w14:textId="77777777" w:rsidR="00F91AD5" w:rsidRDefault="00F91AD5" w:rsidP="000C0CB0">
      <w:pPr>
        <w:tabs>
          <w:tab w:val="left" w:pos="5329"/>
        </w:tabs>
        <w:spacing w:beforeLines="120" w:before="288" w:afterLines="120" w:after="288" w:line="360" w:lineRule="auto"/>
        <w:jc w:val="both"/>
        <w:rPr>
          <w:rFonts w:ascii="David" w:eastAsia="Times New Roman" w:hAnsi="David" w:cs="David"/>
          <w:b/>
          <w:bCs/>
          <w:sz w:val="26"/>
          <w:szCs w:val="26"/>
          <w:rtl/>
        </w:rPr>
      </w:pPr>
    </w:p>
    <w:p w14:paraId="14518CB7" w14:textId="645F3D46" w:rsidR="0069496D" w:rsidRPr="00F728C4" w:rsidRDefault="0069496D" w:rsidP="00DF0498">
      <w:pPr>
        <w:spacing w:beforeLines="120" w:before="288" w:afterLines="120" w:after="288" w:line="360" w:lineRule="auto"/>
        <w:jc w:val="both"/>
        <w:rPr>
          <w:rFonts w:ascii="David" w:eastAsia="Times New Roman" w:hAnsi="David" w:cs="David"/>
          <w:b/>
          <w:bCs/>
          <w:sz w:val="26"/>
          <w:szCs w:val="26"/>
          <w:u w:val="single"/>
        </w:rPr>
      </w:pPr>
      <w:r w:rsidRPr="00F728C4">
        <w:rPr>
          <w:rFonts w:ascii="David" w:eastAsia="Times New Roman" w:hAnsi="David" w:cs="David"/>
          <w:b/>
          <w:bCs/>
          <w:sz w:val="26"/>
          <w:szCs w:val="26"/>
          <w:u w:val="single"/>
          <w:rtl/>
        </w:rPr>
        <w:lastRenderedPageBreak/>
        <w:t>המרחק מכביש 1 ומקדם ההפחתה</w:t>
      </w:r>
    </w:p>
    <w:p w14:paraId="7053EADE" w14:textId="66211CFB" w:rsidR="003C17F8" w:rsidRDefault="0069496D" w:rsidP="00D319A4">
      <w:pPr>
        <w:numPr>
          <w:ilvl w:val="0"/>
          <w:numId w:val="1"/>
        </w:numPr>
        <w:tabs>
          <w:tab w:val="clear" w:pos="720"/>
        </w:tabs>
        <w:spacing w:beforeLines="120" w:before="288" w:afterLines="120" w:after="288" w:line="360" w:lineRule="auto"/>
        <w:ind w:left="84" w:hanging="567"/>
        <w:jc w:val="both"/>
        <w:rPr>
          <w:rFonts w:ascii="David" w:eastAsia="Times New Roman" w:hAnsi="David" w:cs="David"/>
          <w:sz w:val="26"/>
          <w:szCs w:val="26"/>
        </w:rPr>
      </w:pPr>
      <w:r>
        <w:rPr>
          <w:rFonts w:ascii="David" w:eastAsia="Times New Roman" w:hAnsi="David" w:cs="David"/>
          <w:sz w:val="26"/>
          <w:szCs w:val="26"/>
          <w:rtl/>
        </w:rPr>
        <w:t xml:space="preserve">בשומה המכרעת צוין כי מגרשים 201–202 מצויים במרחק של </w:t>
      </w:r>
      <w:r w:rsidR="0031479F">
        <w:rPr>
          <w:rFonts w:ascii="David" w:eastAsia="Times New Roman" w:hAnsi="David" w:cs="David" w:hint="cs"/>
          <w:sz w:val="26"/>
          <w:szCs w:val="26"/>
          <w:rtl/>
        </w:rPr>
        <w:t xml:space="preserve">כ - </w:t>
      </w:r>
      <w:r w:rsidRPr="0069496D">
        <w:rPr>
          <w:rFonts w:ascii="David" w:eastAsia="Times New Roman" w:hAnsi="David" w:cs="David"/>
          <w:sz w:val="26"/>
          <w:szCs w:val="26"/>
          <w:rtl/>
        </w:rPr>
        <w:t>35</w:t>
      </w:r>
      <w:r>
        <w:rPr>
          <w:rFonts w:ascii="David" w:eastAsia="Times New Roman" w:hAnsi="David" w:cs="David"/>
          <w:sz w:val="26"/>
          <w:szCs w:val="26"/>
          <w:rtl/>
        </w:rPr>
        <w:t xml:space="preserve"> מטר מקו הבניין עד לאמצע הדרך. כך:</w:t>
      </w:r>
    </w:p>
    <w:p w14:paraId="547D7EF3" w14:textId="1D1AC5DD" w:rsidR="003C17F8" w:rsidRPr="00082038" w:rsidRDefault="003C17F8" w:rsidP="00082038">
      <w:pPr>
        <w:spacing w:beforeLines="120" w:before="288" w:afterLines="120" w:after="288" w:line="360" w:lineRule="auto"/>
        <w:ind w:left="793" w:right="284"/>
        <w:jc w:val="both"/>
        <w:rPr>
          <w:rFonts w:ascii="David" w:eastAsia="Times New Roman" w:hAnsi="David" w:cs="David"/>
          <w:b/>
          <w:bCs/>
          <w:rtl/>
        </w:rPr>
      </w:pPr>
      <w:r>
        <w:rPr>
          <w:rFonts w:ascii="David" w:eastAsia="Times New Roman" w:hAnsi="David" w:cs="David" w:hint="cs"/>
          <w:b/>
          <w:bCs/>
          <w:rtl/>
        </w:rPr>
        <w:t xml:space="preserve">"בהתאם לנספח הבינוי שמחייב חלקית (לעניין קווי הבניין ומספר הקומות המרבי), מגרשים 201 + 202 מרוחקים </w:t>
      </w:r>
      <w:r w:rsidRPr="00082038">
        <w:rPr>
          <w:rFonts w:ascii="David" w:eastAsia="Times New Roman" w:hAnsi="David" w:cs="David"/>
          <w:b/>
          <w:bCs/>
          <w:rtl/>
        </w:rPr>
        <w:t>כ</w:t>
      </w:r>
      <w:r w:rsidRPr="00082038">
        <w:rPr>
          <w:rFonts w:ascii="David" w:eastAsia="Times New Roman" w:hAnsi="David" w:cs="David" w:hint="cs"/>
          <w:b/>
          <w:bCs/>
          <w:rtl/>
        </w:rPr>
        <w:t xml:space="preserve">  - 35</w:t>
      </w:r>
      <w:r>
        <w:rPr>
          <w:rFonts w:ascii="David" w:eastAsia="Times New Roman" w:hAnsi="David" w:cs="David" w:hint="cs"/>
          <w:b/>
          <w:bCs/>
          <w:rtl/>
        </w:rPr>
        <w:t xml:space="preserve"> מ׳ מקו בניין עד לאמצע כביש מס׳ 1".</w:t>
      </w:r>
    </w:p>
    <w:p w14:paraId="4BD46765" w14:textId="5B1DA624" w:rsidR="005B3007" w:rsidRDefault="005B3007" w:rsidP="00D319A4">
      <w:pPr>
        <w:numPr>
          <w:ilvl w:val="0"/>
          <w:numId w:val="1"/>
        </w:numPr>
        <w:tabs>
          <w:tab w:val="clear" w:pos="720"/>
        </w:tabs>
        <w:spacing w:beforeLines="120" w:before="288" w:afterLines="120" w:after="288" w:line="360" w:lineRule="auto"/>
        <w:ind w:left="84" w:hanging="567"/>
        <w:jc w:val="both"/>
        <w:rPr>
          <w:rFonts w:ascii="David" w:eastAsia="Times New Roman" w:hAnsi="David" w:cs="David"/>
          <w:sz w:val="26"/>
          <w:szCs w:val="26"/>
          <w:rtl/>
        </w:rPr>
      </w:pPr>
      <w:r>
        <w:rPr>
          <w:rFonts w:ascii="David" w:eastAsia="Times New Roman" w:hAnsi="David" w:cs="David" w:hint="cs"/>
          <w:sz w:val="26"/>
          <w:szCs w:val="26"/>
          <w:rtl/>
        </w:rPr>
        <w:t>לשיטת הוועדה המקומית, המרחק ממרכז ציר הדרך גדול יותר מן המרחק שצוין בשומה</w:t>
      </w:r>
      <w:r w:rsidR="00D75422">
        <w:rPr>
          <w:rFonts w:ascii="David" w:eastAsia="Times New Roman" w:hAnsi="David" w:cs="David" w:hint="cs"/>
          <w:sz w:val="26"/>
          <w:szCs w:val="26"/>
          <w:rtl/>
        </w:rPr>
        <w:t xml:space="preserve"> ובהתאם לנספח הבינוי עומד על 75 מ'</w:t>
      </w:r>
      <w:r>
        <w:rPr>
          <w:rFonts w:ascii="David" w:eastAsia="Times New Roman" w:hAnsi="David" w:cs="David" w:hint="cs"/>
          <w:sz w:val="26"/>
          <w:szCs w:val="26"/>
          <w:rtl/>
        </w:rPr>
        <w:t>, ולכן הפגיעה הנובעת מן הקרבה לכביש וההפחתה בגינה אמורות להיות מתונות יותר.</w:t>
      </w:r>
    </w:p>
    <w:p w14:paraId="179001CE" w14:textId="2ABBCA7B" w:rsidR="0069496D" w:rsidRDefault="00FF7405" w:rsidP="00D319A4">
      <w:pPr>
        <w:numPr>
          <w:ilvl w:val="0"/>
          <w:numId w:val="1"/>
        </w:numPr>
        <w:tabs>
          <w:tab w:val="clear" w:pos="720"/>
        </w:tabs>
        <w:spacing w:beforeLines="120" w:before="288" w:afterLines="120" w:after="288" w:line="360" w:lineRule="auto"/>
        <w:ind w:left="84" w:hanging="567"/>
        <w:jc w:val="both"/>
        <w:rPr>
          <w:rFonts w:ascii="David" w:eastAsia="Times New Roman" w:hAnsi="David" w:cs="David"/>
          <w:sz w:val="26"/>
          <w:szCs w:val="26"/>
        </w:rPr>
      </w:pPr>
      <w:r>
        <w:rPr>
          <w:rFonts w:ascii="David" w:eastAsia="Times New Roman" w:hAnsi="David" w:cs="David" w:hint="cs"/>
          <w:sz w:val="26"/>
          <w:szCs w:val="26"/>
          <w:rtl/>
        </w:rPr>
        <w:t>מנגד</w:t>
      </w:r>
      <w:r w:rsidR="00540A16">
        <w:rPr>
          <w:rFonts w:ascii="David" w:eastAsia="Times New Roman" w:hAnsi="David" w:cs="David" w:hint="cs"/>
          <w:sz w:val="26"/>
          <w:szCs w:val="26"/>
          <w:rtl/>
        </w:rPr>
        <w:t>,</w:t>
      </w:r>
      <w:r>
        <w:rPr>
          <w:rFonts w:ascii="David" w:eastAsia="Times New Roman" w:hAnsi="David" w:cs="David" w:hint="cs"/>
          <w:sz w:val="26"/>
          <w:szCs w:val="26"/>
          <w:rtl/>
        </w:rPr>
        <w:t xml:space="preserve"> </w:t>
      </w:r>
      <w:r w:rsidR="0069496D">
        <w:rPr>
          <w:rFonts w:ascii="David" w:eastAsia="Times New Roman" w:hAnsi="David" w:cs="David"/>
          <w:sz w:val="26"/>
          <w:szCs w:val="26"/>
          <w:rtl/>
        </w:rPr>
        <w:t>המשיבות טענו אפוא כי הנתון של</w:t>
      </w:r>
      <w:r w:rsidR="00E018D7">
        <w:rPr>
          <w:rFonts w:ascii="David" w:eastAsia="Times New Roman" w:hAnsi="David" w:cs="David" w:hint="cs"/>
          <w:sz w:val="26"/>
          <w:szCs w:val="26"/>
          <w:rtl/>
        </w:rPr>
        <w:t xml:space="preserve"> מרחק</w:t>
      </w:r>
      <w:r w:rsidR="0069496D">
        <w:rPr>
          <w:rFonts w:ascii="David" w:eastAsia="Times New Roman" w:hAnsi="David" w:cs="David"/>
          <w:sz w:val="26"/>
          <w:szCs w:val="26"/>
          <w:rtl/>
        </w:rPr>
        <w:t xml:space="preserve"> כ</w:t>
      </w:r>
      <w:r w:rsidR="00D75422">
        <w:rPr>
          <w:rFonts w:ascii="David" w:eastAsia="Times New Roman" w:hAnsi="David" w:cs="David" w:hint="cs"/>
          <w:sz w:val="26"/>
          <w:szCs w:val="26"/>
          <w:rtl/>
        </w:rPr>
        <w:t xml:space="preserve"> - </w:t>
      </w:r>
      <w:r w:rsidR="0069496D">
        <w:rPr>
          <w:rFonts w:ascii="David" w:eastAsia="Times New Roman" w:hAnsi="David" w:cs="David"/>
          <w:sz w:val="26"/>
          <w:szCs w:val="26"/>
          <w:rtl/>
        </w:rPr>
        <w:t>35 מטר מתייחס לשפת הדרך, וכי ההתייחסות ל"אמצע הדרך" בשומה היא טעות קולמוס בלבד. לתמיכה בטענתן הציגו את התרשים שלהלן:</w:t>
      </w:r>
    </w:p>
    <w:p w14:paraId="4E20E029" w14:textId="304DFD22" w:rsidR="001F7B27" w:rsidRPr="0069496D" w:rsidRDefault="001F7B27" w:rsidP="00DF0498">
      <w:pPr>
        <w:spacing w:beforeLines="120" w:before="288" w:afterLines="120" w:after="288" w:line="360" w:lineRule="auto"/>
        <w:ind w:left="360"/>
        <w:jc w:val="both"/>
        <w:rPr>
          <w:rFonts w:ascii="David" w:eastAsia="Times New Roman" w:hAnsi="David" w:cs="David"/>
          <w:sz w:val="26"/>
          <w:szCs w:val="26"/>
        </w:rPr>
      </w:pPr>
      <w:r w:rsidRPr="001F7B27">
        <w:rPr>
          <w:rFonts w:ascii="David" w:eastAsia="Times New Roman" w:hAnsi="David" w:cs="David"/>
          <w:noProof/>
          <w:sz w:val="26"/>
          <w:szCs w:val="26"/>
          <w:rtl/>
        </w:rPr>
        <w:drawing>
          <wp:inline distT="0" distB="0" distL="0" distR="0" wp14:anchorId="5935F5AF" wp14:editId="1306724B">
            <wp:extent cx="3388659" cy="2071236"/>
            <wp:effectExtent l="0" t="0" r="2540" b="5715"/>
            <wp:docPr id="3" name="תמונה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392770" cy="2073749"/>
                    </a:xfrm>
                    <a:prstGeom prst="rect">
                      <a:avLst/>
                    </a:prstGeom>
                    <a:noFill/>
                    <a:ln>
                      <a:noFill/>
                    </a:ln>
                  </pic:spPr>
                </pic:pic>
              </a:graphicData>
            </a:graphic>
          </wp:inline>
        </w:drawing>
      </w:r>
    </w:p>
    <w:p w14:paraId="4CB559E9" w14:textId="4B7E1BDB" w:rsidR="00BA32E7" w:rsidRPr="00EA0F45" w:rsidRDefault="00BA32E7" w:rsidP="00EA0F45">
      <w:pPr>
        <w:spacing w:beforeLines="120" w:before="288" w:afterLines="120" w:after="288" w:line="360" w:lineRule="auto"/>
        <w:jc w:val="both"/>
        <w:rPr>
          <w:rFonts w:ascii="David" w:eastAsia="Times New Roman" w:hAnsi="David" w:cs="David"/>
          <w:b/>
          <w:bCs/>
          <w:sz w:val="26"/>
          <w:szCs w:val="26"/>
          <w:u w:val="single"/>
        </w:rPr>
      </w:pPr>
      <w:r w:rsidRPr="00EA0F45">
        <w:rPr>
          <w:rFonts w:ascii="David" w:eastAsia="Times New Roman" w:hAnsi="David" w:cs="David" w:hint="cs"/>
          <w:b/>
          <w:bCs/>
          <w:sz w:val="26"/>
          <w:szCs w:val="26"/>
          <w:u w:val="single"/>
          <w:rtl/>
        </w:rPr>
        <w:t>דיון והכרעה</w:t>
      </w:r>
    </w:p>
    <w:p w14:paraId="2E8AEC0A" w14:textId="180F73EE" w:rsidR="00A25B07" w:rsidRDefault="00BA32E7" w:rsidP="00D319A4">
      <w:pPr>
        <w:numPr>
          <w:ilvl w:val="0"/>
          <w:numId w:val="1"/>
        </w:numPr>
        <w:tabs>
          <w:tab w:val="clear" w:pos="720"/>
        </w:tabs>
        <w:spacing w:beforeLines="120" w:before="288" w:afterLines="120" w:after="288" w:line="360" w:lineRule="auto"/>
        <w:ind w:left="84" w:hanging="567"/>
        <w:jc w:val="both"/>
        <w:rPr>
          <w:rFonts w:ascii="David" w:eastAsia="Times New Roman" w:hAnsi="David" w:cs="David"/>
          <w:sz w:val="26"/>
          <w:szCs w:val="26"/>
        </w:rPr>
      </w:pPr>
      <w:r>
        <w:rPr>
          <w:rFonts w:ascii="David" w:eastAsia="Times New Roman" w:hAnsi="David" w:cs="David" w:hint="cs"/>
          <w:sz w:val="26"/>
          <w:szCs w:val="26"/>
          <w:rtl/>
        </w:rPr>
        <w:t>השמאי המכריע התייחס במלל ל"אמצע כביש מס' 1", אך הצמיד לו מרחק של כ</w:t>
      </w:r>
      <w:r w:rsidR="005A2470">
        <w:rPr>
          <w:rFonts w:ascii="David" w:eastAsia="Times New Roman" w:hAnsi="David" w:cs="David" w:hint="cs"/>
          <w:sz w:val="26"/>
          <w:szCs w:val="26"/>
          <w:rtl/>
        </w:rPr>
        <w:t xml:space="preserve"> -</w:t>
      </w:r>
      <w:r w:rsidR="00195F4F">
        <w:rPr>
          <w:rFonts w:ascii="David" w:eastAsia="Times New Roman" w:hAnsi="David" w:cs="David" w:hint="cs"/>
          <w:sz w:val="26"/>
          <w:szCs w:val="26"/>
          <w:rtl/>
        </w:rPr>
        <w:t xml:space="preserve"> </w:t>
      </w:r>
      <w:r>
        <w:rPr>
          <w:rFonts w:ascii="David" w:eastAsia="Times New Roman" w:hAnsi="David" w:cs="David" w:hint="cs"/>
          <w:sz w:val="26"/>
          <w:szCs w:val="26"/>
          <w:rtl/>
        </w:rPr>
        <w:t>35 מטר, המשקף, לפי התרשים, את המרחק לשפת הדרך ולא למרכז הציר. לשיטת הוועדה המקומית, ככל שנתון זה שימש בסיס לקביעת המקדם, יש לבחון אם המרחק הנכון מחייב הפחתה מתונה יותר.</w:t>
      </w:r>
    </w:p>
    <w:p w14:paraId="0AA1ED98" w14:textId="1AB9E328" w:rsidR="0069496D" w:rsidRPr="0069496D" w:rsidRDefault="00BA32E7" w:rsidP="00D319A4">
      <w:pPr>
        <w:numPr>
          <w:ilvl w:val="0"/>
          <w:numId w:val="1"/>
        </w:numPr>
        <w:tabs>
          <w:tab w:val="clear" w:pos="720"/>
        </w:tabs>
        <w:spacing w:beforeLines="120" w:before="288" w:afterLines="120" w:after="288" w:line="360" w:lineRule="auto"/>
        <w:ind w:left="84" w:hanging="567"/>
        <w:jc w:val="both"/>
        <w:rPr>
          <w:rFonts w:ascii="David" w:eastAsia="Times New Roman" w:hAnsi="David" w:cs="David"/>
          <w:sz w:val="26"/>
          <w:szCs w:val="26"/>
        </w:rPr>
      </w:pPr>
      <w:r>
        <w:rPr>
          <w:rFonts w:ascii="David" w:eastAsia="Times New Roman" w:hAnsi="David" w:cs="David" w:hint="cs"/>
          <w:sz w:val="26"/>
          <w:szCs w:val="26"/>
          <w:rtl/>
        </w:rPr>
        <w:t>לא ניתן להבין מן השומה אם אי</w:t>
      </w:r>
      <w:r w:rsidR="001541F3">
        <w:rPr>
          <w:rFonts w:ascii="David" w:eastAsia="Times New Roman" w:hAnsi="David" w:cs="David" w:hint="cs"/>
          <w:sz w:val="26"/>
          <w:szCs w:val="26"/>
          <w:rtl/>
        </w:rPr>
        <w:t>-</w:t>
      </w:r>
      <w:r>
        <w:rPr>
          <w:rFonts w:ascii="David" w:eastAsia="Times New Roman" w:hAnsi="David" w:cs="David" w:hint="cs"/>
          <w:sz w:val="26"/>
          <w:szCs w:val="26"/>
          <w:rtl/>
        </w:rPr>
        <w:t>ההתאמה בין תיאור נקודת המדידה לבין המרחק שננקב הייתה טעות מילולית בלבד, או אם הנתון שימש בפועל בקביעת מקדם ההפחתה. על פני הדברים נראה כי מדובר באי</w:t>
      </w:r>
      <w:r w:rsidR="001541F3">
        <w:rPr>
          <w:rFonts w:ascii="David" w:eastAsia="Times New Roman" w:hAnsi="David" w:cs="David" w:hint="cs"/>
          <w:sz w:val="26"/>
          <w:szCs w:val="26"/>
          <w:rtl/>
        </w:rPr>
        <w:t>-</w:t>
      </w:r>
      <w:r>
        <w:rPr>
          <w:rFonts w:ascii="David" w:eastAsia="Times New Roman" w:hAnsi="David" w:cs="David" w:hint="cs"/>
          <w:sz w:val="26"/>
          <w:szCs w:val="26"/>
          <w:rtl/>
        </w:rPr>
        <w:t xml:space="preserve">דיוק תיאורי, שכן הנתון הפיזי נסקר בשומה גם קודם לכן. אלמלא הוחזרה השומה ממילא לשמאי המכריע, לא היינו רואים מקום להשבה נוספת מטעם זה בלבד. ואולם, משהשומה מוחזרת, יתבקש השמאי המכריע להבהיר </w:t>
      </w:r>
      <w:r w:rsidR="00973276">
        <w:rPr>
          <w:rFonts w:ascii="David" w:eastAsia="Times New Roman" w:hAnsi="David" w:cs="David" w:hint="cs"/>
          <w:sz w:val="26"/>
          <w:szCs w:val="26"/>
          <w:rtl/>
        </w:rPr>
        <w:t>האם יש חוסר דיוק בעניין זה בשומתו</w:t>
      </w:r>
      <w:r>
        <w:rPr>
          <w:rFonts w:ascii="David" w:eastAsia="Times New Roman" w:hAnsi="David" w:cs="David" w:hint="cs"/>
          <w:sz w:val="26"/>
          <w:szCs w:val="26"/>
          <w:rtl/>
        </w:rPr>
        <w:t>, ואם יש לאי</w:t>
      </w:r>
      <w:r w:rsidR="001541F3">
        <w:rPr>
          <w:rFonts w:ascii="David" w:eastAsia="Times New Roman" w:hAnsi="David" w:cs="David" w:hint="cs"/>
          <w:sz w:val="26"/>
          <w:szCs w:val="26"/>
          <w:rtl/>
        </w:rPr>
        <w:t>-</w:t>
      </w:r>
      <w:r>
        <w:rPr>
          <w:rFonts w:ascii="David" w:eastAsia="Times New Roman" w:hAnsi="David" w:cs="David" w:hint="cs"/>
          <w:sz w:val="26"/>
          <w:szCs w:val="26"/>
          <w:rtl/>
        </w:rPr>
        <w:t>הדיוק השלכה על המקדם שקבע.</w:t>
      </w:r>
    </w:p>
    <w:p w14:paraId="126940B6" w14:textId="7DD7AEEF" w:rsidR="0069496D" w:rsidRPr="0069496D" w:rsidRDefault="00442D09" w:rsidP="00D319A4">
      <w:pPr>
        <w:numPr>
          <w:ilvl w:val="0"/>
          <w:numId w:val="1"/>
        </w:numPr>
        <w:tabs>
          <w:tab w:val="clear" w:pos="720"/>
        </w:tabs>
        <w:spacing w:beforeLines="120" w:before="288" w:afterLines="120" w:after="288" w:line="360" w:lineRule="auto"/>
        <w:ind w:left="84" w:hanging="567"/>
        <w:jc w:val="both"/>
        <w:rPr>
          <w:rFonts w:ascii="David" w:eastAsia="Times New Roman" w:hAnsi="David" w:cs="David"/>
          <w:sz w:val="26"/>
          <w:szCs w:val="26"/>
        </w:rPr>
      </w:pPr>
      <w:r>
        <w:rPr>
          <w:rFonts w:ascii="David" w:eastAsia="Times New Roman" w:hAnsi="David" w:cs="David" w:hint="cs"/>
          <w:sz w:val="26"/>
          <w:szCs w:val="26"/>
          <w:rtl/>
        </w:rPr>
        <w:lastRenderedPageBreak/>
        <w:t>באותה מסגרת יבהיר השמאי המכריע אם בקביעת המקדם הובאו בחשבון מאפייני המיקום הנוספים שאליהם הפנתה העוררת, ובכלל זה הנגישות התחבורתית והקרבה לפארק אריאל שרון; וככל שלא הובאו בחשבון, אם יש בכך כדי לשנות את קביעותיו ביחס לייעודים שנבחנו בשומה.</w:t>
      </w:r>
    </w:p>
    <w:p w14:paraId="6AE444E8" w14:textId="0F10EED6" w:rsidR="0069496D" w:rsidRPr="0069496D" w:rsidRDefault="0069496D" w:rsidP="00D319A4">
      <w:pPr>
        <w:numPr>
          <w:ilvl w:val="0"/>
          <w:numId w:val="1"/>
        </w:numPr>
        <w:tabs>
          <w:tab w:val="clear" w:pos="720"/>
        </w:tabs>
        <w:spacing w:beforeLines="120" w:before="288" w:afterLines="120" w:after="288" w:line="360" w:lineRule="auto"/>
        <w:ind w:left="84" w:hanging="567"/>
        <w:jc w:val="both"/>
        <w:rPr>
          <w:rFonts w:ascii="David" w:eastAsia="Times New Roman" w:hAnsi="David" w:cs="David"/>
          <w:sz w:val="26"/>
          <w:szCs w:val="26"/>
        </w:rPr>
      </w:pPr>
      <w:r>
        <w:rPr>
          <w:rFonts w:ascii="David" w:eastAsia="Times New Roman" w:hAnsi="David" w:cs="David"/>
          <w:sz w:val="26"/>
          <w:szCs w:val="26"/>
          <w:rtl/>
        </w:rPr>
        <w:t>אין בעצם הפניית שאלות אלה משום קביעה כי מקדם ההפחתה שגוי. השמאי המכריע יבהיר את דרך הילוכו ויקבע אם יש לאמור השלכה שמאית על התוצאה.</w:t>
      </w:r>
    </w:p>
    <w:p w14:paraId="52345A5D" w14:textId="77777777" w:rsidR="0069496D" w:rsidRPr="00D41EBC" w:rsidRDefault="0069496D" w:rsidP="00DF0498">
      <w:pPr>
        <w:spacing w:beforeLines="120" w:before="288" w:afterLines="120" w:after="288" w:line="360" w:lineRule="auto"/>
        <w:jc w:val="both"/>
        <w:outlineLvl w:val="1"/>
        <w:rPr>
          <w:rFonts w:ascii="David" w:eastAsia="Times New Roman" w:hAnsi="David" w:cs="David"/>
          <w:b/>
          <w:bCs/>
          <w:sz w:val="30"/>
          <w:szCs w:val="30"/>
          <w:u w:val="single"/>
        </w:rPr>
      </w:pPr>
      <w:r w:rsidRPr="00D41EBC">
        <w:rPr>
          <w:rFonts w:ascii="David" w:eastAsia="Times New Roman" w:hAnsi="David" w:cs="David"/>
          <w:b/>
          <w:bCs/>
          <w:sz w:val="30"/>
          <w:szCs w:val="30"/>
          <w:u w:val="single"/>
          <w:rtl/>
        </w:rPr>
        <w:t>דיור מוגן ודיור בהישג יד</w:t>
      </w:r>
    </w:p>
    <w:p w14:paraId="3FAB9650" w14:textId="77777777" w:rsidR="006B0C56" w:rsidRPr="00D41EBC" w:rsidRDefault="006B0C56" w:rsidP="00DF0498">
      <w:pPr>
        <w:spacing w:beforeLines="120" w:before="288" w:afterLines="120" w:after="288" w:line="360" w:lineRule="auto"/>
        <w:jc w:val="both"/>
        <w:outlineLvl w:val="1"/>
        <w:rPr>
          <w:rFonts w:ascii="David" w:eastAsia="Times New Roman" w:hAnsi="David" w:cs="David"/>
          <w:b/>
          <w:bCs/>
          <w:sz w:val="26"/>
          <w:szCs w:val="26"/>
          <w:u w:val="single"/>
        </w:rPr>
      </w:pPr>
      <w:r w:rsidRPr="00D41EBC">
        <w:rPr>
          <w:rFonts w:ascii="David" w:eastAsia="Times New Roman" w:hAnsi="David" w:cs="David"/>
          <w:b/>
          <w:bCs/>
          <w:sz w:val="26"/>
          <w:szCs w:val="26"/>
          <w:u w:val="single"/>
          <w:rtl/>
        </w:rPr>
        <w:t>טענת כפל ההפחתה בגין הקרבה לכביש 1</w:t>
      </w:r>
    </w:p>
    <w:p w14:paraId="34B24DDC" w14:textId="77777777" w:rsidR="006B0C56" w:rsidRPr="006B0C56" w:rsidRDefault="006B0C56" w:rsidP="00D319A4">
      <w:pPr>
        <w:numPr>
          <w:ilvl w:val="0"/>
          <w:numId w:val="1"/>
        </w:numPr>
        <w:tabs>
          <w:tab w:val="clear" w:pos="720"/>
        </w:tabs>
        <w:spacing w:beforeLines="120" w:before="288" w:afterLines="120" w:after="288" w:line="360" w:lineRule="auto"/>
        <w:ind w:left="84" w:hanging="567"/>
        <w:jc w:val="both"/>
        <w:rPr>
          <w:rFonts w:ascii="David" w:eastAsia="Times New Roman" w:hAnsi="David" w:cs="David"/>
          <w:sz w:val="26"/>
          <w:szCs w:val="26"/>
        </w:rPr>
      </w:pPr>
      <w:r w:rsidRPr="006B0C56">
        <w:rPr>
          <w:rFonts w:ascii="David" w:eastAsia="Times New Roman" w:hAnsi="David" w:cs="David"/>
          <w:sz w:val="26"/>
          <w:szCs w:val="26"/>
          <w:rtl/>
        </w:rPr>
        <w:t>העוררת טוענת כי בתחשיב שווי הדיור המוגן והדיור בהישג יד נפלה שגגה, שכן השמאי המכריע הביא בחשבון פעמיים את השפעת הקרבה לכביש 1</w:t>
      </w:r>
      <w:r w:rsidRPr="006B0C56">
        <w:rPr>
          <w:rFonts w:ascii="David" w:eastAsia="Times New Roman" w:hAnsi="David" w:cs="David"/>
          <w:sz w:val="26"/>
          <w:szCs w:val="26"/>
        </w:rPr>
        <w:t>.</w:t>
      </w:r>
    </w:p>
    <w:p w14:paraId="3761BFBF" w14:textId="5F19D99A" w:rsidR="006B0C56" w:rsidRPr="006B0C56" w:rsidRDefault="006B0C56" w:rsidP="00D319A4">
      <w:pPr>
        <w:numPr>
          <w:ilvl w:val="0"/>
          <w:numId w:val="1"/>
        </w:numPr>
        <w:tabs>
          <w:tab w:val="clear" w:pos="720"/>
        </w:tabs>
        <w:spacing w:beforeLines="120" w:before="288" w:afterLines="120" w:after="288" w:line="360" w:lineRule="auto"/>
        <w:ind w:left="84" w:hanging="567"/>
        <w:jc w:val="both"/>
        <w:rPr>
          <w:rFonts w:ascii="David" w:eastAsia="Times New Roman" w:hAnsi="David" w:cs="David"/>
          <w:sz w:val="26"/>
          <w:szCs w:val="26"/>
        </w:rPr>
      </w:pPr>
      <w:r w:rsidRPr="006B0C56">
        <w:rPr>
          <w:rFonts w:ascii="David" w:eastAsia="Times New Roman" w:hAnsi="David" w:cs="David"/>
          <w:sz w:val="26"/>
          <w:szCs w:val="26"/>
          <w:rtl/>
        </w:rPr>
        <w:t>העוררת מפנה לכך שבפרק ההכרעה בעניין הדיור המוגן קבע השמאי המכריע שווי של 3,800 ש"ח למ"ר מבונה, תוך שציין</w:t>
      </w:r>
      <w:r w:rsidR="00D60114">
        <w:rPr>
          <w:rFonts w:ascii="David" w:eastAsia="Times New Roman" w:hAnsi="David" w:cs="David" w:hint="cs"/>
          <w:sz w:val="26"/>
          <w:szCs w:val="26"/>
          <w:rtl/>
        </w:rPr>
        <w:t xml:space="preserve"> (עמוד 73 לשומה</w:t>
      </w:r>
      <w:r w:rsidR="009C2D1E">
        <w:rPr>
          <w:rFonts w:ascii="David" w:eastAsia="Times New Roman" w:hAnsi="David" w:cs="David" w:hint="cs"/>
          <w:sz w:val="26"/>
          <w:szCs w:val="26"/>
          <w:rtl/>
        </w:rPr>
        <w:t xml:space="preserve"> המכרעת</w:t>
      </w:r>
      <w:r w:rsidR="00D60114">
        <w:rPr>
          <w:rFonts w:ascii="David" w:eastAsia="Times New Roman" w:hAnsi="David" w:cs="David" w:hint="cs"/>
          <w:sz w:val="26"/>
          <w:szCs w:val="26"/>
          <w:rtl/>
        </w:rPr>
        <w:t>)</w:t>
      </w:r>
      <w:r w:rsidRPr="006B0C56">
        <w:rPr>
          <w:rFonts w:ascii="David" w:eastAsia="Times New Roman" w:hAnsi="David" w:cs="David"/>
          <w:sz w:val="26"/>
          <w:szCs w:val="26"/>
          <w:rtl/>
        </w:rPr>
        <w:t xml:space="preserve"> כי השווי שנקבע מגלם, בין היתר, את מיקום השימוש בסמוך לכביש ארצי מס' 1. בדומה, ביחס לדיור בהישג יד נקבע שווי של 2,600 ש"ח למ"ר מבונה, וגם שם צוין </w:t>
      </w:r>
      <w:r w:rsidR="00EC2156">
        <w:rPr>
          <w:rFonts w:ascii="David" w:eastAsia="Times New Roman" w:hAnsi="David" w:cs="David" w:hint="cs"/>
          <w:sz w:val="26"/>
          <w:szCs w:val="26"/>
          <w:rtl/>
        </w:rPr>
        <w:t>(עמוד 76 לשומה</w:t>
      </w:r>
      <w:r w:rsidR="009C2D1E">
        <w:rPr>
          <w:rFonts w:ascii="David" w:eastAsia="Times New Roman" w:hAnsi="David" w:cs="David" w:hint="cs"/>
          <w:sz w:val="26"/>
          <w:szCs w:val="26"/>
          <w:rtl/>
        </w:rPr>
        <w:t xml:space="preserve"> המכרעת</w:t>
      </w:r>
      <w:r w:rsidR="00EC2156">
        <w:rPr>
          <w:rFonts w:ascii="David" w:eastAsia="Times New Roman" w:hAnsi="David" w:cs="David" w:hint="cs"/>
          <w:sz w:val="26"/>
          <w:szCs w:val="26"/>
          <w:rtl/>
        </w:rPr>
        <w:t xml:space="preserve">) </w:t>
      </w:r>
      <w:r w:rsidRPr="006B0C56">
        <w:rPr>
          <w:rFonts w:ascii="David" w:eastAsia="Times New Roman" w:hAnsi="David" w:cs="David"/>
          <w:sz w:val="26"/>
          <w:szCs w:val="26"/>
          <w:rtl/>
        </w:rPr>
        <w:t>כי השווי מגלם את מיקומו של הנכס בסמוך לכביש 1</w:t>
      </w:r>
      <w:r w:rsidRPr="006B0C56">
        <w:rPr>
          <w:rFonts w:ascii="David" w:eastAsia="Times New Roman" w:hAnsi="David" w:cs="David"/>
          <w:sz w:val="26"/>
          <w:szCs w:val="26"/>
        </w:rPr>
        <w:t>.</w:t>
      </w:r>
    </w:p>
    <w:p w14:paraId="3C05DF86" w14:textId="5FB31855" w:rsidR="006B0C56" w:rsidRPr="006B0C56" w:rsidRDefault="006B0C56" w:rsidP="00D319A4">
      <w:pPr>
        <w:numPr>
          <w:ilvl w:val="0"/>
          <w:numId w:val="1"/>
        </w:numPr>
        <w:tabs>
          <w:tab w:val="clear" w:pos="720"/>
        </w:tabs>
        <w:spacing w:beforeLines="120" w:before="288" w:afterLines="120" w:after="288" w:line="360" w:lineRule="auto"/>
        <w:ind w:left="84" w:hanging="567"/>
        <w:jc w:val="both"/>
        <w:rPr>
          <w:rFonts w:ascii="David" w:eastAsia="Times New Roman" w:hAnsi="David" w:cs="David"/>
          <w:sz w:val="26"/>
          <w:szCs w:val="26"/>
        </w:rPr>
      </w:pPr>
      <w:r w:rsidRPr="006B0C56">
        <w:rPr>
          <w:rFonts w:ascii="David" w:eastAsia="Times New Roman" w:hAnsi="David" w:cs="David"/>
          <w:sz w:val="26"/>
          <w:szCs w:val="26"/>
          <w:rtl/>
        </w:rPr>
        <w:t>אלא שבתחשיב שוויו של מגרש 203, בעמוד 84 לשומה המכרעת, ערך השמאי המכריע הבחנה נוספת בין שטחים שחזיתם אינה גובלת בכביש 1, אשר לגביהם הוחל מקדם מיקום 1.0, לבין שטחים שחזיתם גובלת בכביש 1, אשר לגביהם הוחל מקדם מיקום 0.9. ההבחנה נעשתה הן ביחס לדיור המוגן והן ביחס לדיור בהישג יד. לטענת העוררת, משערכי הבסיס כבר מגלמים את הקרבה לכביש, החלת מקדם נוסף בשיעור 0.9 מפחיתה פעם נוספת את השווי בשל אותו מאפיין ממש</w:t>
      </w:r>
      <w:r w:rsidR="00D560CA">
        <w:rPr>
          <w:rFonts w:ascii="David" w:eastAsia="Times New Roman" w:hAnsi="David" w:cs="David" w:hint="cs"/>
          <w:sz w:val="26"/>
          <w:szCs w:val="26"/>
          <w:rtl/>
        </w:rPr>
        <w:t>.</w:t>
      </w:r>
      <w:r w:rsidRPr="006B0C56">
        <w:rPr>
          <w:rFonts w:ascii="David" w:eastAsia="Times New Roman" w:hAnsi="David" w:cs="David"/>
          <w:sz w:val="26"/>
          <w:szCs w:val="26"/>
        </w:rPr>
        <w:t xml:space="preserve"> </w:t>
      </w:r>
    </w:p>
    <w:p w14:paraId="485CE90D" w14:textId="6AF59777" w:rsidR="006B0C56" w:rsidRDefault="006B0C56" w:rsidP="00D319A4">
      <w:pPr>
        <w:numPr>
          <w:ilvl w:val="0"/>
          <w:numId w:val="1"/>
        </w:numPr>
        <w:tabs>
          <w:tab w:val="clear" w:pos="720"/>
        </w:tabs>
        <w:spacing w:beforeLines="120" w:before="288" w:afterLines="120" w:after="288" w:line="360" w:lineRule="auto"/>
        <w:ind w:left="84" w:hanging="567"/>
        <w:jc w:val="both"/>
        <w:rPr>
          <w:rFonts w:ascii="David" w:eastAsia="Times New Roman" w:hAnsi="David" w:cs="David"/>
          <w:sz w:val="26"/>
          <w:szCs w:val="26"/>
        </w:rPr>
      </w:pPr>
      <w:r w:rsidRPr="006B0C56">
        <w:rPr>
          <w:rFonts w:ascii="David" w:eastAsia="Times New Roman" w:hAnsi="David" w:cs="David"/>
          <w:sz w:val="26"/>
          <w:szCs w:val="26"/>
          <w:rtl/>
        </w:rPr>
        <w:t>המשיבות טוענות כי מדובר בשני רבדים שמאיים נפרדים. לשיטתן, ערכי הבסיס שקבע השמאי המכריע מגלמים את מיקומו הכללי של הפרויקט באזור ובסמוך לכביש 1, וזאת במסגרת התאמת נתוני ההשוואה שנלקחו ממקומות אחרים לנכס הנישום. לעומת זאת, מקדם 0.9 מבטא פגיעה נוספת ומקומית בשטחים מסוימים בלבד, שחזיתם גובלת ישירות בכביש. בהקשר זה הודגש בדיון כי השמאי המכריע לא החיל את המקדם הנוסף על כלל שטחי הדיור המוגן והדיור בהישג יד, אלא הבחין בתוך המגרש בין השטחים החזיתיים לבין השטחים האחרי</w:t>
      </w:r>
      <w:r w:rsidR="00D319A4">
        <w:rPr>
          <w:rFonts w:ascii="David" w:eastAsia="Times New Roman" w:hAnsi="David" w:cs="David" w:hint="cs"/>
          <w:sz w:val="26"/>
          <w:szCs w:val="26"/>
          <w:rtl/>
        </w:rPr>
        <w:t>ם.</w:t>
      </w:r>
      <w:r w:rsidRPr="006B0C56">
        <w:rPr>
          <w:rFonts w:ascii="David" w:eastAsia="Times New Roman" w:hAnsi="David" w:cs="David"/>
          <w:sz w:val="26"/>
          <w:szCs w:val="26"/>
        </w:rPr>
        <w:t xml:space="preserve"> </w:t>
      </w:r>
    </w:p>
    <w:p w14:paraId="6AC094A2" w14:textId="77777777" w:rsidR="00F91AD5" w:rsidRPr="006B0C56" w:rsidRDefault="00F91AD5" w:rsidP="00F91AD5">
      <w:pPr>
        <w:spacing w:beforeLines="120" w:before="288" w:afterLines="120" w:after="288" w:line="360" w:lineRule="auto"/>
        <w:ind w:left="84"/>
        <w:jc w:val="both"/>
        <w:rPr>
          <w:rFonts w:ascii="David" w:eastAsia="Times New Roman" w:hAnsi="David" w:cs="David"/>
          <w:sz w:val="26"/>
          <w:szCs w:val="26"/>
        </w:rPr>
      </w:pPr>
    </w:p>
    <w:p w14:paraId="2F657B9A" w14:textId="77777777" w:rsidR="006B0C56" w:rsidRPr="00D41EBC" w:rsidRDefault="006B0C56" w:rsidP="00DF0498">
      <w:pPr>
        <w:spacing w:beforeLines="120" w:before="288" w:afterLines="120" w:after="288" w:line="360" w:lineRule="auto"/>
        <w:jc w:val="both"/>
        <w:outlineLvl w:val="1"/>
        <w:rPr>
          <w:rFonts w:ascii="David" w:eastAsia="Times New Roman" w:hAnsi="David" w:cs="David"/>
          <w:b/>
          <w:bCs/>
          <w:sz w:val="26"/>
          <w:szCs w:val="26"/>
          <w:u w:val="single"/>
        </w:rPr>
      </w:pPr>
      <w:r w:rsidRPr="00D41EBC">
        <w:rPr>
          <w:rFonts w:ascii="David" w:eastAsia="Times New Roman" w:hAnsi="David" w:cs="David"/>
          <w:b/>
          <w:bCs/>
          <w:sz w:val="26"/>
          <w:szCs w:val="26"/>
          <w:u w:val="single"/>
          <w:rtl/>
        </w:rPr>
        <w:lastRenderedPageBreak/>
        <w:t>דיון והכרעה</w:t>
      </w:r>
    </w:p>
    <w:p w14:paraId="6343A1A7" w14:textId="77777777" w:rsidR="006B0C56" w:rsidRPr="006B0C56" w:rsidRDefault="006B0C56" w:rsidP="00A43616">
      <w:pPr>
        <w:numPr>
          <w:ilvl w:val="0"/>
          <w:numId w:val="1"/>
        </w:numPr>
        <w:tabs>
          <w:tab w:val="clear" w:pos="720"/>
        </w:tabs>
        <w:spacing w:beforeLines="120" w:before="288" w:afterLines="120" w:after="288" w:line="360" w:lineRule="auto"/>
        <w:ind w:left="84" w:hanging="567"/>
        <w:jc w:val="both"/>
        <w:rPr>
          <w:rFonts w:ascii="David" w:eastAsia="Times New Roman" w:hAnsi="David" w:cs="David"/>
          <w:sz w:val="26"/>
          <w:szCs w:val="26"/>
        </w:rPr>
      </w:pPr>
      <w:r w:rsidRPr="006B0C56">
        <w:rPr>
          <w:rFonts w:ascii="David" w:eastAsia="Times New Roman" w:hAnsi="David" w:cs="David"/>
          <w:sz w:val="26"/>
          <w:szCs w:val="26"/>
          <w:rtl/>
        </w:rPr>
        <w:t>לאחר שבחנו את טענות הצדדים ואת השומה המכרעת, לא מצאנו כי הוכח כפל הפחתה המצדיק את התערבותנו</w:t>
      </w:r>
      <w:r w:rsidRPr="006B0C56">
        <w:rPr>
          <w:rFonts w:ascii="David" w:eastAsia="Times New Roman" w:hAnsi="David" w:cs="David"/>
          <w:sz w:val="26"/>
          <w:szCs w:val="26"/>
        </w:rPr>
        <w:t>.</w:t>
      </w:r>
    </w:p>
    <w:p w14:paraId="349D7449" w14:textId="77777777" w:rsidR="006B0C56" w:rsidRPr="006B0C56" w:rsidRDefault="006B0C56" w:rsidP="00A43616">
      <w:pPr>
        <w:numPr>
          <w:ilvl w:val="0"/>
          <w:numId w:val="1"/>
        </w:numPr>
        <w:tabs>
          <w:tab w:val="clear" w:pos="720"/>
        </w:tabs>
        <w:spacing w:beforeLines="120" w:before="288" w:afterLines="120" w:after="288" w:line="360" w:lineRule="auto"/>
        <w:ind w:left="84" w:hanging="567"/>
        <w:jc w:val="both"/>
        <w:rPr>
          <w:rFonts w:ascii="David" w:eastAsia="Times New Roman" w:hAnsi="David" w:cs="David"/>
          <w:sz w:val="26"/>
          <w:szCs w:val="26"/>
        </w:rPr>
      </w:pPr>
      <w:r w:rsidRPr="006B0C56">
        <w:rPr>
          <w:rFonts w:ascii="David" w:eastAsia="Times New Roman" w:hAnsi="David" w:cs="David"/>
          <w:sz w:val="26"/>
          <w:szCs w:val="26"/>
          <w:rtl/>
        </w:rPr>
        <w:t>אכן, השמאי המכריע ציין בעת קביעת ערכי הבסיס לדיור המוגן ולדיור בהישג יד כי הערכים שנקבעו מגלמים את מיקומו של הנכס בסמוך לכביש 1. בהמשך לכך הוחל מקדם 0.9 על השטחים שחזיתם גובלת בכביש. עם זאת, אין בעצם העובדה שהקרבה לכביש נזכרת בשני שלבים בתחשיב כדי ללמד כי אותו רכיב הופחת פעמיים</w:t>
      </w:r>
      <w:r w:rsidRPr="006B0C56">
        <w:rPr>
          <w:rFonts w:ascii="David" w:eastAsia="Times New Roman" w:hAnsi="David" w:cs="David"/>
          <w:sz w:val="26"/>
          <w:szCs w:val="26"/>
        </w:rPr>
        <w:t>.</w:t>
      </w:r>
    </w:p>
    <w:p w14:paraId="1782EE96" w14:textId="612F36B8" w:rsidR="006B0C56" w:rsidRPr="006B0C56" w:rsidRDefault="006B0C56" w:rsidP="00A43616">
      <w:pPr>
        <w:numPr>
          <w:ilvl w:val="0"/>
          <w:numId w:val="1"/>
        </w:numPr>
        <w:tabs>
          <w:tab w:val="clear" w:pos="720"/>
        </w:tabs>
        <w:spacing w:beforeLines="120" w:before="288" w:afterLines="120" w:after="288" w:line="360" w:lineRule="auto"/>
        <w:ind w:left="84" w:hanging="567"/>
        <w:jc w:val="both"/>
        <w:rPr>
          <w:rFonts w:ascii="David" w:eastAsia="Times New Roman" w:hAnsi="David" w:cs="David"/>
          <w:sz w:val="26"/>
          <w:szCs w:val="26"/>
        </w:rPr>
      </w:pPr>
      <w:r w:rsidRPr="006B0C56">
        <w:rPr>
          <w:rFonts w:ascii="David" w:eastAsia="Times New Roman" w:hAnsi="David" w:cs="David"/>
          <w:sz w:val="26"/>
          <w:szCs w:val="26"/>
          <w:rtl/>
        </w:rPr>
        <w:t>יש להבחין בין שני מאפיינים שמאיים שונים. האחד הוא מיקומו הכללי של הפרויק</w:t>
      </w:r>
      <w:r w:rsidR="00743A17">
        <w:rPr>
          <w:rFonts w:ascii="David" w:eastAsia="Times New Roman" w:hAnsi="David" w:cs="David" w:hint="cs"/>
          <w:sz w:val="26"/>
          <w:szCs w:val="26"/>
          <w:rtl/>
        </w:rPr>
        <w:t>ט:</w:t>
      </w:r>
      <w:r w:rsidRPr="006B0C56">
        <w:rPr>
          <w:rFonts w:ascii="David" w:eastAsia="Times New Roman" w:hAnsi="David" w:cs="David"/>
          <w:sz w:val="26"/>
          <w:szCs w:val="26"/>
        </w:rPr>
        <w:t xml:space="preserve"> </w:t>
      </w:r>
      <w:r w:rsidRPr="006B0C56">
        <w:rPr>
          <w:rFonts w:ascii="David" w:eastAsia="Times New Roman" w:hAnsi="David" w:cs="David"/>
          <w:sz w:val="26"/>
          <w:szCs w:val="26"/>
          <w:rtl/>
        </w:rPr>
        <w:t>מגרש 203 מצוי במתחם הגובל בכביש ארצי מרכזי, ועל כן התאמת נתוני ההשוואה לנכס הנישום יכולה להביא בחשבון את הסביבה הכללית שבה הוא מצוי. האחר הוא מיקומם היחסי של השטחים בתוך המגרש</w:t>
      </w:r>
      <w:r w:rsidR="00CE5AAD">
        <w:rPr>
          <w:rFonts w:ascii="David" w:eastAsia="Times New Roman" w:hAnsi="David" w:cs="David" w:hint="cs"/>
          <w:sz w:val="26"/>
          <w:szCs w:val="26"/>
          <w:rtl/>
        </w:rPr>
        <w:t xml:space="preserve">: </w:t>
      </w:r>
      <w:r w:rsidRPr="006B0C56">
        <w:rPr>
          <w:rFonts w:ascii="David" w:eastAsia="Times New Roman" w:hAnsi="David" w:cs="David"/>
          <w:sz w:val="26"/>
          <w:szCs w:val="26"/>
          <w:rtl/>
        </w:rPr>
        <w:t>גם בתוך פרויקט המצוי כולו בסמוך לכביש, ייתכן הבדל בין שטחים הפונים ישירות אל הכביש וגובלים בו לבין שטחים עורפיים או מרוחקים יותר ממנו</w:t>
      </w:r>
      <w:r w:rsidRPr="006B0C56">
        <w:rPr>
          <w:rFonts w:ascii="David" w:eastAsia="Times New Roman" w:hAnsi="David" w:cs="David"/>
          <w:sz w:val="26"/>
          <w:szCs w:val="26"/>
        </w:rPr>
        <w:t>.</w:t>
      </w:r>
    </w:p>
    <w:p w14:paraId="1507B0B5" w14:textId="007BE89E" w:rsidR="006B0C56" w:rsidRPr="006B0C56" w:rsidRDefault="006B0C56" w:rsidP="00A43616">
      <w:pPr>
        <w:numPr>
          <w:ilvl w:val="0"/>
          <w:numId w:val="1"/>
        </w:numPr>
        <w:tabs>
          <w:tab w:val="clear" w:pos="720"/>
        </w:tabs>
        <w:spacing w:beforeLines="120" w:before="288" w:afterLines="120" w:after="288" w:line="360" w:lineRule="auto"/>
        <w:ind w:left="84" w:hanging="567"/>
        <w:jc w:val="both"/>
        <w:rPr>
          <w:rFonts w:ascii="David" w:eastAsia="Times New Roman" w:hAnsi="David" w:cs="David"/>
          <w:sz w:val="26"/>
          <w:szCs w:val="26"/>
        </w:rPr>
      </w:pPr>
      <w:r w:rsidRPr="006B0C56">
        <w:rPr>
          <w:rFonts w:ascii="David" w:eastAsia="Times New Roman" w:hAnsi="David" w:cs="David"/>
          <w:sz w:val="26"/>
          <w:szCs w:val="26"/>
          <w:rtl/>
        </w:rPr>
        <w:t>כך, למשל, אין סתירה בכך ששווי כלל הדירות בפרויקט יותאם למיקומו הכללי בסמוך לדרך ראשית, ובה בעת דירות חזיתיות לדרך יוערכו בשווי נמוך מדירות עורפיות באותו פרויקט. ההפחתה הראשונה עוסקת במיקומו של הפרויקט</w:t>
      </w:r>
      <w:r w:rsidR="00BC0070">
        <w:rPr>
          <w:rFonts w:ascii="David" w:eastAsia="Times New Roman" w:hAnsi="David" w:cs="David" w:hint="cs"/>
          <w:sz w:val="26"/>
          <w:szCs w:val="26"/>
          <w:rtl/>
        </w:rPr>
        <w:t xml:space="preserve"> בסמיכות לדרך ארצית</w:t>
      </w:r>
      <w:r w:rsidRPr="006B0C56">
        <w:rPr>
          <w:rFonts w:ascii="David" w:eastAsia="Times New Roman" w:hAnsi="David" w:cs="David"/>
          <w:sz w:val="26"/>
          <w:szCs w:val="26"/>
          <w:rtl/>
        </w:rPr>
        <w:t xml:space="preserve"> ביחס לנתוני ההשוואה; השנייה עוסקת בהבדלי המיקום הפנימיים בין חלקי הפרויקט עצמו</w:t>
      </w:r>
      <w:r w:rsidRPr="006B0C56">
        <w:rPr>
          <w:rFonts w:ascii="David" w:eastAsia="Times New Roman" w:hAnsi="David" w:cs="David"/>
          <w:sz w:val="26"/>
          <w:szCs w:val="26"/>
        </w:rPr>
        <w:t>.</w:t>
      </w:r>
    </w:p>
    <w:p w14:paraId="6312DCC7" w14:textId="033E9E44" w:rsidR="006B0C56" w:rsidRPr="006B0C56" w:rsidRDefault="006B0C56" w:rsidP="00A43616">
      <w:pPr>
        <w:numPr>
          <w:ilvl w:val="0"/>
          <w:numId w:val="1"/>
        </w:numPr>
        <w:tabs>
          <w:tab w:val="clear" w:pos="720"/>
        </w:tabs>
        <w:spacing w:beforeLines="120" w:before="288" w:afterLines="120" w:after="288" w:line="360" w:lineRule="auto"/>
        <w:ind w:left="84" w:hanging="567"/>
        <w:jc w:val="both"/>
        <w:rPr>
          <w:rFonts w:ascii="David" w:eastAsia="Times New Roman" w:hAnsi="David" w:cs="David"/>
          <w:sz w:val="26"/>
          <w:szCs w:val="26"/>
        </w:rPr>
      </w:pPr>
      <w:r w:rsidRPr="006B0C56">
        <w:rPr>
          <w:rFonts w:ascii="David" w:eastAsia="Times New Roman" w:hAnsi="David" w:cs="David"/>
          <w:sz w:val="26"/>
          <w:szCs w:val="26"/>
          <w:rtl/>
        </w:rPr>
        <w:t>דרך הילוכו של השמאי המכריע עולה גם ממבנה התחשיב. בעמוד 84 לשומה לא הוחל מקדם 0.9 באופן גורף על כלל שטחי הדיור המוגן או הדיור בהישג יד. השמאי פיצל כל אחד מן השימושים לשתי קבוצות שוות: שטחים שחזיתם אינה גובלת בכביש, במקדם 1.0, ושטחים שחזיתם גובלת בכביש, במקדם 0.9. הבחנה מפורשת זו תומכת במסקנה כי המקדם הנוסף נועד לבטא את החשיפה הישירה של חלק מן השטחים, ולא לחזור על ההתאמה הכללית למיקומו של המגר</w:t>
      </w:r>
      <w:r w:rsidR="00C02034">
        <w:rPr>
          <w:rFonts w:ascii="David" w:eastAsia="Times New Roman" w:hAnsi="David" w:cs="David" w:hint="cs"/>
          <w:sz w:val="26"/>
          <w:szCs w:val="26"/>
          <w:rtl/>
        </w:rPr>
        <w:t>ש, כפי שטענה הוועדה המקומית.</w:t>
      </w:r>
      <w:r w:rsidRPr="006B0C56">
        <w:rPr>
          <w:rFonts w:ascii="David" w:eastAsia="Times New Roman" w:hAnsi="David" w:cs="David"/>
          <w:sz w:val="26"/>
          <w:szCs w:val="26"/>
        </w:rPr>
        <w:t xml:space="preserve"> </w:t>
      </w:r>
    </w:p>
    <w:p w14:paraId="65ACB401" w14:textId="59C91661" w:rsidR="006B0C56" w:rsidRDefault="006B0C56" w:rsidP="00A43616">
      <w:pPr>
        <w:numPr>
          <w:ilvl w:val="0"/>
          <w:numId w:val="1"/>
        </w:numPr>
        <w:tabs>
          <w:tab w:val="clear" w:pos="720"/>
        </w:tabs>
        <w:spacing w:beforeLines="120" w:before="288" w:afterLines="120" w:after="288" w:line="360" w:lineRule="auto"/>
        <w:ind w:left="84" w:hanging="567"/>
        <w:jc w:val="both"/>
        <w:rPr>
          <w:rFonts w:ascii="David" w:eastAsia="Times New Roman" w:hAnsi="David" w:cs="David"/>
          <w:sz w:val="26"/>
          <w:szCs w:val="26"/>
        </w:rPr>
      </w:pPr>
      <w:r w:rsidRPr="006B0C56">
        <w:rPr>
          <w:rFonts w:ascii="David" w:eastAsia="Times New Roman" w:hAnsi="David" w:cs="David"/>
          <w:sz w:val="26"/>
          <w:szCs w:val="26"/>
          <w:rtl/>
        </w:rPr>
        <w:t xml:space="preserve">כדי לבסס טענה לכפל הפחתה, לא היה די להראות כי השמאי המכריע התייחס פעמיים לכביש 1. היה על העוררת להראות כי בעת קביעת ערכי הבסיס של 3,800 ש"ח ושל 2,600 ש"ח כבר הובאה בחשבון, באופן נפרד ומלא, אותה חשיפה חזיתית ישירה שבגינה הוחל לאחר מכן מקדם 0.9. תשתית כזו לא הונחה. לשון השומה בשלב קביעת ערכי הבסיס מתייחסת למיקומו של הנכס </w:t>
      </w:r>
      <w:r w:rsidR="000862CB">
        <w:rPr>
          <w:rFonts w:ascii="David" w:eastAsia="Times New Roman" w:hAnsi="David" w:cs="David" w:hint="cs"/>
          <w:sz w:val="26"/>
          <w:szCs w:val="26"/>
          <w:rtl/>
        </w:rPr>
        <w:t>"</w:t>
      </w:r>
      <w:r w:rsidRPr="006B0C56">
        <w:rPr>
          <w:rFonts w:ascii="David" w:eastAsia="Times New Roman" w:hAnsi="David" w:cs="David"/>
          <w:sz w:val="26"/>
          <w:szCs w:val="26"/>
          <w:rtl/>
        </w:rPr>
        <w:t>בסמוך</w:t>
      </w:r>
      <w:r w:rsidR="000862CB">
        <w:rPr>
          <w:rFonts w:ascii="David" w:eastAsia="Times New Roman" w:hAnsi="David" w:cs="David" w:hint="cs"/>
          <w:sz w:val="26"/>
          <w:szCs w:val="26"/>
          <w:rtl/>
        </w:rPr>
        <w:t>"</w:t>
      </w:r>
      <w:r w:rsidRPr="006B0C56">
        <w:rPr>
          <w:rFonts w:ascii="David" w:eastAsia="Times New Roman" w:hAnsi="David" w:cs="David"/>
          <w:sz w:val="26"/>
          <w:szCs w:val="26"/>
          <w:rtl/>
        </w:rPr>
        <w:t xml:space="preserve"> לכביש 1, ואילו התחשיב הסופי מתייחס באופן ממוקד לשאלה אם חזיתם של השטחים גובלת בכביש. אין מדובר בהכרח באותו מאפיין</w:t>
      </w:r>
      <w:r w:rsidRPr="006B0C56">
        <w:rPr>
          <w:rFonts w:ascii="David" w:eastAsia="Times New Roman" w:hAnsi="David" w:cs="David"/>
          <w:sz w:val="26"/>
          <w:szCs w:val="26"/>
        </w:rPr>
        <w:t>.</w:t>
      </w:r>
    </w:p>
    <w:p w14:paraId="126C7370" w14:textId="77777777" w:rsidR="00FE1DB2" w:rsidRPr="006B0C56" w:rsidRDefault="00FE1DB2" w:rsidP="00FE1DB2">
      <w:pPr>
        <w:spacing w:beforeLines="120" w:before="288" w:afterLines="120" w:after="288" w:line="360" w:lineRule="auto"/>
        <w:ind w:left="84"/>
        <w:jc w:val="both"/>
        <w:rPr>
          <w:rFonts w:ascii="David" w:eastAsia="Times New Roman" w:hAnsi="David" w:cs="David"/>
          <w:sz w:val="26"/>
          <w:szCs w:val="26"/>
        </w:rPr>
      </w:pPr>
    </w:p>
    <w:p w14:paraId="2D8271EA" w14:textId="2ABFB900" w:rsidR="006B0C56" w:rsidRPr="006B0C56" w:rsidRDefault="006B0C56" w:rsidP="00A43616">
      <w:pPr>
        <w:numPr>
          <w:ilvl w:val="0"/>
          <w:numId w:val="1"/>
        </w:numPr>
        <w:tabs>
          <w:tab w:val="clear" w:pos="720"/>
        </w:tabs>
        <w:spacing w:beforeLines="120" w:before="288" w:afterLines="120" w:after="288" w:line="360" w:lineRule="auto"/>
        <w:ind w:left="84" w:hanging="567"/>
        <w:jc w:val="both"/>
        <w:rPr>
          <w:rFonts w:ascii="David" w:eastAsia="Times New Roman" w:hAnsi="David" w:cs="David"/>
          <w:sz w:val="26"/>
          <w:szCs w:val="26"/>
        </w:rPr>
      </w:pPr>
      <w:r w:rsidRPr="006B0C56">
        <w:rPr>
          <w:rFonts w:ascii="David" w:eastAsia="Times New Roman" w:hAnsi="David" w:cs="David"/>
          <w:sz w:val="26"/>
          <w:szCs w:val="26"/>
          <w:rtl/>
        </w:rPr>
        <w:lastRenderedPageBreak/>
        <w:t xml:space="preserve">אף אין בידינו לקבל את הטענה כי היה על השמאי המכריע לפרט מעבר לכך את ההבחנה בין שני הרבדים. השומה המכרעת מציגה את ערכי הבסיס, ולאחר מכן מפרטת בטבלה את ההבחנה בין השטחים החזיתיים לבין יתר השטחים ואת המקדם שניתן לכל קבוצה. דרך החישוב ניתנת להבנה וביקורת, </w:t>
      </w:r>
      <w:r w:rsidR="00A33B2A">
        <w:rPr>
          <w:rFonts w:ascii="David" w:eastAsia="Times New Roman" w:hAnsi="David" w:cs="David" w:hint="cs"/>
          <w:sz w:val="26"/>
          <w:szCs w:val="26"/>
          <w:rtl/>
        </w:rPr>
        <w:t>ולמעשה מפורטת דיה על מנת להבהיר את כוונתו של השמאי המכריע</w:t>
      </w:r>
      <w:r w:rsidRPr="006B0C56">
        <w:rPr>
          <w:rFonts w:ascii="David" w:eastAsia="Times New Roman" w:hAnsi="David" w:cs="David"/>
          <w:sz w:val="26"/>
          <w:szCs w:val="26"/>
        </w:rPr>
        <w:t>.</w:t>
      </w:r>
    </w:p>
    <w:p w14:paraId="0058F8E6" w14:textId="0D15FBA0" w:rsidR="006B0C56" w:rsidRPr="006B0C56" w:rsidRDefault="006B0C56" w:rsidP="00A43616">
      <w:pPr>
        <w:numPr>
          <w:ilvl w:val="0"/>
          <w:numId w:val="1"/>
        </w:numPr>
        <w:tabs>
          <w:tab w:val="clear" w:pos="720"/>
        </w:tabs>
        <w:spacing w:beforeLines="120" w:before="288" w:afterLines="120" w:after="288" w:line="360" w:lineRule="auto"/>
        <w:ind w:left="84" w:hanging="567"/>
        <w:jc w:val="both"/>
        <w:rPr>
          <w:rFonts w:ascii="David" w:eastAsia="Times New Roman" w:hAnsi="David" w:cs="David"/>
          <w:sz w:val="26"/>
          <w:szCs w:val="26"/>
        </w:rPr>
      </w:pPr>
      <w:r w:rsidRPr="006B0C56">
        <w:rPr>
          <w:rFonts w:ascii="David" w:eastAsia="Times New Roman" w:hAnsi="David" w:cs="David"/>
          <w:sz w:val="26"/>
          <w:szCs w:val="26"/>
          <w:rtl/>
        </w:rPr>
        <w:t>הטענה שהועלתה לפנינו היא כי עצם החלת</w:t>
      </w:r>
      <w:r w:rsidR="00626641">
        <w:rPr>
          <w:rFonts w:ascii="David" w:eastAsia="Times New Roman" w:hAnsi="David" w:cs="David" w:hint="cs"/>
          <w:sz w:val="26"/>
          <w:szCs w:val="26"/>
          <w:rtl/>
        </w:rPr>
        <w:t xml:space="preserve"> המקדם</w:t>
      </w:r>
      <w:r w:rsidRPr="006B0C56">
        <w:rPr>
          <w:rFonts w:ascii="David" w:eastAsia="Times New Roman" w:hAnsi="David" w:cs="David"/>
          <w:sz w:val="26"/>
          <w:szCs w:val="26"/>
          <w:rtl/>
        </w:rPr>
        <w:t xml:space="preserve"> יוצרת כפל הפחתה. טענה זו אינה מוכחת. קביעת ההבדל בין השפעת המיקום הכללי לבין השפעתה של חזית ישירה לכביש היא קביעה שמאית מקצועית המצויה בתחום מומחיותו של השמאי המכריע, ולא הוצג פגם מהותי המצדיק את התערבות ועדת הערר בה</w:t>
      </w:r>
      <w:r w:rsidRPr="006B0C56">
        <w:rPr>
          <w:rFonts w:ascii="David" w:eastAsia="Times New Roman" w:hAnsi="David" w:cs="David"/>
          <w:sz w:val="26"/>
          <w:szCs w:val="26"/>
        </w:rPr>
        <w:t>.</w:t>
      </w:r>
    </w:p>
    <w:p w14:paraId="70514FB1" w14:textId="2ADA73ED" w:rsidR="006B0C56" w:rsidRDefault="006B0C56" w:rsidP="00A43616">
      <w:pPr>
        <w:numPr>
          <w:ilvl w:val="0"/>
          <w:numId w:val="1"/>
        </w:numPr>
        <w:tabs>
          <w:tab w:val="clear" w:pos="720"/>
        </w:tabs>
        <w:spacing w:beforeLines="120" w:before="288" w:afterLines="120" w:after="288" w:line="360" w:lineRule="auto"/>
        <w:ind w:left="84" w:hanging="567"/>
        <w:jc w:val="both"/>
        <w:rPr>
          <w:rFonts w:ascii="David" w:eastAsia="Times New Roman" w:hAnsi="David" w:cs="David"/>
          <w:sz w:val="26"/>
          <w:szCs w:val="26"/>
        </w:rPr>
      </w:pPr>
      <w:r w:rsidRPr="006B0C56">
        <w:rPr>
          <w:rFonts w:ascii="David" w:eastAsia="Times New Roman" w:hAnsi="David" w:cs="David"/>
          <w:sz w:val="26"/>
          <w:szCs w:val="26"/>
          <w:rtl/>
        </w:rPr>
        <w:t>לפיכך, טענת העוררת בדבר כפל הפחתה בגין הקרבה לכביש 1 נדחית</w:t>
      </w:r>
      <w:r w:rsidRPr="006B0C56">
        <w:rPr>
          <w:rFonts w:ascii="David" w:eastAsia="Times New Roman" w:hAnsi="David" w:cs="David"/>
          <w:sz w:val="26"/>
          <w:szCs w:val="26"/>
        </w:rPr>
        <w:t>.</w:t>
      </w:r>
    </w:p>
    <w:p w14:paraId="199E1DF9" w14:textId="6236516E" w:rsidR="000D5FBD" w:rsidRDefault="000D5FBD" w:rsidP="00DF0498">
      <w:pPr>
        <w:spacing w:beforeLines="120" w:before="288" w:afterLines="120" w:after="288" w:line="360" w:lineRule="auto"/>
        <w:jc w:val="both"/>
        <w:rPr>
          <w:rFonts w:ascii="David" w:eastAsia="Times New Roman" w:hAnsi="David" w:cs="David"/>
          <w:sz w:val="26"/>
          <w:szCs w:val="26"/>
          <w:rtl/>
        </w:rPr>
      </w:pPr>
    </w:p>
    <w:p w14:paraId="68F23B62" w14:textId="0B7B2CB6" w:rsidR="000D5FBD" w:rsidRPr="00D46E11" w:rsidRDefault="000D5FBD" w:rsidP="00DF0498">
      <w:pPr>
        <w:spacing w:beforeLines="120" w:before="288" w:afterLines="120" w:after="288" w:line="360" w:lineRule="auto"/>
        <w:jc w:val="both"/>
        <w:rPr>
          <w:rFonts w:ascii="David" w:eastAsia="Times New Roman" w:hAnsi="David" w:cs="David"/>
          <w:b/>
          <w:bCs/>
          <w:sz w:val="30"/>
          <w:szCs w:val="30"/>
          <w:u w:val="single"/>
        </w:rPr>
      </w:pPr>
      <w:r>
        <w:rPr>
          <w:rFonts w:ascii="David" w:eastAsia="Times New Roman" w:hAnsi="David" w:cs="David"/>
          <w:b/>
          <w:bCs/>
          <w:sz w:val="30"/>
          <w:szCs w:val="30"/>
          <w:u w:val="single"/>
          <w:rtl/>
        </w:rPr>
        <w:t>הטענה בדבר אי התייחסות לשומת דודזון שמאמה</w:t>
      </w:r>
    </w:p>
    <w:p w14:paraId="2FDD0FD2" w14:textId="77777777" w:rsidR="000D5FBD" w:rsidRPr="00261385" w:rsidRDefault="000D5FBD" w:rsidP="00DF0498">
      <w:pPr>
        <w:spacing w:beforeLines="120" w:before="288" w:afterLines="120" w:after="288" w:line="360" w:lineRule="auto"/>
        <w:jc w:val="both"/>
        <w:rPr>
          <w:rFonts w:ascii="David" w:eastAsia="Times New Roman" w:hAnsi="David" w:cs="David"/>
          <w:b/>
          <w:bCs/>
          <w:sz w:val="26"/>
          <w:szCs w:val="26"/>
          <w:u w:val="single"/>
        </w:rPr>
      </w:pPr>
      <w:r w:rsidRPr="00261385">
        <w:rPr>
          <w:rFonts w:ascii="David" w:eastAsia="Times New Roman" w:hAnsi="David" w:cs="David"/>
          <w:b/>
          <w:bCs/>
          <w:sz w:val="26"/>
          <w:szCs w:val="26"/>
          <w:u w:val="single"/>
          <w:rtl/>
        </w:rPr>
        <w:t>טענות הצדדים</w:t>
      </w:r>
    </w:p>
    <w:p w14:paraId="4EB4B05F" w14:textId="0F6EF55F" w:rsidR="000D5FBD" w:rsidRPr="000D5FBD" w:rsidRDefault="00E9578F" w:rsidP="00A43616">
      <w:pPr>
        <w:numPr>
          <w:ilvl w:val="0"/>
          <w:numId w:val="1"/>
        </w:numPr>
        <w:tabs>
          <w:tab w:val="clear" w:pos="720"/>
        </w:tabs>
        <w:spacing w:beforeLines="120" w:before="288" w:afterLines="120" w:after="288" w:line="360" w:lineRule="auto"/>
        <w:ind w:left="84" w:hanging="567"/>
        <w:jc w:val="both"/>
        <w:rPr>
          <w:rFonts w:ascii="David" w:eastAsia="Times New Roman" w:hAnsi="David" w:cs="David"/>
          <w:sz w:val="26"/>
          <w:szCs w:val="26"/>
        </w:rPr>
      </w:pPr>
      <w:r>
        <w:rPr>
          <w:rFonts w:ascii="David" w:eastAsia="Times New Roman" w:hAnsi="David" w:cs="David" w:hint="cs"/>
          <w:sz w:val="26"/>
          <w:szCs w:val="26"/>
          <w:rtl/>
        </w:rPr>
        <w:t>הוועדה המקומית טוענת כי בעת קביעת שווי הזכויות לדיור מוגן היה על השמאי המכריע להידרש לשומתה המכרעת של השמאית אוולין דודזון שמאמה, אשר הוצגה לפניו במסגרת ההליך. לפי הנטען, אותה שומה נערכה ביחס לפרויקט בעל מאפיינים דומים: מועד קובע קרוב, היקף דומה של יחידות דיור מוגן, עירוב שימושים ואוכלוסיית יעד בעלת מאפיינים דומים. עוד נטען כי גם שומת דודזון שמאמה התבססה על גישת ההשוואה ועל ניתוח מכרזי רשות מקרקעי ישראל, ואף על חלק מנתוני ההשוואה שנבחנו בענייננו, אך הגיעה לשווי של 5,000 ש"ח למ"ר מבונה, לעומת 3,800 ש"ח למ"ר שקבע השמאי המכריע.</w:t>
      </w:r>
    </w:p>
    <w:p w14:paraId="04DF187D" w14:textId="2FA7985E" w:rsidR="000D5FBD" w:rsidRPr="000D5FBD" w:rsidRDefault="000D5FBD" w:rsidP="00A43616">
      <w:pPr>
        <w:numPr>
          <w:ilvl w:val="0"/>
          <w:numId w:val="1"/>
        </w:numPr>
        <w:tabs>
          <w:tab w:val="clear" w:pos="720"/>
        </w:tabs>
        <w:spacing w:beforeLines="120" w:before="288" w:afterLines="120" w:after="288" w:line="360" w:lineRule="auto"/>
        <w:ind w:left="84" w:hanging="567"/>
        <w:jc w:val="both"/>
        <w:rPr>
          <w:rFonts w:ascii="David" w:eastAsia="Times New Roman" w:hAnsi="David" w:cs="David"/>
          <w:sz w:val="26"/>
          <w:szCs w:val="26"/>
        </w:rPr>
      </w:pPr>
      <w:r>
        <w:rPr>
          <w:rFonts w:ascii="David" w:eastAsia="Times New Roman" w:hAnsi="David" w:cs="David"/>
          <w:sz w:val="26"/>
          <w:szCs w:val="26"/>
          <w:rtl/>
        </w:rPr>
        <w:t>לשיטת הוועדה המקומית, היא אינה מבקשת לראות בשומת דודזון שמאמה מקור מחייב או לאמץ את תוצאתה באופן אוטומטי. טענתה היא כי לנוכח הדמיון הנטען בין השומות ולנוכח הפער בתוצאה, היה על השמאי המכריע להסביר מדוע אין הוא נותן לה משקל. משלא עשה כן, נטען כי השומה המכרעת לוקה בחוסר הנמקה. העוררת הוסיפה כי הערר שהוגש על שומת דודזון שמאמה אינו עוסק בשווי הדיור המוגן שנקבע בה, ועל כן אין בעצם הגשתו כדי להפחית ממשקלה לעניין שלפנינו.</w:t>
      </w:r>
    </w:p>
    <w:p w14:paraId="7DBB1D11" w14:textId="01A2C252" w:rsidR="000D5FBD" w:rsidRPr="000D5FBD" w:rsidRDefault="000D5FBD" w:rsidP="00A43616">
      <w:pPr>
        <w:numPr>
          <w:ilvl w:val="0"/>
          <w:numId w:val="1"/>
        </w:numPr>
        <w:tabs>
          <w:tab w:val="clear" w:pos="720"/>
        </w:tabs>
        <w:spacing w:beforeLines="120" w:before="288" w:afterLines="120" w:after="288" w:line="360" w:lineRule="auto"/>
        <w:ind w:left="84" w:hanging="567"/>
        <w:jc w:val="both"/>
        <w:rPr>
          <w:rFonts w:ascii="David" w:eastAsia="Times New Roman" w:hAnsi="David" w:cs="David"/>
          <w:sz w:val="26"/>
          <w:szCs w:val="26"/>
        </w:rPr>
      </w:pPr>
      <w:r>
        <w:rPr>
          <w:rFonts w:ascii="David" w:eastAsia="Times New Roman" w:hAnsi="David" w:cs="David"/>
          <w:sz w:val="26"/>
          <w:szCs w:val="26"/>
          <w:rtl/>
        </w:rPr>
        <w:t>המשיבות טוענות מנגד כי שומת דודזון שמאמה אינה עסקת השוואה ואינה נתון שוק ראשוני, אלא מסקנה מקצועית של שמאית אחרת ביחס למקרקעין אחרים. לטענתן, שמאי מכריע אינו מחויב להתייחס בנפרד לכל שומה מכרעת שהוגשה לפניו, ובוודאי שאין פער בין תוצאת שומה אחת לאחרת מקים, כשלעצמו, עילה להתערבות.</w:t>
      </w:r>
    </w:p>
    <w:p w14:paraId="0E571515" w14:textId="77777777" w:rsidR="000D5FBD" w:rsidRPr="000D5FBD" w:rsidRDefault="000D5FBD" w:rsidP="00A43616">
      <w:pPr>
        <w:numPr>
          <w:ilvl w:val="0"/>
          <w:numId w:val="1"/>
        </w:numPr>
        <w:tabs>
          <w:tab w:val="clear" w:pos="720"/>
        </w:tabs>
        <w:spacing w:beforeLines="120" w:before="288" w:afterLines="120" w:after="288" w:line="360" w:lineRule="auto"/>
        <w:ind w:left="84" w:hanging="567"/>
        <w:jc w:val="both"/>
        <w:rPr>
          <w:rFonts w:ascii="David" w:eastAsia="Times New Roman" w:hAnsi="David" w:cs="David"/>
          <w:sz w:val="26"/>
          <w:szCs w:val="26"/>
        </w:rPr>
      </w:pPr>
      <w:r w:rsidRPr="000D5FBD">
        <w:rPr>
          <w:rFonts w:ascii="David" w:eastAsia="Times New Roman" w:hAnsi="David" w:cs="David"/>
          <w:sz w:val="26"/>
          <w:szCs w:val="26"/>
          <w:rtl/>
        </w:rPr>
        <w:lastRenderedPageBreak/>
        <w:t>המשיבות מדגישות כי השמאי המכריע לא קבע את השווי על דרך של אומדן כללי או בהסתמך על מקור יחיד. הוא בחן מכרזי רמ"י רבים, ניתח אותם, ערך התאמות למועד, למיקום ולהיקף הפרויקט, והגיע לתוצאה עצמאית. לשיטתן, לא ניתן לתקוף שומה מפורטת, הנשענת על נתוני שוק, רק משום ששמאית אחרת הגיעה בנכס אחר לתוצאה שונה</w:t>
      </w:r>
      <w:r w:rsidRPr="000D5FBD">
        <w:rPr>
          <w:rFonts w:ascii="David" w:eastAsia="Times New Roman" w:hAnsi="David" w:cs="David"/>
          <w:sz w:val="26"/>
          <w:szCs w:val="26"/>
        </w:rPr>
        <w:t>.</w:t>
      </w:r>
    </w:p>
    <w:p w14:paraId="3DD07C81" w14:textId="77777777" w:rsidR="000D5FBD" w:rsidRPr="000373BA" w:rsidRDefault="000D5FBD" w:rsidP="00DF0498">
      <w:pPr>
        <w:spacing w:beforeLines="120" w:before="288" w:afterLines="120" w:after="288" w:line="360" w:lineRule="auto"/>
        <w:jc w:val="both"/>
        <w:rPr>
          <w:rFonts w:ascii="David" w:eastAsia="Times New Roman" w:hAnsi="David" w:cs="David"/>
          <w:b/>
          <w:bCs/>
          <w:sz w:val="28"/>
          <w:szCs w:val="28"/>
          <w:u w:val="single"/>
        </w:rPr>
      </w:pPr>
      <w:r w:rsidRPr="000373BA">
        <w:rPr>
          <w:rFonts w:ascii="David" w:eastAsia="Times New Roman" w:hAnsi="David" w:cs="David"/>
          <w:b/>
          <w:bCs/>
          <w:sz w:val="28"/>
          <w:szCs w:val="28"/>
          <w:u w:val="single"/>
          <w:rtl/>
        </w:rPr>
        <w:t>דיון והכרעה</w:t>
      </w:r>
    </w:p>
    <w:p w14:paraId="02452B59" w14:textId="38307CA2" w:rsidR="000D5FBD" w:rsidRPr="00712D08" w:rsidRDefault="000D5FBD" w:rsidP="00712D08">
      <w:pPr>
        <w:spacing w:beforeLines="120" w:before="288" w:afterLines="120" w:after="288" w:line="360" w:lineRule="auto"/>
        <w:jc w:val="both"/>
        <w:rPr>
          <w:rFonts w:ascii="David" w:eastAsia="Times New Roman" w:hAnsi="David" w:cs="David"/>
          <w:b/>
          <w:bCs/>
          <w:sz w:val="26"/>
          <w:szCs w:val="26"/>
          <w:u w:val="single"/>
        </w:rPr>
      </w:pPr>
      <w:r w:rsidRPr="00712D08">
        <w:rPr>
          <w:rFonts w:ascii="David" w:eastAsia="Times New Roman" w:hAnsi="David" w:cs="David"/>
          <w:b/>
          <w:bCs/>
          <w:sz w:val="26"/>
          <w:szCs w:val="26"/>
          <w:u w:val="single"/>
          <w:rtl/>
        </w:rPr>
        <w:t xml:space="preserve">המסגרת הנורמטיבית </w:t>
      </w:r>
      <w:r w:rsidR="00047FE8" w:rsidRPr="00712D08">
        <w:rPr>
          <w:rFonts w:ascii="David" w:eastAsia="Times New Roman" w:hAnsi="David" w:cs="David" w:hint="cs"/>
          <w:b/>
          <w:bCs/>
          <w:sz w:val="26"/>
          <w:szCs w:val="26"/>
          <w:u w:val="single"/>
          <w:rtl/>
        </w:rPr>
        <w:t>-</w:t>
      </w:r>
      <w:r w:rsidRPr="00712D08">
        <w:rPr>
          <w:rFonts w:ascii="David" w:eastAsia="Times New Roman" w:hAnsi="David" w:cs="David"/>
          <w:b/>
          <w:bCs/>
          <w:sz w:val="26"/>
          <w:szCs w:val="26"/>
          <w:u w:val="single"/>
          <w:rtl/>
        </w:rPr>
        <w:t xml:space="preserve"> משקלה של שומה </w:t>
      </w:r>
      <w:r w:rsidR="00F00510" w:rsidRPr="00712D08">
        <w:rPr>
          <w:rFonts w:ascii="David" w:eastAsia="Times New Roman" w:hAnsi="David" w:cs="David" w:hint="cs"/>
          <w:b/>
          <w:bCs/>
          <w:sz w:val="26"/>
          <w:szCs w:val="26"/>
          <w:u w:val="single"/>
          <w:rtl/>
        </w:rPr>
        <w:t xml:space="preserve">מכרעת </w:t>
      </w:r>
      <w:r w:rsidRPr="00712D08">
        <w:rPr>
          <w:rFonts w:ascii="David" w:eastAsia="Times New Roman" w:hAnsi="David" w:cs="David"/>
          <w:b/>
          <w:bCs/>
          <w:sz w:val="26"/>
          <w:szCs w:val="26"/>
          <w:u w:val="single"/>
          <w:rtl/>
        </w:rPr>
        <w:t>נוספת</w:t>
      </w:r>
      <w:r w:rsidR="00F00510" w:rsidRPr="00712D08">
        <w:rPr>
          <w:rFonts w:ascii="David" w:eastAsia="Times New Roman" w:hAnsi="David" w:cs="David" w:hint="cs"/>
          <w:b/>
          <w:bCs/>
          <w:sz w:val="26"/>
          <w:szCs w:val="26"/>
          <w:u w:val="single"/>
          <w:rtl/>
        </w:rPr>
        <w:t xml:space="preserve"> לענייננו</w:t>
      </w:r>
    </w:p>
    <w:p w14:paraId="262A5E14" w14:textId="77777777" w:rsidR="00712D08" w:rsidRPr="00EE6D43" w:rsidRDefault="00712D08" w:rsidP="00EE6D43">
      <w:pPr>
        <w:numPr>
          <w:ilvl w:val="0"/>
          <w:numId w:val="1"/>
        </w:numPr>
        <w:tabs>
          <w:tab w:val="clear" w:pos="720"/>
        </w:tabs>
        <w:spacing w:beforeLines="120" w:before="288" w:afterLines="120" w:after="288" w:line="360" w:lineRule="auto"/>
        <w:ind w:left="84" w:hanging="567"/>
        <w:jc w:val="both"/>
        <w:rPr>
          <w:rFonts w:ascii="David" w:eastAsia="Times New Roman" w:hAnsi="David" w:cs="David"/>
          <w:sz w:val="26"/>
          <w:szCs w:val="26"/>
        </w:rPr>
      </w:pPr>
      <w:r w:rsidRPr="00EE6D43">
        <w:rPr>
          <w:rFonts w:ascii="David" w:eastAsia="Times New Roman" w:hAnsi="David" w:cs="David"/>
          <w:sz w:val="26"/>
          <w:szCs w:val="26"/>
          <w:rtl/>
        </w:rPr>
        <w:t>הוועדה המקומית טוענת כי לנוכח הדמיון הנטען בין הפרויקטים, סוג השימוש, המועדים הקובעים והחפיפה בחלק מנתוני ההשוואה, היה על השמאי המכריע להידרש לשומת דודזון שמאמה ולהסביר מדוע אין בתוצאה שנקבעה בה כדי לשנות ממסקנתו. לשיטתה, היעדר התייחסות כאמור הוא פגם חמור המצדיק את התערבותנו. אין בידינו לקבל טענה זו</w:t>
      </w:r>
      <w:r w:rsidRPr="00EE6D43">
        <w:rPr>
          <w:rFonts w:ascii="David" w:eastAsia="Times New Roman" w:hAnsi="David" w:cs="David"/>
          <w:sz w:val="26"/>
          <w:szCs w:val="26"/>
        </w:rPr>
        <w:t>.</w:t>
      </w:r>
    </w:p>
    <w:p w14:paraId="4267E9AD" w14:textId="56C8F5F2" w:rsidR="00712D08" w:rsidRPr="00EE6D43" w:rsidRDefault="00712D08" w:rsidP="00EE6D43">
      <w:pPr>
        <w:numPr>
          <w:ilvl w:val="0"/>
          <w:numId w:val="1"/>
        </w:numPr>
        <w:tabs>
          <w:tab w:val="clear" w:pos="720"/>
        </w:tabs>
        <w:spacing w:beforeLines="120" w:before="288" w:afterLines="120" w:after="288" w:line="360" w:lineRule="auto"/>
        <w:ind w:left="84" w:hanging="567"/>
        <w:jc w:val="both"/>
        <w:rPr>
          <w:rFonts w:ascii="David" w:eastAsia="Times New Roman" w:hAnsi="David" w:cs="David"/>
          <w:sz w:val="26"/>
          <w:szCs w:val="26"/>
        </w:rPr>
      </w:pPr>
      <w:r w:rsidRPr="00EE6D43">
        <w:rPr>
          <w:rFonts w:ascii="David" w:eastAsia="Times New Roman" w:hAnsi="David" w:cs="David"/>
          <w:sz w:val="26"/>
          <w:szCs w:val="26"/>
          <w:rtl/>
        </w:rPr>
        <w:t>שומה מכרעת שנערכה ביחס למקרקעין אחרים עשויה לשמש מקור מקצועי מסייע או אמצעי לבחינת סבירותה של השומה הנדונה. תקן 2.1 מכיר באפשרות להסתייע בערכי שווי שנקבעו בשומות אחרות, ומייחס משקל גבוה יותר לשומות שנערכו במסגרת הליך שיפוטי או מעין-שיפוטי, ובכלל זה לשומות מכריעות (סעיף 4.4 לתקן). עם זאת, משקלה של שומה אחרת תלוי במידת הדמיון בין המקרקעין והזכויות, במועדים הקובעים, במסדי הנתונים ובהתאמות שנערכו. היא אינה שקולה לעסקת שוק ישירה, שניתן להתאימה לנכס הנישום במידה מזערית, ואינה בגדר תקדים המחייב את השמאי המכריע להגיע לאותה תוצאה</w:t>
      </w:r>
      <w:r w:rsidRPr="00EE6D43">
        <w:rPr>
          <w:rFonts w:ascii="David" w:eastAsia="Times New Roman" w:hAnsi="David" w:cs="David"/>
          <w:sz w:val="26"/>
          <w:szCs w:val="26"/>
        </w:rPr>
        <w:t>.</w:t>
      </w:r>
    </w:p>
    <w:p w14:paraId="277C6578" w14:textId="0A919826" w:rsidR="00712D08" w:rsidRPr="00EE6D43" w:rsidRDefault="00712D08" w:rsidP="00EE6D43">
      <w:pPr>
        <w:numPr>
          <w:ilvl w:val="0"/>
          <w:numId w:val="1"/>
        </w:numPr>
        <w:tabs>
          <w:tab w:val="clear" w:pos="720"/>
        </w:tabs>
        <w:spacing w:beforeLines="120" w:before="288" w:afterLines="120" w:after="288" w:line="360" w:lineRule="auto"/>
        <w:ind w:left="84" w:hanging="567"/>
        <w:jc w:val="both"/>
        <w:rPr>
          <w:rFonts w:ascii="David" w:eastAsia="Times New Roman" w:hAnsi="David" w:cs="David"/>
          <w:sz w:val="26"/>
          <w:szCs w:val="26"/>
        </w:rPr>
      </w:pPr>
      <w:r w:rsidRPr="00EE6D43">
        <w:rPr>
          <w:rFonts w:ascii="David" w:eastAsia="Times New Roman" w:hAnsi="David" w:cs="David"/>
          <w:sz w:val="26"/>
          <w:szCs w:val="26"/>
          <w:rtl/>
        </w:rPr>
        <w:t>מצב שונה מתעורר כאשר השומות הסותרות נועדו להעריך את אותה השבחה של אותם מקרקעין</w:t>
      </w:r>
      <w:r w:rsidR="00DD019D">
        <w:rPr>
          <w:rFonts w:ascii="David" w:eastAsia="Times New Roman" w:hAnsi="David" w:cs="David" w:hint="cs"/>
          <w:sz w:val="26"/>
          <w:szCs w:val="26"/>
          <w:rtl/>
        </w:rPr>
        <w:t xml:space="preserve"> בגין אותה התכנית</w:t>
      </w:r>
      <w:r w:rsidRPr="00EE6D43">
        <w:rPr>
          <w:rFonts w:ascii="David" w:eastAsia="Times New Roman" w:hAnsi="David" w:cs="David"/>
          <w:sz w:val="26"/>
          <w:szCs w:val="26"/>
          <w:rtl/>
        </w:rPr>
        <w:t>. בנסיבות אלה אין מדובר רק בפער מקצועי בין שמאים, אלא בקושי מוסדי</w:t>
      </w:r>
      <w:r>
        <w:rPr>
          <w:rFonts w:ascii="David" w:eastAsia="Times New Roman" w:hAnsi="David" w:cs="David" w:hint="cs"/>
          <w:sz w:val="26"/>
          <w:szCs w:val="26"/>
          <w:rtl/>
        </w:rPr>
        <w:t>,</w:t>
      </w:r>
      <w:r w:rsidRPr="00EE6D43">
        <w:rPr>
          <w:rFonts w:ascii="David" w:eastAsia="Times New Roman" w:hAnsi="David" w:cs="David"/>
          <w:sz w:val="26"/>
          <w:szCs w:val="26"/>
          <w:rtl/>
        </w:rPr>
        <w:t xml:space="preserve"> הנובע מקביעת שווי שונה לאותם מקרקעין, לאותו מועד קובע ולגבי אותם בעלי זכויות</w:t>
      </w:r>
      <w:r w:rsidRPr="00EE6D43">
        <w:rPr>
          <w:rFonts w:ascii="David" w:eastAsia="Times New Roman" w:hAnsi="David" w:cs="David"/>
          <w:sz w:val="26"/>
          <w:szCs w:val="26"/>
        </w:rPr>
        <w:t>.</w:t>
      </w:r>
    </w:p>
    <w:p w14:paraId="6A4D7B57" w14:textId="189D1D90" w:rsidR="00712D08" w:rsidRPr="00EE6D43" w:rsidRDefault="00712D08" w:rsidP="00EE6D43">
      <w:pPr>
        <w:numPr>
          <w:ilvl w:val="0"/>
          <w:numId w:val="1"/>
        </w:numPr>
        <w:tabs>
          <w:tab w:val="clear" w:pos="720"/>
        </w:tabs>
        <w:spacing w:beforeLines="120" w:before="288" w:afterLines="120" w:after="288" w:line="360" w:lineRule="auto"/>
        <w:ind w:left="84" w:hanging="567"/>
        <w:jc w:val="both"/>
        <w:rPr>
          <w:rFonts w:ascii="David" w:eastAsia="Times New Roman" w:hAnsi="David" w:cs="David"/>
          <w:sz w:val="26"/>
          <w:szCs w:val="26"/>
        </w:rPr>
      </w:pPr>
      <w:r w:rsidRPr="00EE6D43">
        <w:rPr>
          <w:rFonts w:ascii="David" w:eastAsia="Times New Roman" w:hAnsi="David" w:cs="David"/>
          <w:sz w:val="26"/>
          <w:szCs w:val="26"/>
          <w:rtl/>
        </w:rPr>
        <w:t xml:space="preserve">כך, בבר"ם 2049/15 </w:t>
      </w:r>
      <w:r w:rsidRPr="00EE6D43">
        <w:rPr>
          <w:rFonts w:ascii="David" w:eastAsia="Times New Roman" w:hAnsi="David" w:cs="David"/>
          <w:b/>
          <w:bCs/>
          <w:sz w:val="26"/>
          <w:szCs w:val="26"/>
          <w:rtl/>
        </w:rPr>
        <w:t>פרדסי כפר ברנדייס בע"מ נ' הוועדה המקומית לתכנון ולבנייה חדרה</w:t>
      </w:r>
      <w:r w:rsidRPr="00EE6D43">
        <w:rPr>
          <w:rFonts w:ascii="David" w:eastAsia="Times New Roman" w:hAnsi="David" w:cs="David"/>
          <w:sz w:val="26"/>
          <w:szCs w:val="26"/>
          <w:rtl/>
        </w:rPr>
        <w:t xml:space="preserve"> (נבו, 31.5.2015), נדון מצב שבו מונו שמאים מכריעים שונים ביחס לאותה חלקת מקרקעין, לאותו מועד קובע ואף לאותם בעלי זכויות. בית המשפט העליון קבע</w:t>
      </w:r>
      <w:r w:rsidRPr="00EE6D43">
        <w:rPr>
          <w:rFonts w:ascii="David" w:eastAsia="Times New Roman" w:hAnsi="David" w:cs="David"/>
          <w:sz w:val="26"/>
          <w:szCs w:val="26"/>
        </w:rPr>
        <w:t>:</w:t>
      </w:r>
    </w:p>
    <w:p w14:paraId="3AD7CE2B" w14:textId="42E72658" w:rsidR="00491284" w:rsidRPr="00082038" w:rsidRDefault="00FA5986" w:rsidP="00082038">
      <w:pPr>
        <w:spacing w:beforeLines="120" w:before="288" w:afterLines="120" w:after="288" w:line="360" w:lineRule="auto"/>
        <w:ind w:left="793" w:right="284"/>
        <w:jc w:val="both"/>
        <w:rPr>
          <w:rFonts w:ascii="David" w:eastAsia="Times New Roman" w:hAnsi="David" w:cs="David"/>
          <w:b/>
          <w:bCs/>
          <w:rtl/>
        </w:rPr>
      </w:pPr>
      <w:r w:rsidRPr="00082038">
        <w:rPr>
          <w:rFonts w:ascii="David" w:eastAsia="Times New Roman" w:hAnsi="David" w:cs="David" w:hint="cs"/>
          <w:b/>
          <w:bCs/>
          <w:rtl/>
        </w:rPr>
        <w:t>"</w:t>
      </w:r>
      <w:r w:rsidR="00491284" w:rsidRPr="00082038">
        <w:rPr>
          <w:rFonts w:ascii="David" w:eastAsia="Times New Roman" w:hAnsi="David" w:cs="David"/>
          <w:b/>
          <w:bCs/>
          <w:rtl/>
        </w:rPr>
        <w:t>במבט הצופה פני עתיד אציין כי הלקח הברור שעולה מהבקשה דנן הוא כי במקרים שבהם קיימים כמה חייבים בתשלום של היטל השבחה בגין אותה חלקת מקרקעין, ככלל, נודעת עדיפות למינויו של שמאי מכריע אחד באופן שימנע מראש מצב של שומות סותרות כמו בענייננו. קיומן של שומות סותרות ביחס לאותם מקרקעין, לאותו מועד קובע ואף לאותם בעלי זכויות, במסגרת הליכים של שומה מכרעת, חותר תחת התכלית של שוויון בגבייתם של תשלומי חובה, וממילא גם באמון הציבור בהליכים אלה. על כן, יש להימנע ממנו ככל הניתן.</w:t>
      </w:r>
      <w:r w:rsidRPr="00082038">
        <w:rPr>
          <w:rFonts w:ascii="David" w:eastAsia="Times New Roman" w:hAnsi="David" w:cs="David" w:hint="cs"/>
          <w:b/>
          <w:bCs/>
          <w:rtl/>
        </w:rPr>
        <w:t>"</w:t>
      </w:r>
    </w:p>
    <w:p w14:paraId="1C309192" w14:textId="0E16281F" w:rsidR="006C3ECD" w:rsidRPr="00491284" w:rsidRDefault="006C3ECD" w:rsidP="007D1D6E">
      <w:pPr>
        <w:numPr>
          <w:ilvl w:val="0"/>
          <w:numId w:val="1"/>
        </w:numPr>
        <w:tabs>
          <w:tab w:val="clear" w:pos="720"/>
        </w:tabs>
        <w:spacing w:beforeLines="120" w:before="288" w:afterLines="120" w:after="288" w:line="360" w:lineRule="auto"/>
        <w:ind w:left="368" w:hanging="426"/>
        <w:jc w:val="both"/>
        <w:rPr>
          <w:rFonts w:ascii="David" w:eastAsia="Times New Roman" w:hAnsi="David" w:cs="David"/>
          <w:sz w:val="26"/>
          <w:szCs w:val="26"/>
          <w:rtl/>
        </w:rPr>
      </w:pPr>
      <w:r w:rsidRPr="00EE6D43">
        <w:rPr>
          <w:rFonts w:ascii="David" w:eastAsia="Times New Roman" w:hAnsi="David" w:cs="David"/>
          <w:sz w:val="26"/>
          <w:szCs w:val="26"/>
          <w:rtl/>
        </w:rPr>
        <w:lastRenderedPageBreak/>
        <w:t xml:space="preserve">המשקל המיוחד שניתן באותו עניין לשומה הנוספת לא נבע אפוא מעצם קיומה של תוצאה שמאית שונה, אלא מן הזהות בין המקרקעין, המועד הקובע, בעלי הזכויות ואירוע ההשבחה. הבחנה זו הודגשה גם בעמ"נ (חי') 12379-02-14 </w:t>
      </w:r>
      <w:r w:rsidRPr="00EE6D43">
        <w:rPr>
          <w:rFonts w:ascii="David" w:eastAsia="Times New Roman" w:hAnsi="David" w:cs="David"/>
          <w:b/>
          <w:bCs/>
          <w:sz w:val="26"/>
          <w:szCs w:val="26"/>
          <w:rtl/>
        </w:rPr>
        <w:t>מצקין נ' הוועדה המקומית לתכנון ובניה חדרה</w:t>
      </w:r>
      <w:r w:rsidRPr="00EE6D43">
        <w:rPr>
          <w:rFonts w:ascii="David" w:eastAsia="Times New Roman" w:hAnsi="David" w:cs="David"/>
          <w:sz w:val="26"/>
          <w:szCs w:val="26"/>
          <w:rtl/>
        </w:rPr>
        <w:t xml:space="preserve"> (נבו, 17.2.2015), שבו נקבע</w:t>
      </w:r>
      <w:r w:rsidRPr="00EE6D43">
        <w:rPr>
          <w:rFonts w:ascii="David" w:eastAsia="Times New Roman" w:hAnsi="David" w:cs="David"/>
          <w:sz w:val="26"/>
          <w:szCs w:val="26"/>
        </w:rPr>
        <w:t>:</w:t>
      </w:r>
    </w:p>
    <w:p w14:paraId="005C890B" w14:textId="1F29315B" w:rsidR="006D396C" w:rsidRPr="00082038" w:rsidRDefault="00310E17" w:rsidP="00082038">
      <w:pPr>
        <w:spacing w:beforeLines="120" w:before="288" w:afterLines="120" w:after="288" w:line="360" w:lineRule="auto"/>
        <w:ind w:left="793" w:right="284"/>
        <w:jc w:val="both"/>
        <w:rPr>
          <w:rFonts w:ascii="David" w:eastAsia="Times New Roman" w:hAnsi="David" w:cs="David"/>
          <w:b/>
          <w:bCs/>
          <w:rtl/>
        </w:rPr>
      </w:pPr>
      <w:r>
        <w:rPr>
          <w:rFonts w:ascii="David" w:eastAsia="Times New Roman" w:hAnsi="David" w:cs="David" w:hint="cs"/>
          <w:b/>
          <w:bCs/>
          <w:rtl/>
        </w:rPr>
        <w:t>"</w:t>
      </w:r>
      <w:r w:rsidR="006D396C" w:rsidRPr="00082038">
        <w:rPr>
          <w:rFonts w:ascii="David" w:eastAsia="Times New Roman" w:hAnsi="David" w:cs="David"/>
          <w:b/>
          <w:bCs/>
          <w:rtl/>
        </w:rPr>
        <w:t>למעשה בפנינו שתי עסקאות של החברות שנעשו על ידי בעלי השליטה בסמיכות זו לזו ועל כן היה נכון לצרף את הבקשות למינוי שמאי מכריע ולקבוע שומה אחת לגבי השבחת המקרקעין ביום הקובע. מינוי שני שמאים מכריעים לשם עריכת שומה של אותם מקרקעין, לאותו יום קובע, לאותם בעלי זכויות רשומים, היא שיצרה תקלה, גרמה לכך שבפנינו שתי שומות שונות שאינן יכולות לדור בכפיפה אחת.</w:t>
      </w:r>
    </w:p>
    <w:p w14:paraId="6F1F099F" w14:textId="31943E5D" w:rsidR="00491284" w:rsidRPr="00082038" w:rsidRDefault="006D396C" w:rsidP="00082038">
      <w:pPr>
        <w:spacing w:beforeLines="120" w:before="288" w:afterLines="120" w:after="288" w:line="360" w:lineRule="auto"/>
        <w:ind w:left="793" w:right="284"/>
        <w:jc w:val="both"/>
        <w:rPr>
          <w:rFonts w:ascii="David" w:eastAsia="Times New Roman" w:hAnsi="David" w:cs="David"/>
          <w:b/>
          <w:bCs/>
        </w:rPr>
      </w:pPr>
      <w:r>
        <w:rPr>
          <w:rFonts w:ascii="David" w:eastAsia="Times New Roman" w:hAnsi="David" w:cs="David"/>
          <w:b/>
          <w:bCs/>
          <w:rtl/>
        </w:rPr>
        <w:t>המצב שנוצר שונה ממצב שבו שני שותפים ביצעו עסקאות נפרדות ובמסגרת כל עסקה מונה שמאי מכריע שונה, או ממצב בו בעלי חלקות סמוכות מבצעים עסקאות דומות. אכן, במצבים שכאלו קבלת הטענה כי השוני בשומות מחייב שומה חדשה תיצור מצב בלתי נסבל בו לעולם יהיה צורך למנות שמאי אחד על כל החלקות ולכל העסקאות במקרקעין. אלא שלא זה המצב בפנינו, שכן כאמור עסקינן באותם מקרקעין ואותם בעלים רשומים</w:t>
      </w:r>
      <w:r w:rsidRPr="00082038">
        <w:rPr>
          <w:rFonts w:ascii="David" w:eastAsia="Times New Roman" w:hAnsi="David" w:cs="David"/>
          <w:b/>
          <w:bCs/>
          <w:rtl/>
        </w:rPr>
        <w:t>. מצב בו שווי המקרקעין לאותו מועד עבור אותם בעלים משתנה בשל הגשת בקשות נפרדות למינוי שמאי מכריע, אינו סביר, פוגע באמון הציבור בהליכי השומה ועל כן ראוי ונכון היה למנות שמאי מכריע נוסף ויחיד לכל המקרקעין, בדיוק כפי שצפוי כי יעשה מלכתחילה.</w:t>
      </w:r>
      <w:r w:rsidR="00082038">
        <w:rPr>
          <w:rFonts w:ascii="David" w:eastAsia="Times New Roman" w:hAnsi="David" w:cs="David"/>
          <w:b/>
          <w:bCs/>
        </w:rPr>
        <w:t>"</w:t>
      </w:r>
      <w:r w:rsidR="00491284" w:rsidRPr="00082038">
        <w:rPr>
          <w:rFonts w:ascii="David" w:eastAsia="Times New Roman" w:hAnsi="David" w:cs="David"/>
          <w:b/>
          <w:bCs/>
        </w:rPr>
        <w:t>.</w:t>
      </w:r>
    </w:p>
    <w:p w14:paraId="3EBADEA2" w14:textId="0A17EB93" w:rsidR="00321AAD" w:rsidRPr="00321AAD" w:rsidRDefault="00321AAD" w:rsidP="00EE6D43">
      <w:pPr>
        <w:spacing w:beforeLines="120" w:before="288" w:afterLines="120" w:after="288" w:line="360" w:lineRule="auto"/>
        <w:ind w:left="368"/>
        <w:jc w:val="both"/>
        <w:rPr>
          <w:rFonts w:ascii="David" w:eastAsia="Times New Roman" w:hAnsi="David" w:cs="David"/>
          <w:sz w:val="26"/>
          <w:szCs w:val="26"/>
        </w:rPr>
      </w:pPr>
      <w:r>
        <w:rPr>
          <w:rFonts w:ascii="David" w:eastAsia="Times New Roman" w:hAnsi="David" w:cs="David" w:hint="cs"/>
          <w:sz w:val="26"/>
          <w:szCs w:val="26"/>
          <w:rtl/>
        </w:rPr>
        <w:t>ראו בענין זה גם החלטתנו בערר (ת"א) 8016-02-20</w:t>
      </w:r>
      <w:r w:rsidRPr="00321AAD">
        <w:rPr>
          <w:rFonts w:ascii="David" w:eastAsia="Times New Roman" w:hAnsi="David" w:cs="David"/>
          <w:sz w:val="26"/>
          <w:szCs w:val="26"/>
          <w:rtl/>
        </w:rPr>
        <w:t> </w:t>
      </w:r>
      <w:r w:rsidRPr="00DE6B40">
        <w:rPr>
          <w:rFonts w:ascii="David" w:eastAsia="Times New Roman" w:hAnsi="David" w:cs="David"/>
          <w:b/>
          <w:bCs/>
          <w:sz w:val="26"/>
          <w:szCs w:val="26"/>
          <w:rtl/>
        </w:rPr>
        <w:t>הועדה</w:t>
      </w:r>
      <w:r w:rsidRPr="00A17E42">
        <w:rPr>
          <w:rFonts w:ascii="David" w:hAnsi="David" w:cs="David"/>
          <w:b/>
          <w:bCs/>
          <w:sz w:val="26"/>
          <w:szCs w:val="26"/>
          <w:rtl/>
        </w:rPr>
        <w:t xml:space="preserve"> המקומית לתכנון ולבנייה תל אביב-יפו נ' צפרירי ניסים </w:t>
      </w:r>
      <w:r>
        <w:rPr>
          <w:rFonts w:ascii="David" w:eastAsia="Times New Roman" w:hAnsi="David" w:cs="David" w:hint="cs"/>
          <w:sz w:val="26"/>
          <w:szCs w:val="26"/>
          <w:rtl/>
        </w:rPr>
        <w:t>(נבו</w:t>
      </w:r>
      <w:r w:rsidR="00B9063C">
        <w:rPr>
          <w:rFonts w:ascii="David" w:eastAsia="Times New Roman" w:hAnsi="David" w:cs="David" w:hint="cs"/>
          <w:sz w:val="26"/>
          <w:szCs w:val="26"/>
          <w:rtl/>
        </w:rPr>
        <w:t>, 17.11.24</w:t>
      </w:r>
      <w:r w:rsidR="00DE6B40">
        <w:rPr>
          <w:rFonts w:ascii="David" w:eastAsia="Times New Roman" w:hAnsi="David" w:cs="David" w:hint="cs"/>
          <w:sz w:val="26"/>
          <w:szCs w:val="26"/>
          <w:rtl/>
        </w:rPr>
        <w:t>) (עמו</w:t>
      </w:r>
      <w:r w:rsidR="004017AB">
        <w:rPr>
          <w:rFonts w:ascii="David" w:eastAsia="Times New Roman" w:hAnsi="David" w:cs="David" w:hint="cs"/>
          <w:sz w:val="26"/>
          <w:szCs w:val="26"/>
          <w:rtl/>
        </w:rPr>
        <w:t>דים</w:t>
      </w:r>
      <w:r>
        <w:rPr>
          <w:rFonts w:ascii="David" w:eastAsia="Times New Roman" w:hAnsi="David" w:cs="David" w:hint="cs"/>
          <w:sz w:val="26"/>
          <w:szCs w:val="26"/>
          <w:rtl/>
        </w:rPr>
        <w:t xml:space="preserve"> 24</w:t>
      </w:r>
      <w:r w:rsidR="004017AB">
        <w:rPr>
          <w:rFonts w:ascii="David" w:eastAsia="Times New Roman" w:hAnsi="David" w:cs="David" w:hint="cs"/>
          <w:sz w:val="26"/>
          <w:szCs w:val="26"/>
          <w:rtl/>
        </w:rPr>
        <w:t xml:space="preserve"> - </w:t>
      </w:r>
      <w:r>
        <w:rPr>
          <w:rFonts w:ascii="David" w:eastAsia="Times New Roman" w:hAnsi="David" w:cs="David" w:hint="cs"/>
          <w:sz w:val="26"/>
          <w:szCs w:val="26"/>
          <w:rtl/>
        </w:rPr>
        <w:t>27</w:t>
      </w:r>
      <w:r w:rsidR="00DE6B40">
        <w:rPr>
          <w:rFonts w:ascii="David" w:eastAsia="Times New Roman" w:hAnsi="David" w:cs="David" w:hint="cs"/>
          <w:sz w:val="26"/>
          <w:szCs w:val="26"/>
          <w:rtl/>
        </w:rPr>
        <w:t>).</w:t>
      </w:r>
    </w:p>
    <w:p w14:paraId="24AF2141" w14:textId="37E37422" w:rsidR="003C6F90" w:rsidRDefault="006563EC" w:rsidP="00A43616">
      <w:pPr>
        <w:numPr>
          <w:ilvl w:val="0"/>
          <w:numId w:val="1"/>
        </w:numPr>
        <w:tabs>
          <w:tab w:val="clear" w:pos="720"/>
        </w:tabs>
        <w:spacing w:beforeLines="120" w:before="288" w:afterLines="120" w:after="288" w:line="360" w:lineRule="auto"/>
        <w:ind w:left="84" w:hanging="567"/>
        <w:jc w:val="both"/>
        <w:rPr>
          <w:rFonts w:ascii="David" w:eastAsia="Times New Roman" w:hAnsi="David" w:cs="David"/>
          <w:sz w:val="26"/>
          <w:szCs w:val="26"/>
        </w:rPr>
      </w:pPr>
      <w:r w:rsidRPr="006563EC">
        <w:rPr>
          <w:rFonts w:ascii="David" w:eastAsia="Times New Roman" w:hAnsi="David" w:cs="David"/>
          <w:sz w:val="26"/>
          <w:szCs w:val="26"/>
          <w:rtl/>
        </w:rPr>
        <w:t>מכאן שהצורך</w:t>
      </w:r>
      <w:r w:rsidR="00AF55F0">
        <w:rPr>
          <w:rFonts w:ascii="David" w:eastAsia="Times New Roman" w:hAnsi="David" w:cs="David" w:hint="cs"/>
          <w:sz w:val="26"/>
          <w:szCs w:val="26"/>
          <w:rtl/>
        </w:rPr>
        <w:t xml:space="preserve"> המערכתי</w:t>
      </w:r>
      <w:r w:rsidRPr="006563EC">
        <w:rPr>
          <w:rFonts w:ascii="David" w:eastAsia="Times New Roman" w:hAnsi="David" w:cs="David"/>
          <w:sz w:val="26"/>
          <w:szCs w:val="26"/>
          <w:rtl/>
        </w:rPr>
        <w:t xml:space="preserve"> ליישב בין שומות מכריעות מתעורר בעוצמה מיוחדת כאשר הן עוסקות באותה השבחה</w:t>
      </w:r>
      <w:r w:rsidR="005E429B">
        <w:rPr>
          <w:rFonts w:ascii="David" w:eastAsia="Times New Roman" w:hAnsi="David" w:cs="David" w:hint="cs"/>
          <w:sz w:val="26"/>
          <w:szCs w:val="26"/>
          <w:rtl/>
        </w:rPr>
        <w:t xml:space="preserve"> ו</w:t>
      </w:r>
      <w:r w:rsidR="00CA30D8">
        <w:rPr>
          <w:rFonts w:ascii="David" w:eastAsia="Times New Roman" w:hAnsi="David" w:cs="David" w:hint="cs"/>
          <w:sz w:val="26"/>
          <w:szCs w:val="26"/>
          <w:rtl/>
        </w:rPr>
        <w:t>באותם מקרקעין</w:t>
      </w:r>
      <w:r w:rsidRPr="006563EC">
        <w:rPr>
          <w:rFonts w:ascii="David" w:eastAsia="Times New Roman" w:hAnsi="David" w:cs="David"/>
          <w:sz w:val="26"/>
          <w:szCs w:val="26"/>
          <w:rtl/>
        </w:rPr>
        <w:t xml:space="preserve"> ונועדו לשמש בסיס אחיד ושוויוני לחיובם של בעלי הזכויות. </w:t>
      </w:r>
    </w:p>
    <w:p w14:paraId="34453896" w14:textId="65954E40" w:rsidR="006563EC" w:rsidRDefault="006563EC" w:rsidP="00A43616">
      <w:pPr>
        <w:numPr>
          <w:ilvl w:val="0"/>
          <w:numId w:val="1"/>
        </w:numPr>
        <w:tabs>
          <w:tab w:val="clear" w:pos="720"/>
        </w:tabs>
        <w:spacing w:beforeLines="120" w:before="288" w:afterLines="120" w:after="288" w:line="360" w:lineRule="auto"/>
        <w:ind w:left="84" w:hanging="567"/>
        <w:jc w:val="both"/>
        <w:rPr>
          <w:rFonts w:ascii="David" w:eastAsia="Times New Roman" w:hAnsi="David" w:cs="David"/>
          <w:sz w:val="26"/>
          <w:szCs w:val="26"/>
        </w:rPr>
      </w:pPr>
      <w:r w:rsidRPr="00495E29">
        <w:rPr>
          <w:rFonts w:ascii="David" w:eastAsia="Times New Roman" w:hAnsi="David" w:cs="David"/>
          <w:sz w:val="26"/>
          <w:szCs w:val="26"/>
          <w:rtl/>
        </w:rPr>
        <w:t>לעומת זאת, כאשר מדובר במקרקעין אחרים</w:t>
      </w:r>
      <w:r w:rsidR="003C6F90" w:rsidRPr="00495E29">
        <w:rPr>
          <w:rFonts w:ascii="David" w:eastAsia="Times New Roman" w:hAnsi="David" w:cs="David" w:hint="cs"/>
          <w:sz w:val="26"/>
          <w:szCs w:val="26"/>
          <w:rtl/>
        </w:rPr>
        <w:t xml:space="preserve"> במיקום שונה</w:t>
      </w:r>
      <w:r w:rsidRPr="00495E29">
        <w:rPr>
          <w:rFonts w:ascii="David" w:eastAsia="Times New Roman" w:hAnsi="David" w:cs="David"/>
          <w:sz w:val="26"/>
          <w:szCs w:val="26"/>
          <w:rtl/>
        </w:rPr>
        <w:t xml:space="preserve"> </w:t>
      </w:r>
      <w:r w:rsidR="003C6F90" w:rsidRPr="00495E29">
        <w:rPr>
          <w:rFonts w:ascii="David" w:eastAsia="Times New Roman" w:hAnsi="David" w:cs="David" w:hint="cs"/>
          <w:sz w:val="26"/>
          <w:szCs w:val="26"/>
          <w:rtl/>
        </w:rPr>
        <w:t>ו</w:t>
      </w:r>
      <w:r w:rsidRPr="0021591D">
        <w:rPr>
          <w:rFonts w:ascii="David" w:eastAsia="Times New Roman" w:hAnsi="David" w:cs="David"/>
          <w:sz w:val="26"/>
          <w:szCs w:val="26"/>
          <w:rtl/>
        </w:rPr>
        <w:t xml:space="preserve">בתכנית אחרת </w:t>
      </w:r>
      <w:r w:rsidR="003C6F90" w:rsidRPr="0021591D">
        <w:rPr>
          <w:rFonts w:ascii="David" w:eastAsia="Times New Roman" w:hAnsi="David" w:cs="David" w:hint="cs"/>
          <w:sz w:val="26"/>
          <w:szCs w:val="26"/>
          <w:rtl/>
        </w:rPr>
        <w:t xml:space="preserve">ודאי </w:t>
      </w:r>
      <w:r w:rsidR="003C6F90" w:rsidRPr="00A46EB0">
        <w:rPr>
          <w:rFonts w:ascii="David" w:eastAsia="Times New Roman" w:hAnsi="David" w:cs="David" w:hint="eastAsia"/>
          <w:sz w:val="26"/>
          <w:szCs w:val="26"/>
          <w:rtl/>
        </w:rPr>
        <w:t>במועד</w:t>
      </w:r>
      <w:r w:rsidR="003C6F90" w:rsidRPr="00A46EB0">
        <w:rPr>
          <w:rFonts w:ascii="David" w:eastAsia="Times New Roman" w:hAnsi="David" w:cs="David"/>
          <w:sz w:val="26"/>
          <w:szCs w:val="26"/>
          <w:rtl/>
        </w:rPr>
        <w:t xml:space="preserve"> </w:t>
      </w:r>
      <w:r w:rsidR="003C6F90" w:rsidRPr="00A46EB0">
        <w:rPr>
          <w:rFonts w:ascii="David" w:eastAsia="Times New Roman" w:hAnsi="David" w:cs="David" w:hint="eastAsia"/>
          <w:sz w:val="26"/>
          <w:szCs w:val="26"/>
          <w:rtl/>
        </w:rPr>
        <w:t>קובע</w:t>
      </w:r>
      <w:r w:rsidR="003C6F90" w:rsidRPr="00A46EB0">
        <w:rPr>
          <w:rFonts w:ascii="David" w:eastAsia="Times New Roman" w:hAnsi="David" w:cs="David"/>
          <w:sz w:val="26"/>
          <w:szCs w:val="26"/>
          <w:rtl/>
        </w:rPr>
        <w:t xml:space="preserve"> </w:t>
      </w:r>
      <w:r w:rsidR="00995314">
        <w:rPr>
          <w:rFonts w:ascii="David" w:eastAsia="Times New Roman" w:hAnsi="David" w:cs="David" w:hint="cs"/>
          <w:sz w:val="26"/>
          <w:szCs w:val="26"/>
          <w:rtl/>
        </w:rPr>
        <w:t>שונה</w:t>
      </w:r>
      <w:r w:rsidRPr="00A46EB0">
        <w:rPr>
          <w:rFonts w:ascii="David" w:eastAsia="Times New Roman" w:hAnsi="David" w:cs="David"/>
          <w:sz w:val="26"/>
          <w:szCs w:val="26"/>
          <w:rtl/>
        </w:rPr>
        <w:t xml:space="preserve">, אין בעצם הפער בין התוצאות כדי ליצור סתירה מוסדית, </w:t>
      </w:r>
      <w:r w:rsidR="00061CA2" w:rsidRPr="00A46EB0">
        <w:rPr>
          <w:rFonts w:ascii="David" w:eastAsia="Times New Roman" w:hAnsi="David" w:cs="David" w:hint="eastAsia"/>
          <w:sz w:val="26"/>
          <w:szCs w:val="26"/>
          <w:rtl/>
        </w:rPr>
        <w:t>או</w:t>
      </w:r>
      <w:r w:rsidR="00061CA2" w:rsidRPr="00A46EB0">
        <w:rPr>
          <w:rFonts w:ascii="David" w:eastAsia="Times New Roman" w:hAnsi="David" w:cs="David"/>
          <w:sz w:val="26"/>
          <w:szCs w:val="26"/>
          <w:rtl/>
        </w:rPr>
        <w:t xml:space="preserve"> </w:t>
      </w:r>
      <w:r w:rsidRPr="00A46EB0">
        <w:rPr>
          <w:rFonts w:ascii="David" w:eastAsia="Times New Roman" w:hAnsi="David" w:cs="David"/>
          <w:sz w:val="26"/>
          <w:szCs w:val="26"/>
          <w:rtl/>
        </w:rPr>
        <w:t xml:space="preserve">לחייב </w:t>
      </w:r>
      <w:r w:rsidR="00061CA2" w:rsidRPr="00A46EB0">
        <w:rPr>
          <w:rFonts w:ascii="David" w:eastAsia="Times New Roman" w:hAnsi="David" w:cs="David" w:hint="eastAsia"/>
          <w:sz w:val="26"/>
          <w:szCs w:val="26"/>
          <w:rtl/>
        </w:rPr>
        <w:t>את</w:t>
      </w:r>
      <w:r w:rsidR="00061CA2" w:rsidRPr="00A46EB0">
        <w:rPr>
          <w:rFonts w:ascii="David" w:eastAsia="Times New Roman" w:hAnsi="David" w:cs="David"/>
          <w:sz w:val="26"/>
          <w:szCs w:val="26"/>
          <w:rtl/>
        </w:rPr>
        <w:t xml:space="preserve"> </w:t>
      </w:r>
      <w:r w:rsidR="00061CA2" w:rsidRPr="00A46EB0">
        <w:rPr>
          <w:rFonts w:ascii="David" w:eastAsia="Times New Roman" w:hAnsi="David" w:cs="David" w:hint="eastAsia"/>
          <w:sz w:val="26"/>
          <w:szCs w:val="26"/>
          <w:rtl/>
        </w:rPr>
        <w:t>השמאי</w:t>
      </w:r>
      <w:r w:rsidR="00061CA2" w:rsidRPr="00A46EB0">
        <w:rPr>
          <w:rFonts w:ascii="David" w:eastAsia="Times New Roman" w:hAnsi="David" w:cs="David"/>
          <w:sz w:val="26"/>
          <w:szCs w:val="26"/>
          <w:rtl/>
        </w:rPr>
        <w:t xml:space="preserve"> </w:t>
      </w:r>
      <w:r w:rsidR="00061CA2" w:rsidRPr="00A46EB0">
        <w:rPr>
          <w:rFonts w:ascii="David" w:eastAsia="Times New Roman" w:hAnsi="David" w:cs="David" w:hint="eastAsia"/>
          <w:sz w:val="26"/>
          <w:szCs w:val="26"/>
          <w:rtl/>
        </w:rPr>
        <w:t>המכריע</w:t>
      </w:r>
      <w:r w:rsidR="00061CA2" w:rsidRPr="00A46EB0">
        <w:rPr>
          <w:rFonts w:ascii="David" w:eastAsia="Times New Roman" w:hAnsi="David" w:cs="David"/>
          <w:sz w:val="26"/>
          <w:szCs w:val="26"/>
          <w:rtl/>
        </w:rPr>
        <w:t xml:space="preserve"> </w:t>
      </w:r>
      <w:r w:rsidR="00061CA2" w:rsidRPr="00A46EB0">
        <w:rPr>
          <w:rFonts w:ascii="David" w:eastAsia="Times New Roman" w:hAnsi="David" w:cs="David" w:hint="eastAsia"/>
          <w:sz w:val="26"/>
          <w:szCs w:val="26"/>
          <w:rtl/>
        </w:rPr>
        <w:t>ליישב</w:t>
      </w:r>
      <w:r w:rsidR="00061CA2" w:rsidRPr="00A46EB0">
        <w:rPr>
          <w:rFonts w:ascii="David" w:eastAsia="Times New Roman" w:hAnsi="David" w:cs="David"/>
          <w:sz w:val="26"/>
          <w:szCs w:val="26"/>
          <w:rtl/>
        </w:rPr>
        <w:t xml:space="preserve"> </w:t>
      </w:r>
      <w:r w:rsidR="00061CA2" w:rsidRPr="00A46EB0">
        <w:rPr>
          <w:rFonts w:ascii="David" w:eastAsia="Times New Roman" w:hAnsi="David" w:cs="David" w:hint="eastAsia"/>
          <w:sz w:val="26"/>
          <w:szCs w:val="26"/>
          <w:rtl/>
        </w:rPr>
        <w:t>את</w:t>
      </w:r>
      <w:r w:rsidR="00061CA2" w:rsidRPr="00A46EB0">
        <w:rPr>
          <w:rFonts w:ascii="David" w:eastAsia="Times New Roman" w:hAnsi="David" w:cs="David"/>
          <w:sz w:val="26"/>
          <w:szCs w:val="26"/>
          <w:rtl/>
        </w:rPr>
        <w:t xml:space="preserve"> </w:t>
      </w:r>
      <w:r w:rsidR="00061CA2" w:rsidRPr="00A46EB0">
        <w:rPr>
          <w:rFonts w:ascii="David" w:eastAsia="Times New Roman" w:hAnsi="David" w:cs="David" w:hint="eastAsia"/>
          <w:sz w:val="26"/>
          <w:szCs w:val="26"/>
          <w:rtl/>
        </w:rPr>
        <w:t>הפער</w:t>
      </w:r>
      <w:r w:rsidR="00061CA2" w:rsidRPr="00A46EB0">
        <w:rPr>
          <w:rFonts w:ascii="David" w:eastAsia="Times New Roman" w:hAnsi="David" w:cs="David"/>
          <w:sz w:val="26"/>
          <w:szCs w:val="26"/>
          <w:rtl/>
        </w:rPr>
        <w:t xml:space="preserve"> </w:t>
      </w:r>
      <w:r w:rsidR="00061CA2" w:rsidRPr="00A46EB0">
        <w:rPr>
          <w:rFonts w:ascii="David" w:eastAsia="Times New Roman" w:hAnsi="David" w:cs="David" w:hint="eastAsia"/>
          <w:sz w:val="26"/>
          <w:szCs w:val="26"/>
          <w:rtl/>
        </w:rPr>
        <w:t>בין</w:t>
      </w:r>
      <w:r w:rsidR="00061CA2" w:rsidRPr="00A46EB0">
        <w:rPr>
          <w:rFonts w:ascii="David" w:eastAsia="Times New Roman" w:hAnsi="David" w:cs="David"/>
          <w:sz w:val="26"/>
          <w:szCs w:val="26"/>
          <w:rtl/>
        </w:rPr>
        <w:t xml:space="preserve"> </w:t>
      </w:r>
      <w:r w:rsidR="00061CA2" w:rsidRPr="00A46EB0">
        <w:rPr>
          <w:rFonts w:ascii="David" w:eastAsia="Times New Roman" w:hAnsi="David" w:cs="David" w:hint="eastAsia"/>
          <w:sz w:val="26"/>
          <w:szCs w:val="26"/>
          <w:rtl/>
        </w:rPr>
        <w:t>השומות</w:t>
      </w:r>
      <w:r w:rsidR="00061CA2" w:rsidRPr="00A46EB0">
        <w:rPr>
          <w:rFonts w:ascii="David" w:eastAsia="Times New Roman" w:hAnsi="David" w:cs="David"/>
          <w:sz w:val="26"/>
          <w:szCs w:val="26"/>
          <w:rtl/>
        </w:rPr>
        <w:t>.</w:t>
      </w:r>
      <w:r w:rsidR="00A46EB0">
        <w:rPr>
          <w:rFonts w:ascii="David" w:eastAsia="Times New Roman" w:hAnsi="David" w:cs="David" w:hint="cs"/>
          <w:sz w:val="26"/>
          <w:szCs w:val="26"/>
          <w:rtl/>
        </w:rPr>
        <w:t xml:space="preserve"> </w:t>
      </w:r>
      <w:r w:rsidRPr="00495E29">
        <w:rPr>
          <w:rFonts w:ascii="David" w:eastAsia="Times New Roman" w:hAnsi="David" w:cs="David"/>
          <w:sz w:val="26"/>
          <w:szCs w:val="26"/>
          <w:rtl/>
        </w:rPr>
        <w:t>עם זאת, כאשר הוצגה לשמאי המכריע שומה אחרת בעלת זיקה מקצועית ממשית לסוגיה שבמחלוקת, ראוי כי ייתן עליה את דעתו ויבהיר, במפורש או מתוך הנמקתו הכוללת, מדוע אין</w:t>
      </w:r>
      <w:r w:rsidRPr="0021591D">
        <w:rPr>
          <w:rFonts w:ascii="David" w:eastAsia="Times New Roman" w:hAnsi="David" w:cs="David"/>
          <w:sz w:val="26"/>
          <w:szCs w:val="26"/>
          <w:rtl/>
        </w:rPr>
        <w:t xml:space="preserve"> בה כדי לשנות ממסקנתו. אין בכך כדי לחייבו לאמץ את השומה האחרת, </w:t>
      </w:r>
      <w:r w:rsidR="00F154BD">
        <w:rPr>
          <w:rFonts w:ascii="David" w:eastAsia="Times New Roman" w:hAnsi="David" w:cs="David" w:hint="cs"/>
          <w:sz w:val="26"/>
          <w:szCs w:val="26"/>
          <w:rtl/>
        </w:rPr>
        <w:t xml:space="preserve">או </w:t>
      </w:r>
      <w:r w:rsidRPr="00495E29">
        <w:rPr>
          <w:rFonts w:ascii="David" w:eastAsia="Times New Roman" w:hAnsi="David" w:cs="David"/>
          <w:sz w:val="26"/>
          <w:szCs w:val="26"/>
          <w:rtl/>
        </w:rPr>
        <w:t>ליישב כל פער בין התוצאות. השאלה היא אם ניתן להבין מן השומה את הבסיס המקצועי לתוצאה שנקבעה ואת הטעם לכך שהמקור הנוסף לא שינה ממנה.</w:t>
      </w:r>
    </w:p>
    <w:p w14:paraId="2BE7E0CA" w14:textId="79A782AA" w:rsidR="00FE1DB2" w:rsidRDefault="00FE1DB2" w:rsidP="00FE1DB2">
      <w:pPr>
        <w:spacing w:beforeLines="120" w:before="288" w:afterLines="120" w:after="288" w:line="360" w:lineRule="auto"/>
        <w:jc w:val="both"/>
        <w:rPr>
          <w:rFonts w:ascii="David" w:eastAsia="Times New Roman" w:hAnsi="David" w:cs="David"/>
          <w:sz w:val="26"/>
          <w:szCs w:val="26"/>
          <w:rtl/>
        </w:rPr>
      </w:pPr>
    </w:p>
    <w:p w14:paraId="2A4CB96E" w14:textId="77777777" w:rsidR="00FE1DB2" w:rsidRPr="0021591D" w:rsidRDefault="00FE1DB2" w:rsidP="00FE1DB2">
      <w:pPr>
        <w:spacing w:beforeLines="120" w:before="288" w:afterLines="120" w:after="288" w:line="360" w:lineRule="auto"/>
        <w:jc w:val="both"/>
        <w:rPr>
          <w:rFonts w:ascii="David" w:eastAsia="Times New Roman" w:hAnsi="David" w:cs="David"/>
          <w:sz w:val="26"/>
          <w:szCs w:val="26"/>
          <w:rtl/>
        </w:rPr>
      </w:pPr>
    </w:p>
    <w:p w14:paraId="78B25268" w14:textId="06A9679E" w:rsidR="000D5FBD" w:rsidRPr="000D5FBD" w:rsidRDefault="006563EC" w:rsidP="00A43616">
      <w:pPr>
        <w:numPr>
          <w:ilvl w:val="0"/>
          <w:numId w:val="1"/>
        </w:numPr>
        <w:tabs>
          <w:tab w:val="clear" w:pos="720"/>
        </w:tabs>
        <w:spacing w:beforeLines="120" w:before="288" w:afterLines="120" w:after="288" w:line="360" w:lineRule="auto"/>
        <w:ind w:left="84" w:hanging="567"/>
        <w:jc w:val="both"/>
        <w:rPr>
          <w:rFonts w:ascii="David" w:eastAsia="Times New Roman" w:hAnsi="David" w:cs="David"/>
          <w:sz w:val="26"/>
          <w:szCs w:val="26"/>
        </w:rPr>
      </w:pPr>
      <w:r w:rsidRPr="006563EC">
        <w:rPr>
          <w:rFonts w:ascii="David" w:eastAsia="Times New Roman" w:hAnsi="David" w:cs="David"/>
          <w:sz w:val="26"/>
          <w:szCs w:val="26"/>
          <w:rtl/>
        </w:rPr>
        <w:lastRenderedPageBreak/>
        <w:t>הדברים עולים בקנה אחד עם אמת המידה המצ</w:t>
      </w:r>
      <w:r w:rsidR="007B33B5">
        <w:rPr>
          <w:rFonts w:ascii="David" w:eastAsia="Times New Roman" w:hAnsi="David" w:cs="David" w:hint="cs"/>
          <w:sz w:val="26"/>
          <w:szCs w:val="26"/>
          <w:rtl/>
        </w:rPr>
        <w:t>ו</w:t>
      </w:r>
      <w:r w:rsidRPr="006563EC">
        <w:rPr>
          <w:rFonts w:ascii="David" w:eastAsia="Times New Roman" w:hAnsi="David" w:cs="David"/>
          <w:sz w:val="26"/>
          <w:szCs w:val="26"/>
          <w:rtl/>
        </w:rPr>
        <w:t xml:space="preserve">מצמת להתערבות בשומה מכרעת. השאלה אינה אם ניתן היה להגיע לתוצאה אחרת על יסוד שומה נוספת, אלא אם השומה הנבחנת מבוססת על שיטה שמאית מקובלת, על מסד עובדתי הולם ועל הנמקה המאפשרת להתחקות אחר דרך הילוכו של השמאי המכריע. כאשר </w:t>
      </w:r>
      <w:r w:rsidR="006C53C1">
        <w:rPr>
          <w:rFonts w:ascii="David" w:eastAsia="Times New Roman" w:hAnsi="David" w:cs="David" w:hint="cs"/>
          <w:sz w:val="26"/>
          <w:szCs w:val="26"/>
          <w:rtl/>
        </w:rPr>
        <w:t>כל ה</w:t>
      </w:r>
      <w:r w:rsidRPr="006563EC">
        <w:rPr>
          <w:rFonts w:ascii="David" w:eastAsia="Times New Roman" w:hAnsi="David" w:cs="David"/>
          <w:sz w:val="26"/>
          <w:szCs w:val="26"/>
          <w:rtl/>
        </w:rPr>
        <w:t xml:space="preserve">תנאים </w:t>
      </w:r>
      <w:r w:rsidR="006C53C1">
        <w:rPr>
          <w:rFonts w:ascii="David" w:eastAsia="Times New Roman" w:hAnsi="David" w:cs="David" w:hint="cs"/>
          <w:sz w:val="26"/>
          <w:szCs w:val="26"/>
          <w:rtl/>
        </w:rPr>
        <w:t>האמורים</w:t>
      </w:r>
      <w:r w:rsidRPr="006563EC">
        <w:rPr>
          <w:rFonts w:ascii="David" w:eastAsia="Times New Roman" w:hAnsi="David" w:cs="David"/>
          <w:sz w:val="26"/>
          <w:szCs w:val="26"/>
          <w:rtl/>
        </w:rPr>
        <w:t xml:space="preserve"> מתקיימים, אין בעצם קיומו של פער </w:t>
      </w:r>
      <w:r w:rsidR="006B3AF5">
        <w:rPr>
          <w:rFonts w:ascii="David" w:eastAsia="Times New Roman" w:hAnsi="David" w:cs="David" w:hint="cs"/>
          <w:sz w:val="26"/>
          <w:szCs w:val="26"/>
          <w:rtl/>
        </w:rPr>
        <w:t xml:space="preserve">בין שומה מכרעת </w:t>
      </w:r>
      <w:r w:rsidRPr="006563EC">
        <w:rPr>
          <w:rFonts w:ascii="David" w:eastAsia="Times New Roman" w:hAnsi="David" w:cs="David"/>
          <w:sz w:val="26"/>
          <w:szCs w:val="26"/>
          <w:rtl/>
        </w:rPr>
        <w:t>לבין שומה</w:t>
      </w:r>
      <w:r w:rsidR="006B3AF5">
        <w:rPr>
          <w:rFonts w:ascii="David" w:eastAsia="Times New Roman" w:hAnsi="David" w:cs="David" w:hint="cs"/>
          <w:sz w:val="26"/>
          <w:szCs w:val="26"/>
          <w:rtl/>
        </w:rPr>
        <w:t xml:space="preserve"> מכרעת</w:t>
      </w:r>
      <w:r w:rsidRPr="006563EC">
        <w:rPr>
          <w:rFonts w:ascii="David" w:eastAsia="Times New Roman" w:hAnsi="David" w:cs="David"/>
          <w:sz w:val="26"/>
          <w:szCs w:val="26"/>
          <w:rtl/>
        </w:rPr>
        <w:t xml:space="preserve"> </w:t>
      </w:r>
      <w:r w:rsidR="006B3AF5">
        <w:rPr>
          <w:rFonts w:ascii="David" w:eastAsia="Times New Roman" w:hAnsi="David" w:cs="David" w:hint="cs"/>
          <w:sz w:val="26"/>
          <w:szCs w:val="26"/>
          <w:rtl/>
        </w:rPr>
        <w:t>נוספת</w:t>
      </w:r>
      <w:r w:rsidRPr="006563EC">
        <w:rPr>
          <w:rFonts w:ascii="David" w:eastAsia="Times New Roman" w:hAnsi="David" w:cs="David"/>
          <w:sz w:val="26"/>
          <w:szCs w:val="26"/>
          <w:rtl/>
        </w:rPr>
        <w:t xml:space="preserve"> כדי להצדיק התערבות</w:t>
      </w:r>
      <w:r w:rsidR="009A52D9">
        <w:rPr>
          <w:rFonts w:ascii="David" w:eastAsia="Times New Roman" w:hAnsi="David" w:cs="David" w:hint="cs"/>
          <w:sz w:val="26"/>
          <w:szCs w:val="26"/>
          <w:rtl/>
        </w:rPr>
        <w:t xml:space="preserve">, </w:t>
      </w:r>
      <w:r w:rsidR="00AE491E">
        <w:rPr>
          <w:rFonts w:ascii="David" w:eastAsia="Times New Roman" w:hAnsi="David" w:cs="David" w:hint="cs"/>
          <w:sz w:val="26"/>
          <w:szCs w:val="26"/>
          <w:rtl/>
        </w:rPr>
        <w:t>עם זאת, משקלה של השומה המכרעת הנוספת וחובת ההתייחסות אליה יבחנו בהתאם למידת זיקתה המקצועית לסוגיה שבמחלוקת</w:t>
      </w:r>
      <w:r w:rsidRPr="006563EC">
        <w:rPr>
          <w:rFonts w:ascii="David" w:eastAsia="Times New Roman" w:hAnsi="David" w:cs="David"/>
          <w:sz w:val="26"/>
          <w:szCs w:val="26"/>
          <w:rtl/>
        </w:rPr>
        <w:t>.</w:t>
      </w:r>
    </w:p>
    <w:p w14:paraId="49EEC780" w14:textId="77777777" w:rsidR="000D5FBD" w:rsidRPr="00D62C60" w:rsidRDefault="000D5FBD" w:rsidP="00DF0498">
      <w:pPr>
        <w:spacing w:beforeLines="120" w:before="288" w:afterLines="120" w:after="288" w:line="360" w:lineRule="auto"/>
        <w:jc w:val="both"/>
        <w:rPr>
          <w:rFonts w:ascii="David" w:eastAsia="Times New Roman" w:hAnsi="David" w:cs="David"/>
          <w:b/>
          <w:bCs/>
          <w:sz w:val="26"/>
          <w:szCs w:val="26"/>
          <w:u w:val="single"/>
        </w:rPr>
      </w:pPr>
      <w:r w:rsidRPr="00D62C60">
        <w:rPr>
          <w:rFonts w:ascii="David" w:eastAsia="Times New Roman" w:hAnsi="David" w:cs="David"/>
          <w:b/>
          <w:bCs/>
          <w:sz w:val="26"/>
          <w:szCs w:val="26"/>
          <w:u w:val="single"/>
          <w:rtl/>
        </w:rPr>
        <w:t>מן הכלל אל הפרט</w:t>
      </w:r>
    </w:p>
    <w:p w14:paraId="519EB4F4" w14:textId="77777777" w:rsidR="00495E29" w:rsidRPr="00495E29" w:rsidRDefault="00495E29" w:rsidP="00EE6D43">
      <w:pPr>
        <w:numPr>
          <w:ilvl w:val="0"/>
          <w:numId w:val="1"/>
        </w:numPr>
        <w:tabs>
          <w:tab w:val="clear" w:pos="720"/>
        </w:tabs>
        <w:spacing w:beforeLines="120" w:before="288" w:afterLines="120" w:after="288" w:line="360" w:lineRule="auto"/>
        <w:ind w:left="84" w:hanging="567"/>
        <w:jc w:val="both"/>
        <w:rPr>
          <w:rFonts w:ascii="David" w:eastAsia="Times New Roman" w:hAnsi="David" w:cs="David"/>
          <w:sz w:val="26"/>
          <w:szCs w:val="26"/>
          <w:rtl/>
        </w:rPr>
      </w:pPr>
      <w:r w:rsidRPr="00495E29">
        <w:rPr>
          <w:rFonts w:ascii="David" w:eastAsia="Times New Roman" w:hAnsi="David" w:cs="David"/>
          <w:sz w:val="26"/>
          <w:szCs w:val="26"/>
          <w:rtl/>
        </w:rPr>
        <w:t>שומת דודזון שמאמה, שעליה מבקשת הוועדה המקומית להסתמך, נערכה ביחס למקרקעין בגוש 6498 חלקה 242, לפי תכנית 455-0383331 "הכניסה לסביון", למועד קובע 24.7.2022 ולבקשת חברת אפריקה ישראל. לעומת זאת, ענייננו במקרקעין באזור, בתכנית אחרת ובמועד קובע 24.2.2024.</w:t>
      </w:r>
    </w:p>
    <w:p w14:paraId="600302B2" w14:textId="77777777" w:rsidR="00495E29" w:rsidRPr="00495E29" w:rsidRDefault="00495E29" w:rsidP="00EE6D43">
      <w:pPr>
        <w:numPr>
          <w:ilvl w:val="0"/>
          <w:numId w:val="1"/>
        </w:numPr>
        <w:tabs>
          <w:tab w:val="clear" w:pos="720"/>
        </w:tabs>
        <w:spacing w:beforeLines="120" w:before="288" w:afterLines="120" w:after="288" w:line="360" w:lineRule="auto"/>
        <w:ind w:left="84" w:hanging="567"/>
        <w:jc w:val="both"/>
        <w:rPr>
          <w:rFonts w:ascii="David" w:eastAsia="Times New Roman" w:hAnsi="David" w:cs="David"/>
          <w:sz w:val="26"/>
          <w:szCs w:val="26"/>
          <w:rtl/>
        </w:rPr>
      </w:pPr>
      <w:r w:rsidRPr="00495E29">
        <w:rPr>
          <w:rFonts w:ascii="David" w:eastAsia="Times New Roman" w:hAnsi="David" w:cs="David"/>
          <w:sz w:val="26"/>
          <w:szCs w:val="26"/>
          <w:rtl/>
        </w:rPr>
        <w:t>אין מדובר אפוא באותם מקרקעין, באותה תכנית, באותו מועד קובע, באותם בעלי זכויות או באותו אירוע השבחה. קווי הדמיון הנטענים בין הפרויקטים עשויים להקנות לשומת דודזון שמאמה משקל מקצועי מסוים ולאפשר לה לשמש אמצעי לבחינת סבירות התוצאה, אך אין הם יוצרים את הסתירה המוסדית שנדונה בעניין כפר ברנדייס ואינם מחייבים תוצאה זהה.</w:t>
      </w:r>
    </w:p>
    <w:p w14:paraId="7301FAD2" w14:textId="77777777" w:rsidR="00495E29" w:rsidRPr="00495E29" w:rsidRDefault="00495E29" w:rsidP="00EE6D43">
      <w:pPr>
        <w:numPr>
          <w:ilvl w:val="0"/>
          <w:numId w:val="1"/>
        </w:numPr>
        <w:tabs>
          <w:tab w:val="clear" w:pos="720"/>
        </w:tabs>
        <w:spacing w:beforeLines="120" w:before="288" w:afterLines="120" w:after="288" w:line="360" w:lineRule="auto"/>
        <w:ind w:left="84" w:hanging="567"/>
        <w:jc w:val="both"/>
        <w:rPr>
          <w:rFonts w:ascii="David" w:eastAsia="Times New Roman" w:hAnsi="David" w:cs="David"/>
          <w:sz w:val="26"/>
          <w:szCs w:val="26"/>
          <w:rtl/>
        </w:rPr>
      </w:pPr>
      <w:r w:rsidRPr="00495E29">
        <w:rPr>
          <w:rFonts w:ascii="David" w:eastAsia="Times New Roman" w:hAnsi="David" w:cs="David"/>
          <w:sz w:val="26"/>
          <w:szCs w:val="26"/>
          <w:rtl/>
        </w:rPr>
        <w:t>שומת דודזון שמאמה והשווי שנקבע בה הובאו לפני השמאי המכריע ונזכרו במסגרת הצגת עמדתה של שמאית הוועדה המקומית. עם זאת, השמאי המכריע לא דן בה בנפרד ולא הסביר במפורש את הפער בין התוצאות. השאלה היא אפוא אם הנמקתו הכוללת מציגה תשתית שמאית עצמאית ומספקת, המאפשרת להבין מדוע הגיע לתוצאה שקבע אף שהוצגה לפניו שומה אחרת שבה נקבע שווי גבוה יותר.</w:t>
      </w:r>
    </w:p>
    <w:p w14:paraId="5A5F2ABA" w14:textId="5C728C99" w:rsidR="00495E29" w:rsidRDefault="00495E29" w:rsidP="00EE6D43">
      <w:pPr>
        <w:numPr>
          <w:ilvl w:val="0"/>
          <w:numId w:val="1"/>
        </w:numPr>
        <w:tabs>
          <w:tab w:val="clear" w:pos="720"/>
        </w:tabs>
        <w:spacing w:beforeLines="120" w:before="288" w:afterLines="120" w:after="288" w:line="360" w:lineRule="auto"/>
        <w:ind w:left="84" w:hanging="567"/>
        <w:jc w:val="both"/>
        <w:rPr>
          <w:rFonts w:ascii="David" w:eastAsia="Times New Roman" w:hAnsi="David" w:cs="David"/>
          <w:sz w:val="26"/>
          <w:szCs w:val="26"/>
        </w:rPr>
      </w:pPr>
      <w:r w:rsidRPr="00495E29">
        <w:rPr>
          <w:rFonts w:ascii="David" w:eastAsia="Times New Roman" w:hAnsi="David" w:cs="David"/>
          <w:sz w:val="26"/>
          <w:szCs w:val="26"/>
          <w:rtl/>
        </w:rPr>
        <w:t>עיון בשומה מלמד כי התוצאה שנקבעה נשענה על תשתית שמאית עצמאית ומפורטת. השמאי המכריע דחה את גזירת שווי הדיור המוגן משווי המגורים בסביבה והעדיף השוואה ישירה למכרזי רמ"י לדיור מוגן, תוך ביצוע התאמות למיקום, לזמן ולהיקף הפרויקט. הוא הסביר כי התאמת המיקום לדיור מוגן מחייבת בחינה של מאפייני האוכלוסייה, רמות הביקוש וההכנסה, שיעור האוכלוסייה המבוגרת, ההיצע הקיים והאוכלוסייה בערים הסמוכות. הנמקה זו מבהירה מדוע אין די במחירי המגורים המקומיים ומדוע ניתן להסתייע במכרזים מיישובים אחרים, בכפוף להתאמות.</w:t>
      </w:r>
    </w:p>
    <w:p w14:paraId="3188A90B" w14:textId="77777777" w:rsidR="00FE1DB2" w:rsidRPr="00495E29" w:rsidRDefault="00FE1DB2" w:rsidP="00FE1DB2">
      <w:pPr>
        <w:spacing w:beforeLines="120" w:before="288" w:afterLines="120" w:after="288" w:line="360" w:lineRule="auto"/>
        <w:ind w:left="84"/>
        <w:jc w:val="both"/>
        <w:rPr>
          <w:rFonts w:ascii="David" w:eastAsia="Times New Roman" w:hAnsi="David" w:cs="David"/>
          <w:sz w:val="26"/>
          <w:szCs w:val="26"/>
          <w:rtl/>
        </w:rPr>
      </w:pPr>
    </w:p>
    <w:p w14:paraId="159E28B3" w14:textId="77777777" w:rsidR="00495E29" w:rsidRPr="00495E29" w:rsidRDefault="00495E29" w:rsidP="00EE6D43">
      <w:pPr>
        <w:numPr>
          <w:ilvl w:val="0"/>
          <w:numId w:val="1"/>
        </w:numPr>
        <w:tabs>
          <w:tab w:val="clear" w:pos="720"/>
        </w:tabs>
        <w:spacing w:beforeLines="120" w:before="288" w:afterLines="120" w:after="288" w:line="360" w:lineRule="auto"/>
        <w:ind w:left="84" w:hanging="567"/>
        <w:jc w:val="both"/>
        <w:rPr>
          <w:rFonts w:ascii="David" w:eastAsia="Times New Roman" w:hAnsi="David" w:cs="David"/>
          <w:sz w:val="26"/>
          <w:szCs w:val="26"/>
          <w:rtl/>
        </w:rPr>
      </w:pPr>
      <w:r w:rsidRPr="00495E29">
        <w:rPr>
          <w:rFonts w:ascii="David" w:eastAsia="Times New Roman" w:hAnsi="David" w:cs="David"/>
          <w:sz w:val="26"/>
          <w:szCs w:val="26"/>
          <w:rtl/>
        </w:rPr>
        <w:lastRenderedPageBreak/>
        <w:t>השמאי המכריע סקר את מכרזי הדיור המוגן שנערכו במחוזות מרכז ותל אביב משנת 2021, ומצא כי שיעור הצלחת השיווקים עמד על כ-40% וכי גם במכרזים שהצליחו התקבל מספר מצומצם של הצעות. לצורך הרחבת המדגם כלל בניתוח גם מכרזים מבית שמש ומזיכרון יעקב, בשל היקף פרויקט דומה, סמיכות הזמנים והצורך בבסיס נתונים רחב יותר, תוך יישום התאמות למיקום, לזמן ולגודל.</w:t>
      </w:r>
    </w:p>
    <w:p w14:paraId="6F176E5D" w14:textId="77777777" w:rsidR="00495E29" w:rsidRPr="00495E29" w:rsidRDefault="00495E29" w:rsidP="00EE6D43">
      <w:pPr>
        <w:numPr>
          <w:ilvl w:val="0"/>
          <w:numId w:val="1"/>
        </w:numPr>
        <w:tabs>
          <w:tab w:val="clear" w:pos="720"/>
        </w:tabs>
        <w:spacing w:beforeLines="120" w:before="288" w:afterLines="120" w:after="288" w:line="360" w:lineRule="auto"/>
        <w:ind w:left="84" w:hanging="567"/>
        <w:jc w:val="both"/>
        <w:rPr>
          <w:rFonts w:ascii="David" w:eastAsia="Times New Roman" w:hAnsi="David" w:cs="David"/>
          <w:sz w:val="26"/>
          <w:szCs w:val="26"/>
          <w:rtl/>
        </w:rPr>
      </w:pPr>
      <w:r w:rsidRPr="00495E29">
        <w:rPr>
          <w:rFonts w:ascii="David" w:eastAsia="Times New Roman" w:hAnsi="David" w:cs="David"/>
          <w:sz w:val="26"/>
          <w:szCs w:val="26"/>
          <w:rtl/>
        </w:rPr>
        <w:t>בסיס הנתונים כלל שמונה תוצאות מתואמות, בערכים של 4,094; 4,024; 4,434; 2,830; 4,161; 3,620; 3,344 ו-3,419 ש"ח למ"ר מבונה. הוועדה המקומית לא הצביעה על טעות קונקרטית בתמורות, בשטחים האקוויוולנטיים או במקדמי ההתאמה. הממוצע החשבוני של הערכים עומד על כ-3,741 ש"ח למ"ר, ואילו השמאי המכריע קבע שווי של 3,800 ש"ח למ"ר. התוצאה מצויה אפוא בתוך טווח הנתונים ואף מעט מעל לממוצעם. השמאי המכריע אף הבהיר כי השווי שנבחר מגלם את כלל השטחים ואת הקרבה לכביש. דרך החישוב, מאגר הנתונים והשיקולים שהופעלו מוצגים בשומה וניתנים להבנה ולביקורת.</w:t>
      </w:r>
    </w:p>
    <w:p w14:paraId="09000475" w14:textId="77777777" w:rsidR="00495E29" w:rsidRPr="00495E29" w:rsidRDefault="00495E29" w:rsidP="00EE6D43">
      <w:pPr>
        <w:numPr>
          <w:ilvl w:val="0"/>
          <w:numId w:val="1"/>
        </w:numPr>
        <w:tabs>
          <w:tab w:val="clear" w:pos="720"/>
        </w:tabs>
        <w:spacing w:beforeLines="120" w:before="288" w:afterLines="120" w:after="288" w:line="360" w:lineRule="auto"/>
        <w:ind w:left="84" w:hanging="567"/>
        <w:jc w:val="both"/>
        <w:rPr>
          <w:rFonts w:ascii="David" w:eastAsia="Times New Roman" w:hAnsi="David" w:cs="David"/>
          <w:sz w:val="26"/>
          <w:szCs w:val="26"/>
          <w:rtl/>
        </w:rPr>
      </w:pPr>
      <w:r w:rsidRPr="00495E29">
        <w:rPr>
          <w:rFonts w:ascii="David" w:eastAsia="Times New Roman" w:hAnsi="David" w:cs="David"/>
          <w:sz w:val="26"/>
          <w:szCs w:val="26"/>
          <w:rtl/>
        </w:rPr>
        <w:t>בנסיבות אלה, שומת דודזון שמאמה עשויה לשמש מקור מקצועי מסייע, אך אין בה כדי לגרוע מן התשתית העצמאית שעליה התבססה השומה המכרעת. לא הוכח כי היא כוללת נתון שוק מהותי שלא נבחן, או כי הדמיון בין הנכסים מחייב יישוב פרטני של הפער בין התוצאות. שתי שומות שנערכו ביחס לנכסים שונים ועל יסוד נתונים, התאמות ומשקלים שונים עשויות להגיע לתוצאות שונות, בלי שהדבר ילמד בהכרח על פגם באחת מהן.</w:t>
      </w:r>
    </w:p>
    <w:p w14:paraId="2196BD04" w14:textId="49189200" w:rsidR="00495E29" w:rsidRPr="00155F0C" w:rsidRDefault="00495E29" w:rsidP="00155F0C">
      <w:pPr>
        <w:numPr>
          <w:ilvl w:val="0"/>
          <w:numId w:val="1"/>
        </w:numPr>
        <w:tabs>
          <w:tab w:val="clear" w:pos="720"/>
        </w:tabs>
        <w:spacing w:beforeLines="120" w:before="288" w:afterLines="120" w:after="288" w:line="360" w:lineRule="auto"/>
        <w:ind w:left="84" w:hanging="567"/>
        <w:jc w:val="both"/>
        <w:rPr>
          <w:rFonts w:ascii="David" w:eastAsia="Times New Roman" w:hAnsi="David" w:cs="David"/>
          <w:sz w:val="26"/>
          <w:szCs w:val="26"/>
          <w:rtl/>
        </w:rPr>
      </w:pPr>
      <w:r w:rsidRPr="00495E29">
        <w:rPr>
          <w:rFonts w:ascii="David" w:eastAsia="Times New Roman" w:hAnsi="David" w:cs="David"/>
          <w:sz w:val="26"/>
          <w:szCs w:val="26"/>
          <w:rtl/>
        </w:rPr>
        <w:t>משמצאנו כי השומה המכרעת מבוססת על שיטה שמאית מקובלת, על מאגר רחב של נתוני שוק ועל הנמקה המאפשרת להתחקות אחר דרך הילוכו של השמאי המכריע, ניתן להבין מתוכה מדוע לא היה בשומת דודזון שמאמה כדי לשנות ממסקנתו. אמנם מוטב היה אילו ניתנה לכך התייחסות מפורשת, אך בנסיבות המפורטות</w:t>
      </w:r>
      <w:r w:rsidR="00433068">
        <w:rPr>
          <w:rFonts w:ascii="David" w:eastAsia="Times New Roman" w:hAnsi="David" w:cs="David" w:hint="cs"/>
          <w:sz w:val="26"/>
          <w:szCs w:val="26"/>
          <w:rtl/>
        </w:rPr>
        <w:t xml:space="preserve"> והקונקרטיות המיוחסות לשומה המכרעת מושא הערר -</w:t>
      </w:r>
      <w:r w:rsidRPr="00495E29">
        <w:rPr>
          <w:rFonts w:ascii="David" w:eastAsia="Times New Roman" w:hAnsi="David" w:cs="David"/>
          <w:sz w:val="26"/>
          <w:szCs w:val="26"/>
          <w:rtl/>
        </w:rPr>
        <w:t xml:space="preserve"> היעדר דיון נפרד באותה שומה אינו עולה כדי פגם חמור המצדיק את השבת העניין לשמאי המכריע.</w:t>
      </w:r>
      <w:r w:rsidR="00155F0C">
        <w:rPr>
          <w:rFonts w:ascii="David" w:eastAsia="Times New Roman" w:hAnsi="David" w:cs="David" w:hint="cs"/>
          <w:sz w:val="26"/>
          <w:szCs w:val="26"/>
          <w:rtl/>
        </w:rPr>
        <w:t xml:space="preserve"> </w:t>
      </w:r>
      <w:r w:rsidR="001105BA">
        <w:rPr>
          <w:rFonts w:ascii="David" w:eastAsia="Times New Roman" w:hAnsi="David" w:cs="David" w:hint="cs"/>
          <w:sz w:val="26"/>
          <w:szCs w:val="26"/>
          <w:rtl/>
        </w:rPr>
        <w:t xml:space="preserve">ברי, כי </w:t>
      </w:r>
      <w:r w:rsidRPr="00155F0C">
        <w:rPr>
          <w:rFonts w:ascii="David" w:eastAsia="Times New Roman" w:hAnsi="David" w:cs="David"/>
          <w:sz w:val="26"/>
          <w:szCs w:val="26"/>
          <w:rtl/>
        </w:rPr>
        <w:t>מקרים אחרים ייבחנו בהתאם לנסיבותיהם.</w:t>
      </w:r>
    </w:p>
    <w:p w14:paraId="15799347" w14:textId="3F67740B" w:rsidR="002E60B0" w:rsidRDefault="00495E29" w:rsidP="00EE6D43">
      <w:pPr>
        <w:numPr>
          <w:ilvl w:val="0"/>
          <w:numId w:val="1"/>
        </w:numPr>
        <w:tabs>
          <w:tab w:val="clear" w:pos="720"/>
        </w:tabs>
        <w:spacing w:beforeLines="120" w:before="288" w:afterLines="120" w:after="288" w:line="360" w:lineRule="auto"/>
        <w:ind w:left="84" w:hanging="567"/>
        <w:jc w:val="both"/>
        <w:rPr>
          <w:rFonts w:ascii="David" w:eastAsia="Times New Roman" w:hAnsi="David" w:cs="David"/>
          <w:sz w:val="26"/>
          <w:szCs w:val="26"/>
        </w:rPr>
      </w:pPr>
      <w:r w:rsidRPr="00495E29">
        <w:rPr>
          <w:rFonts w:ascii="David" w:eastAsia="Times New Roman" w:hAnsi="David" w:cs="David"/>
          <w:sz w:val="26"/>
          <w:szCs w:val="26"/>
          <w:rtl/>
        </w:rPr>
        <w:t>טענת הוועדה המקומית בעניין זה נדחית.</w:t>
      </w:r>
    </w:p>
    <w:p w14:paraId="0359FAC9" w14:textId="2DFAA033" w:rsidR="00DA32C9" w:rsidRPr="00C2306C" w:rsidRDefault="00DA32C9" w:rsidP="00DA32C9">
      <w:pPr>
        <w:spacing w:beforeLines="120" w:before="288" w:afterLines="120" w:after="288" w:line="360" w:lineRule="auto"/>
        <w:jc w:val="both"/>
        <w:rPr>
          <w:rFonts w:ascii="David" w:eastAsia="Times New Roman" w:hAnsi="David" w:cs="David"/>
          <w:b/>
          <w:bCs/>
          <w:sz w:val="30"/>
          <w:szCs w:val="30"/>
          <w:u w:val="single"/>
        </w:rPr>
      </w:pPr>
      <w:r w:rsidRPr="00C2306C">
        <w:rPr>
          <w:rFonts w:ascii="David" w:eastAsia="Times New Roman" w:hAnsi="David" w:cs="David"/>
          <w:b/>
          <w:bCs/>
          <w:sz w:val="30"/>
          <w:szCs w:val="30"/>
          <w:u w:val="single"/>
          <w:rtl/>
        </w:rPr>
        <w:t>עלות עודפת בגין הקמת חניות תת</w:t>
      </w:r>
      <w:r w:rsidR="001541F3" w:rsidRPr="00C2306C">
        <w:rPr>
          <w:rFonts w:ascii="David" w:eastAsia="Times New Roman" w:hAnsi="David" w:cs="David"/>
          <w:b/>
          <w:bCs/>
          <w:sz w:val="30"/>
          <w:szCs w:val="30"/>
          <w:u w:val="single"/>
          <w:rtl/>
        </w:rPr>
        <w:t>-</w:t>
      </w:r>
      <w:r w:rsidRPr="00C2306C">
        <w:rPr>
          <w:rFonts w:ascii="David" w:eastAsia="Times New Roman" w:hAnsi="David" w:cs="David"/>
          <w:b/>
          <w:bCs/>
          <w:sz w:val="30"/>
          <w:szCs w:val="30"/>
          <w:u w:val="single"/>
          <w:rtl/>
        </w:rPr>
        <w:t>קרקעיות במגרש 203</w:t>
      </w:r>
    </w:p>
    <w:p w14:paraId="7E335AFF" w14:textId="5B86B92D" w:rsidR="006E6D59" w:rsidRPr="006E6D59" w:rsidRDefault="006E6D59" w:rsidP="00680FE0">
      <w:pPr>
        <w:numPr>
          <w:ilvl w:val="0"/>
          <w:numId w:val="1"/>
        </w:numPr>
        <w:tabs>
          <w:tab w:val="clear" w:pos="720"/>
        </w:tabs>
        <w:spacing w:beforeLines="120" w:before="288" w:afterLines="120" w:after="288" w:line="360" w:lineRule="auto"/>
        <w:ind w:left="84" w:hanging="567"/>
        <w:jc w:val="both"/>
        <w:rPr>
          <w:rFonts w:ascii="David" w:eastAsia="Times New Roman" w:hAnsi="David" w:cs="David"/>
          <w:sz w:val="26"/>
          <w:szCs w:val="26"/>
        </w:rPr>
      </w:pPr>
      <w:r>
        <w:rPr>
          <w:rFonts w:ascii="David" w:eastAsia="Times New Roman" w:hAnsi="David" w:cs="David"/>
          <w:sz w:val="26"/>
          <w:szCs w:val="26"/>
          <w:rtl/>
        </w:rPr>
        <w:t>במסגרת השומה המכרעת הפחית השמאי המכריע משוויו של מגרש 203 עלות עודפת בגין הקמת מקומות חניה תת</w:t>
      </w:r>
      <w:r w:rsidR="001541F3">
        <w:rPr>
          <w:rFonts w:ascii="David" w:eastAsia="Times New Roman" w:hAnsi="David" w:cs="David"/>
          <w:sz w:val="26"/>
          <w:szCs w:val="26"/>
          <w:rtl/>
        </w:rPr>
        <w:t>-</w:t>
      </w:r>
      <w:r>
        <w:rPr>
          <w:rFonts w:ascii="David" w:eastAsia="Times New Roman" w:hAnsi="David" w:cs="David"/>
          <w:sz w:val="26"/>
          <w:szCs w:val="26"/>
          <w:rtl/>
        </w:rPr>
        <w:t>קרקעיים לשטחי המסחר והתעסוקה. השמאי המכריע קבע כי עלות הקמתו של מקום חניה</w:t>
      </w:r>
      <w:r w:rsidR="00B2665D">
        <w:rPr>
          <w:rFonts w:ascii="David" w:eastAsia="Times New Roman" w:hAnsi="David" w:cs="David" w:hint="cs"/>
          <w:sz w:val="26"/>
          <w:szCs w:val="26"/>
          <w:rtl/>
        </w:rPr>
        <w:t xml:space="preserve"> תת-קרקעי</w:t>
      </w:r>
      <w:r>
        <w:rPr>
          <w:rFonts w:ascii="David" w:eastAsia="Times New Roman" w:hAnsi="David" w:cs="David"/>
          <w:sz w:val="26"/>
          <w:szCs w:val="26"/>
          <w:rtl/>
        </w:rPr>
        <w:t xml:space="preserve"> היא 151,200 ש"ח, וכי שוויו של מקום חניה הוא 129,600 ש"ח. בהתאם לכך, נקבעה עלות עודפת בסך של 21,600 ש"ח למקום חניה. השמאי המכריע החיל עלות זו על 173 מקומות חניה, והעמיד את העלות העודפת הכוללת על סך של 3,733,920 ש"ח.</w:t>
      </w:r>
    </w:p>
    <w:p w14:paraId="3B6A1F0B" w14:textId="4F737230" w:rsidR="006E6D59" w:rsidRDefault="006E6D59" w:rsidP="00680FE0">
      <w:pPr>
        <w:numPr>
          <w:ilvl w:val="0"/>
          <w:numId w:val="1"/>
        </w:numPr>
        <w:tabs>
          <w:tab w:val="clear" w:pos="720"/>
        </w:tabs>
        <w:spacing w:beforeLines="120" w:before="288" w:afterLines="120" w:after="288" w:line="360" w:lineRule="auto"/>
        <w:ind w:left="84" w:hanging="567"/>
        <w:jc w:val="both"/>
        <w:rPr>
          <w:rFonts w:ascii="David" w:eastAsia="Times New Roman" w:hAnsi="David" w:cs="David"/>
          <w:sz w:val="26"/>
          <w:szCs w:val="26"/>
        </w:rPr>
      </w:pPr>
      <w:r w:rsidRPr="006E6D59">
        <w:rPr>
          <w:rFonts w:ascii="David" w:eastAsia="Times New Roman" w:hAnsi="David" w:cs="David"/>
          <w:sz w:val="26"/>
          <w:szCs w:val="26"/>
          <w:rtl/>
        </w:rPr>
        <w:lastRenderedPageBreak/>
        <w:t>טענות הוועדה המקומית בעניין זה כוללות שלושה ראשים נפרדים: מספר מקומות החניה שעליהם יש להחיל את התחשיב; עצם קיומה של עלות עודפת; והשיטה השמאית שלפיה נקבע שוויו של מקום חניה.</w:t>
      </w:r>
    </w:p>
    <w:p w14:paraId="373B3502" w14:textId="20B5CF72" w:rsidR="006E6D59" w:rsidRPr="006E6D59" w:rsidRDefault="006E6D59" w:rsidP="00680FE0">
      <w:pPr>
        <w:numPr>
          <w:ilvl w:val="0"/>
          <w:numId w:val="1"/>
        </w:numPr>
        <w:tabs>
          <w:tab w:val="clear" w:pos="720"/>
        </w:tabs>
        <w:spacing w:beforeLines="120" w:before="288" w:afterLines="120" w:after="288" w:line="360" w:lineRule="auto"/>
        <w:ind w:left="84" w:hanging="567"/>
        <w:jc w:val="both"/>
        <w:rPr>
          <w:rFonts w:ascii="David" w:eastAsia="Times New Roman" w:hAnsi="David" w:cs="David"/>
          <w:sz w:val="26"/>
          <w:szCs w:val="26"/>
        </w:rPr>
      </w:pPr>
      <w:r>
        <w:rPr>
          <w:rFonts w:ascii="David" w:eastAsia="Times New Roman" w:hAnsi="David" w:cs="David"/>
          <w:sz w:val="26"/>
          <w:szCs w:val="26"/>
          <w:rtl/>
        </w:rPr>
        <w:t xml:space="preserve">אשר למספר מקומות החניה, טוענת הוועדה המקומית כי השמאי המכריע שגה כאשר חישב את תקן החניה גם על בסיס שטחי השירות, בעוד שהתקן נגזר מן השטחים העיקריים בלבד. לשיטתה של הוועדה המקומית, החישוב הנכון מוביל </w:t>
      </w:r>
      <w:r w:rsidRPr="006E6D59">
        <w:rPr>
          <w:rFonts w:ascii="David" w:eastAsia="Times New Roman" w:hAnsi="David" w:cs="David"/>
          <w:sz w:val="26"/>
          <w:szCs w:val="26"/>
          <w:rtl/>
        </w:rPr>
        <w:t>ל</w:t>
      </w:r>
      <w:r w:rsidR="008226BB">
        <w:rPr>
          <w:rFonts w:ascii="David" w:eastAsia="Times New Roman" w:hAnsi="David" w:cs="David" w:hint="cs"/>
          <w:sz w:val="26"/>
          <w:szCs w:val="26"/>
          <w:rtl/>
        </w:rPr>
        <w:t xml:space="preserve"> - </w:t>
      </w:r>
      <w:r w:rsidRPr="006E6D59">
        <w:rPr>
          <w:rFonts w:ascii="David" w:eastAsia="Times New Roman" w:hAnsi="David" w:cs="David"/>
          <w:sz w:val="26"/>
          <w:szCs w:val="26"/>
          <w:rtl/>
        </w:rPr>
        <w:t>133</w:t>
      </w:r>
      <w:r>
        <w:rPr>
          <w:rFonts w:ascii="David" w:eastAsia="Times New Roman" w:hAnsi="David" w:cs="David"/>
          <w:sz w:val="26"/>
          <w:szCs w:val="26"/>
          <w:rtl/>
        </w:rPr>
        <w:t xml:space="preserve"> מקומות חניה, ולא </w:t>
      </w:r>
      <w:r w:rsidRPr="006E6D59">
        <w:rPr>
          <w:rFonts w:ascii="David" w:eastAsia="Times New Roman" w:hAnsi="David" w:cs="David"/>
          <w:sz w:val="26"/>
          <w:szCs w:val="26"/>
          <w:rtl/>
        </w:rPr>
        <w:t>ל</w:t>
      </w:r>
      <w:r w:rsidR="0026574C">
        <w:rPr>
          <w:rFonts w:ascii="David" w:eastAsia="Times New Roman" w:hAnsi="David" w:cs="David" w:hint="cs"/>
          <w:sz w:val="26"/>
          <w:szCs w:val="26"/>
          <w:rtl/>
        </w:rPr>
        <w:t xml:space="preserve"> - </w:t>
      </w:r>
      <w:r w:rsidRPr="006E6D59">
        <w:rPr>
          <w:rFonts w:ascii="David" w:eastAsia="Times New Roman" w:hAnsi="David" w:cs="David"/>
          <w:sz w:val="26"/>
          <w:szCs w:val="26"/>
          <w:rtl/>
        </w:rPr>
        <w:t>173</w:t>
      </w:r>
      <w:r>
        <w:rPr>
          <w:rFonts w:ascii="David" w:eastAsia="Times New Roman" w:hAnsi="David" w:cs="David"/>
          <w:sz w:val="26"/>
          <w:szCs w:val="26"/>
          <w:rtl/>
        </w:rPr>
        <w:t xml:space="preserve"> מקומות כפי שחישב השמאי המכריע.</w:t>
      </w:r>
    </w:p>
    <w:p w14:paraId="013676D6" w14:textId="79E40328" w:rsidR="006E6D59" w:rsidRPr="006E6D59" w:rsidRDefault="006E6D59" w:rsidP="00680FE0">
      <w:pPr>
        <w:numPr>
          <w:ilvl w:val="0"/>
          <w:numId w:val="1"/>
        </w:numPr>
        <w:tabs>
          <w:tab w:val="clear" w:pos="720"/>
        </w:tabs>
        <w:spacing w:beforeLines="120" w:before="288" w:afterLines="120" w:after="288" w:line="360" w:lineRule="auto"/>
        <w:ind w:left="84" w:hanging="567"/>
        <w:jc w:val="both"/>
        <w:rPr>
          <w:rFonts w:ascii="David" w:eastAsia="Times New Roman" w:hAnsi="David" w:cs="David"/>
          <w:sz w:val="26"/>
          <w:szCs w:val="26"/>
        </w:rPr>
      </w:pPr>
      <w:r>
        <w:rPr>
          <w:rFonts w:ascii="David" w:eastAsia="Times New Roman" w:hAnsi="David" w:cs="David"/>
          <w:sz w:val="26"/>
          <w:szCs w:val="26"/>
          <w:rtl/>
        </w:rPr>
        <w:t xml:space="preserve">אשר לעצם העלות העודפת, טוענת הוועדה המקומית כי שוויו של מקום חניה באזור המרכז אינו נמוך מעלות הקמתו, וכי יש להביא בחשבון גם את תרומת החניות </w:t>
      </w:r>
      <w:r w:rsidRPr="006E6D59">
        <w:rPr>
          <w:rFonts w:ascii="David" w:eastAsia="Times New Roman" w:hAnsi="David" w:cs="David"/>
          <w:sz w:val="26"/>
          <w:szCs w:val="26"/>
          <w:rtl/>
        </w:rPr>
        <w:t>לשווים</w:t>
      </w:r>
      <w:r>
        <w:rPr>
          <w:rFonts w:ascii="David" w:eastAsia="Times New Roman" w:hAnsi="David" w:cs="David"/>
          <w:sz w:val="26"/>
          <w:szCs w:val="26"/>
          <w:rtl/>
        </w:rPr>
        <w:t xml:space="preserve"> ולסחירותם של שטחי המסחר והתעסוקה. לשיטתה, מחסור במקומות חניה מקשה על שיווק השטחים העיליים, מאריך את תקופת השיווק ופוגע בשווי המתקבל בגינם.</w:t>
      </w:r>
    </w:p>
    <w:p w14:paraId="4FF389FC" w14:textId="3B59FEF5" w:rsidR="006E6D59" w:rsidRPr="006E6D59" w:rsidRDefault="006E6D59" w:rsidP="00680FE0">
      <w:pPr>
        <w:numPr>
          <w:ilvl w:val="0"/>
          <w:numId w:val="1"/>
        </w:numPr>
        <w:tabs>
          <w:tab w:val="clear" w:pos="720"/>
        </w:tabs>
        <w:spacing w:beforeLines="120" w:before="288" w:afterLines="120" w:after="288" w:line="360" w:lineRule="auto"/>
        <w:ind w:left="84" w:hanging="567"/>
        <w:jc w:val="both"/>
        <w:rPr>
          <w:rFonts w:ascii="David" w:eastAsia="Times New Roman" w:hAnsi="David" w:cs="David"/>
          <w:sz w:val="26"/>
          <w:szCs w:val="26"/>
        </w:rPr>
      </w:pPr>
      <w:r>
        <w:rPr>
          <w:rFonts w:ascii="David" w:eastAsia="Times New Roman" w:hAnsi="David" w:cs="David"/>
          <w:sz w:val="26"/>
          <w:szCs w:val="26"/>
          <w:rtl/>
        </w:rPr>
        <w:t xml:space="preserve">במישור המתודולוגי טוענת הוועדה המקומית כי השמאי המכריע שגה כאשר קבע את שווי החניה באמצעות היוון דמי שכירות, אף שהוצגו לפניו עסקאות מכר של מקומות חניה באזור ובחולון. לשיטתה, גישת ההשוואה היא הגישה העדיפה, והעסקאות שהציגה מצביעות על שווי של </w:t>
      </w:r>
      <w:r w:rsidRPr="006E6D59">
        <w:rPr>
          <w:rFonts w:ascii="David" w:eastAsia="Times New Roman" w:hAnsi="David" w:cs="David"/>
          <w:sz w:val="26"/>
          <w:szCs w:val="26"/>
          <w:rtl/>
        </w:rPr>
        <w:t>כ</w:t>
      </w:r>
      <w:r w:rsidR="00747165">
        <w:rPr>
          <w:rFonts w:ascii="David" w:eastAsia="Times New Roman" w:hAnsi="David" w:cs="David" w:hint="cs"/>
          <w:sz w:val="26"/>
          <w:szCs w:val="26"/>
          <w:rtl/>
        </w:rPr>
        <w:t xml:space="preserve"> - </w:t>
      </w:r>
      <w:r w:rsidRPr="006E6D59">
        <w:rPr>
          <w:rFonts w:ascii="David" w:eastAsia="Times New Roman" w:hAnsi="David" w:cs="David"/>
          <w:sz w:val="26"/>
          <w:szCs w:val="26"/>
          <w:rtl/>
        </w:rPr>
        <w:t>200</w:t>
      </w:r>
      <w:r>
        <w:rPr>
          <w:rFonts w:ascii="David" w:eastAsia="Times New Roman" w:hAnsi="David" w:cs="David"/>
          <w:sz w:val="26"/>
          <w:szCs w:val="26"/>
          <w:rtl/>
        </w:rPr>
        <w:t>,000 ש"ח למקום חניה.</w:t>
      </w:r>
    </w:p>
    <w:p w14:paraId="4B2C3A76" w14:textId="719539C6" w:rsidR="006E6D59" w:rsidRPr="006E6D59" w:rsidRDefault="006E6D59" w:rsidP="00680FE0">
      <w:pPr>
        <w:numPr>
          <w:ilvl w:val="0"/>
          <w:numId w:val="1"/>
        </w:numPr>
        <w:tabs>
          <w:tab w:val="clear" w:pos="720"/>
        </w:tabs>
        <w:spacing w:beforeLines="120" w:before="288" w:afterLines="120" w:after="288" w:line="360" w:lineRule="auto"/>
        <w:ind w:left="84" w:hanging="567"/>
        <w:jc w:val="both"/>
        <w:rPr>
          <w:rFonts w:ascii="David" w:eastAsia="Times New Roman" w:hAnsi="David" w:cs="David"/>
          <w:sz w:val="26"/>
          <w:szCs w:val="26"/>
        </w:rPr>
      </w:pPr>
      <w:r w:rsidRPr="006E6D59">
        <w:rPr>
          <w:rFonts w:ascii="David" w:eastAsia="Times New Roman" w:hAnsi="David" w:cs="David"/>
          <w:sz w:val="26"/>
          <w:szCs w:val="26"/>
          <w:rtl/>
        </w:rPr>
        <w:t>המשיבות קיבלו במהלך הדיון את טענת הוועדה המקומית בדבר מספר מקומות החניה, והסכימו כי המספר הנכון הוא 133. לעומת זאת, הן חלקו על הטענה כי אין כלל עלות עודפת ועל הטענה כי השמאי המכריע שגה בבחירת שיטת היוון ההכנסות. שמאי המשיבות, מר קונפורטי, הסביר כי קיימים יותר נתוני שכירות לחניות מאשר נתוני מכר, וכי נתוני השכירות מבוססים יותר. לדבריו:</w:t>
      </w:r>
    </w:p>
    <w:p w14:paraId="6ECFF0E0" w14:textId="0696C65D" w:rsidR="006E6D59" w:rsidRPr="00FF0423" w:rsidRDefault="006E6D59" w:rsidP="00FF0423">
      <w:pPr>
        <w:spacing w:beforeLines="120" w:before="288" w:afterLines="120" w:after="288" w:line="360" w:lineRule="auto"/>
        <w:ind w:left="793" w:right="284"/>
        <w:jc w:val="both"/>
        <w:rPr>
          <w:rFonts w:ascii="David" w:eastAsia="Times New Roman" w:hAnsi="David" w:cs="David"/>
          <w:b/>
          <w:bCs/>
        </w:rPr>
      </w:pPr>
      <w:r>
        <w:rPr>
          <w:rFonts w:ascii="David" w:eastAsia="Times New Roman" w:hAnsi="David" w:cs="David"/>
          <w:b/>
          <w:bCs/>
          <w:rtl/>
        </w:rPr>
        <w:t>"יש הרבה יותר נתונים לדמי שכירת בחנייה מאשר מכירה. הנתונים להשכרה הם הרבה יותר מבוססים. בשל כך, עבודתו השמאית בעיניי נכונה."</w:t>
      </w:r>
    </w:p>
    <w:p w14:paraId="7538D3DC" w14:textId="77777777" w:rsidR="006E6D59" w:rsidRPr="00336596" w:rsidRDefault="006E6D59" w:rsidP="006E6D59">
      <w:pPr>
        <w:spacing w:beforeLines="120" w:before="288" w:afterLines="120" w:after="288" w:line="360" w:lineRule="auto"/>
        <w:jc w:val="both"/>
        <w:rPr>
          <w:rFonts w:ascii="David" w:eastAsia="Times New Roman" w:hAnsi="David" w:cs="David"/>
          <w:b/>
          <w:bCs/>
          <w:sz w:val="30"/>
          <w:szCs w:val="30"/>
          <w:u w:val="single"/>
        </w:rPr>
      </w:pPr>
      <w:r w:rsidRPr="00336596">
        <w:rPr>
          <w:rFonts w:ascii="David" w:eastAsia="Times New Roman" w:hAnsi="David" w:cs="David"/>
          <w:b/>
          <w:bCs/>
          <w:sz w:val="30"/>
          <w:szCs w:val="30"/>
          <w:u w:val="single"/>
          <w:rtl/>
        </w:rPr>
        <w:t>דיון והכרעה</w:t>
      </w:r>
    </w:p>
    <w:p w14:paraId="2024A4BF" w14:textId="77777777" w:rsidR="006E6D59" w:rsidRPr="00336596" w:rsidRDefault="006E6D59" w:rsidP="006E6D59">
      <w:pPr>
        <w:spacing w:beforeLines="120" w:before="288" w:afterLines="120" w:after="288" w:line="360" w:lineRule="auto"/>
        <w:jc w:val="both"/>
        <w:rPr>
          <w:rFonts w:ascii="David" w:eastAsia="Times New Roman" w:hAnsi="David" w:cs="David"/>
          <w:b/>
          <w:bCs/>
          <w:sz w:val="26"/>
          <w:szCs w:val="26"/>
          <w:u w:val="single"/>
        </w:rPr>
      </w:pPr>
      <w:r w:rsidRPr="00336596">
        <w:rPr>
          <w:rFonts w:ascii="David" w:eastAsia="Times New Roman" w:hAnsi="David" w:cs="David"/>
          <w:b/>
          <w:bCs/>
          <w:sz w:val="26"/>
          <w:szCs w:val="26"/>
          <w:u w:val="single"/>
          <w:rtl/>
        </w:rPr>
        <w:t>א. מספר מקומות החניה</w:t>
      </w:r>
    </w:p>
    <w:p w14:paraId="3A170901" w14:textId="5AA8A0D0" w:rsidR="00FC0059" w:rsidRPr="00FC0059" w:rsidRDefault="00FC0059" w:rsidP="00680FE0">
      <w:pPr>
        <w:numPr>
          <w:ilvl w:val="0"/>
          <w:numId w:val="1"/>
        </w:numPr>
        <w:tabs>
          <w:tab w:val="clear" w:pos="720"/>
        </w:tabs>
        <w:spacing w:beforeLines="120" w:before="288" w:afterLines="120" w:after="288" w:line="360" w:lineRule="auto"/>
        <w:ind w:left="84" w:hanging="567"/>
        <w:jc w:val="both"/>
        <w:rPr>
          <w:rFonts w:ascii="David" w:eastAsia="Times New Roman" w:hAnsi="David" w:cs="David"/>
          <w:sz w:val="26"/>
          <w:szCs w:val="26"/>
          <w:rtl/>
        </w:rPr>
      </w:pPr>
      <w:r>
        <w:rPr>
          <w:rFonts w:ascii="David" w:eastAsia="Times New Roman" w:hAnsi="David" w:cs="David"/>
          <w:sz w:val="26"/>
          <w:szCs w:val="26"/>
          <w:rtl/>
        </w:rPr>
        <w:t xml:space="preserve">במהלך הדיון אישר שמאי המשיבות כי השמאי המכריע הביא בחשבון 40 מקומות חניה עודפים, וכי חישוב תקן החניה על בסיס השטחים העיקריים מוביל </w:t>
      </w:r>
      <w:r w:rsidRPr="00FC0059">
        <w:rPr>
          <w:rFonts w:ascii="David" w:eastAsia="Times New Roman" w:hAnsi="David" w:cs="David"/>
          <w:sz w:val="26"/>
          <w:szCs w:val="26"/>
          <w:rtl/>
        </w:rPr>
        <w:t>ל</w:t>
      </w:r>
      <w:r w:rsidR="000F3443">
        <w:rPr>
          <w:rFonts w:ascii="David" w:eastAsia="Times New Roman" w:hAnsi="David" w:cs="David" w:hint="cs"/>
          <w:sz w:val="26"/>
          <w:szCs w:val="26"/>
          <w:rtl/>
        </w:rPr>
        <w:t xml:space="preserve"> - </w:t>
      </w:r>
      <w:r w:rsidRPr="00FC0059">
        <w:rPr>
          <w:rFonts w:ascii="David" w:eastAsia="Times New Roman" w:hAnsi="David" w:cs="David"/>
          <w:sz w:val="26"/>
          <w:szCs w:val="26"/>
          <w:rtl/>
        </w:rPr>
        <w:t>133</w:t>
      </w:r>
      <w:r>
        <w:rPr>
          <w:rFonts w:ascii="David" w:eastAsia="Times New Roman" w:hAnsi="David" w:cs="David"/>
          <w:sz w:val="26"/>
          <w:szCs w:val="26"/>
          <w:rtl/>
        </w:rPr>
        <w:t xml:space="preserve"> מקומות חניה</w:t>
      </w:r>
      <w:r w:rsidR="00791455">
        <w:rPr>
          <w:rFonts w:ascii="David" w:eastAsia="Times New Roman" w:hAnsi="David" w:cs="David" w:hint="cs"/>
          <w:sz w:val="26"/>
          <w:szCs w:val="26"/>
          <w:rtl/>
        </w:rPr>
        <w:t xml:space="preserve">; </w:t>
      </w:r>
      <w:r>
        <w:rPr>
          <w:rFonts w:ascii="David" w:eastAsia="Times New Roman" w:hAnsi="David" w:cs="David"/>
          <w:sz w:val="26"/>
          <w:szCs w:val="26"/>
          <w:rtl/>
        </w:rPr>
        <w:t>כאשר נשאל אם המשיבות מקבלות את המספר האמור, השיב בחיוב ואף הבהיר כי בעניין זה טענת הוועדה המקומית נכונה.</w:t>
      </w:r>
    </w:p>
    <w:p w14:paraId="324C24C5" w14:textId="2D6B4136" w:rsidR="00FC0059" w:rsidRPr="00FC0059" w:rsidRDefault="00FC0059" w:rsidP="00680FE0">
      <w:pPr>
        <w:numPr>
          <w:ilvl w:val="0"/>
          <w:numId w:val="1"/>
        </w:numPr>
        <w:tabs>
          <w:tab w:val="clear" w:pos="720"/>
        </w:tabs>
        <w:spacing w:beforeLines="120" w:before="288" w:afterLines="120" w:after="288" w:line="360" w:lineRule="auto"/>
        <w:ind w:left="84" w:hanging="567"/>
        <w:jc w:val="both"/>
        <w:rPr>
          <w:rFonts w:ascii="David" w:eastAsia="Times New Roman" w:hAnsi="David" w:cs="David"/>
          <w:sz w:val="26"/>
          <w:szCs w:val="26"/>
          <w:rtl/>
        </w:rPr>
      </w:pPr>
      <w:r>
        <w:rPr>
          <w:rFonts w:ascii="David" w:eastAsia="Times New Roman" w:hAnsi="David" w:cs="David"/>
          <w:sz w:val="26"/>
          <w:szCs w:val="26"/>
          <w:rtl/>
        </w:rPr>
        <w:lastRenderedPageBreak/>
        <w:t xml:space="preserve">משכך, לא נותרה מחלוקת של ממש בסוגיה זו. אף לגופם של דברים, מקובלת עלינו טענת הוועדה המקומית כי תחשיב העלות העודפת צריך להיערך ביחס </w:t>
      </w:r>
      <w:r w:rsidRPr="00FC0059">
        <w:rPr>
          <w:rFonts w:ascii="David" w:eastAsia="Times New Roman" w:hAnsi="David" w:cs="David"/>
          <w:sz w:val="26"/>
          <w:szCs w:val="26"/>
          <w:rtl/>
        </w:rPr>
        <w:t>ל</w:t>
      </w:r>
      <w:r w:rsidR="0093491A">
        <w:rPr>
          <w:rFonts w:ascii="David" w:eastAsia="Times New Roman" w:hAnsi="David" w:cs="David" w:hint="cs"/>
          <w:sz w:val="26"/>
          <w:szCs w:val="26"/>
          <w:rtl/>
        </w:rPr>
        <w:t xml:space="preserve"> - </w:t>
      </w:r>
      <w:r w:rsidRPr="00FC0059">
        <w:rPr>
          <w:rFonts w:ascii="David" w:eastAsia="Times New Roman" w:hAnsi="David" w:cs="David"/>
          <w:sz w:val="26"/>
          <w:szCs w:val="26"/>
          <w:rtl/>
        </w:rPr>
        <w:t>133</w:t>
      </w:r>
      <w:r>
        <w:rPr>
          <w:rFonts w:ascii="David" w:eastAsia="Times New Roman" w:hAnsi="David" w:cs="David"/>
          <w:sz w:val="26"/>
          <w:szCs w:val="26"/>
          <w:rtl/>
        </w:rPr>
        <w:t xml:space="preserve"> מקומות חניה ולא ביחס </w:t>
      </w:r>
      <w:r w:rsidRPr="00FC0059">
        <w:rPr>
          <w:rFonts w:ascii="David" w:eastAsia="Times New Roman" w:hAnsi="David" w:cs="David"/>
          <w:sz w:val="26"/>
          <w:szCs w:val="26"/>
          <w:rtl/>
        </w:rPr>
        <w:t>ל</w:t>
      </w:r>
      <w:r w:rsidR="0093491A">
        <w:rPr>
          <w:rFonts w:ascii="David" w:eastAsia="Times New Roman" w:hAnsi="David" w:cs="David" w:hint="cs"/>
          <w:sz w:val="26"/>
          <w:szCs w:val="26"/>
          <w:rtl/>
        </w:rPr>
        <w:t xml:space="preserve"> - </w:t>
      </w:r>
      <w:r w:rsidRPr="00FC0059">
        <w:rPr>
          <w:rFonts w:ascii="David" w:eastAsia="Times New Roman" w:hAnsi="David" w:cs="David"/>
          <w:sz w:val="26"/>
          <w:szCs w:val="26"/>
          <w:rtl/>
        </w:rPr>
        <w:t>173</w:t>
      </w:r>
      <w:r>
        <w:rPr>
          <w:rFonts w:ascii="David" w:eastAsia="Times New Roman" w:hAnsi="David" w:cs="David"/>
          <w:sz w:val="26"/>
          <w:szCs w:val="26"/>
          <w:rtl/>
        </w:rPr>
        <w:t xml:space="preserve"> מקומות חניה.</w:t>
      </w:r>
    </w:p>
    <w:p w14:paraId="52258367" w14:textId="71FDC72E" w:rsidR="00FC0059" w:rsidRPr="00FC0059" w:rsidRDefault="00FC0059" w:rsidP="00680FE0">
      <w:pPr>
        <w:numPr>
          <w:ilvl w:val="0"/>
          <w:numId w:val="1"/>
        </w:numPr>
        <w:tabs>
          <w:tab w:val="clear" w:pos="720"/>
        </w:tabs>
        <w:spacing w:beforeLines="120" w:before="288" w:afterLines="120" w:after="288" w:line="360" w:lineRule="auto"/>
        <w:ind w:left="84" w:hanging="567"/>
        <w:jc w:val="both"/>
        <w:rPr>
          <w:rFonts w:ascii="David" w:eastAsia="Times New Roman" w:hAnsi="David" w:cs="David"/>
          <w:sz w:val="26"/>
          <w:szCs w:val="26"/>
          <w:rtl/>
        </w:rPr>
      </w:pPr>
      <w:r>
        <w:rPr>
          <w:rFonts w:ascii="David" w:eastAsia="Times New Roman" w:hAnsi="David" w:cs="David"/>
          <w:sz w:val="26"/>
          <w:szCs w:val="26"/>
          <w:rtl/>
        </w:rPr>
        <w:t xml:space="preserve">יש לברך את המשיבות על כך שלאחר שבחנו את הטענה ומצאו כי נפלה טעות בתחשיב, לא ביקשו להגן עליה רק משום שתוצאתה פעלה לטובתן, אלא הודו בטעות במפורש. </w:t>
      </w:r>
      <w:r w:rsidR="00DB24A2">
        <w:rPr>
          <w:rFonts w:ascii="David" w:eastAsia="Times New Roman" w:hAnsi="David" w:cs="David" w:hint="cs"/>
          <w:sz w:val="26"/>
          <w:szCs w:val="26"/>
          <w:rtl/>
        </w:rPr>
        <w:t>גם</w:t>
      </w:r>
      <w:r>
        <w:rPr>
          <w:rFonts w:ascii="David" w:eastAsia="Times New Roman" w:hAnsi="David" w:cs="David"/>
          <w:sz w:val="26"/>
          <w:szCs w:val="26"/>
          <w:rtl/>
        </w:rPr>
        <w:t xml:space="preserve"> בכתב התשובה לא </w:t>
      </w:r>
      <w:r w:rsidR="00DB24A2">
        <w:rPr>
          <w:rFonts w:ascii="David" w:eastAsia="Times New Roman" w:hAnsi="David" w:cs="David" w:hint="cs"/>
          <w:sz w:val="26"/>
          <w:szCs w:val="26"/>
          <w:rtl/>
        </w:rPr>
        <w:t>ביקשו</w:t>
      </w:r>
      <w:r>
        <w:rPr>
          <w:rFonts w:ascii="David" w:eastAsia="Times New Roman" w:hAnsi="David" w:cs="David"/>
          <w:sz w:val="26"/>
          <w:szCs w:val="26"/>
          <w:rtl/>
        </w:rPr>
        <w:t xml:space="preserve"> להגן על הטעות. כך ראוי שינהג בעל דין בהליך מעין זה, שתכליתו בירור ההשבחה וגביית מס אמת.</w:t>
      </w:r>
    </w:p>
    <w:p w14:paraId="64C0E0FC" w14:textId="77777777" w:rsidR="004D3739" w:rsidRPr="004D3739" w:rsidRDefault="004D3739" w:rsidP="00680FE0">
      <w:pPr>
        <w:numPr>
          <w:ilvl w:val="0"/>
          <w:numId w:val="1"/>
        </w:numPr>
        <w:tabs>
          <w:tab w:val="clear" w:pos="720"/>
        </w:tabs>
        <w:spacing w:beforeLines="120" w:before="288" w:afterLines="120" w:after="288" w:line="360" w:lineRule="auto"/>
        <w:ind w:left="84" w:hanging="567"/>
        <w:jc w:val="both"/>
        <w:rPr>
          <w:rFonts w:ascii="David" w:eastAsia="Times New Roman" w:hAnsi="David" w:cs="David"/>
          <w:sz w:val="26"/>
          <w:szCs w:val="26"/>
        </w:rPr>
      </w:pPr>
      <w:r w:rsidRPr="004D3739">
        <w:rPr>
          <w:rFonts w:ascii="David" w:eastAsia="Times New Roman" w:hAnsi="David" w:cs="David"/>
          <w:sz w:val="26"/>
          <w:szCs w:val="26"/>
          <w:rtl/>
        </w:rPr>
        <w:t>משנקבע מספר החניות הנכון, ומשיתר רכיבי התחשיב נותרו על כנם, אין מדובר בסוגיה הטעונה הכרעה שמאית נוספת. השמאי המכריע קבע כי עלות הקמתו של מקום חניה תת-קרקעי היא 151,200 ש"ח, וכי שוויו הוא 129,600 ש"ח. בהתאם לכך, העלות העודפת היא 21,600 ש"ח למקום חניה.</w:t>
      </w:r>
    </w:p>
    <w:p w14:paraId="0EC61523" w14:textId="245EDE61" w:rsidR="004D3739" w:rsidRPr="004D3739" w:rsidRDefault="004D3739" w:rsidP="00680FE0">
      <w:pPr>
        <w:numPr>
          <w:ilvl w:val="0"/>
          <w:numId w:val="1"/>
        </w:numPr>
        <w:tabs>
          <w:tab w:val="clear" w:pos="720"/>
        </w:tabs>
        <w:spacing w:beforeLines="120" w:before="288" w:afterLines="120" w:after="288" w:line="360" w:lineRule="auto"/>
        <w:ind w:left="84" w:hanging="567"/>
        <w:jc w:val="both"/>
        <w:rPr>
          <w:rFonts w:ascii="David" w:eastAsia="Times New Roman" w:hAnsi="David" w:cs="David"/>
          <w:sz w:val="26"/>
          <w:szCs w:val="26"/>
        </w:rPr>
      </w:pPr>
      <w:r w:rsidRPr="004D3739">
        <w:rPr>
          <w:rFonts w:ascii="David" w:eastAsia="Times New Roman" w:hAnsi="David" w:cs="David"/>
          <w:sz w:val="26"/>
          <w:szCs w:val="26"/>
          <w:rtl/>
        </w:rPr>
        <w:t xml:space="preserve">משנקבע כי מספר מקומות החניה הנכון הוא 133, יש לערוך את התחשיב מחדש על בסיס מספר זה. בהתאם לכך, סך העלות העודפת לחניה </w:t>
      </w:r>
      <w:r w:rsidR="00C24AF3">
        <w:rPr>
          <w:rFonts w:ascii="David" w:eastAsia="Times New Roman" w:hAnsi="David" w:cs="David" w:hint="cs"/>
          <w:sz w:val="26"/>
          <w:szCs w:val="26"/>
          <w:rtl/>
        </w:rPr>
        <w:t>תחושב כך:</w:t>
      </w:r>
    </w:p>
    <w:p w14:paraId="1CAF0EEC" w14:textId="77777777" w:rsidR="004D3739" w:rsidRPr="004D3739" w:rsidRDefault="004D3739" w:rsidP="00C24AF3">
      <w:pPr>
        <w:spacing w:beforeLines="120" w:before="288" w:afterLines="120" w:after="288" w:line="360" w:lineRule="auto"/>
        <w:ind w:left="360"/>
        <w:jc w:val="both"/>
        <w:rPr>
          <w:rFonts w:ascii="David" w:eastAsia="Times New Roman" w:hAnsi="David" w:cs="David"/>
          <w:sz w:val="26"/>
          <w:szCs w:val="26"/>
        </w:rPr>
      </w:pPr>
      <w:r w:rsidRPr="004D3739">
        <w:rPr>
          <w:rFonts w:ascii="David" w:eastAsia="Times New Roman" w:hAnsi="David" w:cs="David"/>
          <w:sz w:val="26"/>
          <w:szCs w:val="26"/>
          <w:rtl/>
        </w:rPr>
        <w:t>133 × 21,600 ש"ח = 2,872,800 ש"ח.</w:t>
      </w:r>
    </w:p>
    <w:p w14:paraId="56DE25FD" w14:textId="77777777" w:rsidR="004D3739" w:rsidRPr="004D3739" w:rsidRDefault="004D3739" w:rsidP="00C24AF3">
      <w:pPr>
        <w:spacing w:beforeLines="120" w:before="288" w:afterLines="120" w:after="288" w:line="360" w:lineRule="auto"/>
        <w:ind w:left="360"/>
        <w:jc w:val="both"/>
        <w:rPr>
          <w:rFonts w:ascii="David" w:eastAsia="Times New Roman" w:hAnsi="David" w:cs="David"/>
          <w:sz w:val="26"/>
          <w:szCs w:val="26"/>
        </w:rPr>
      </w:pPr>
      <w:r w:rsidRPr="004D3739">
        <w:rPr>
          <w:rFonts w:ascii="David" w:eastAsia="Times New Roman" w:hAnsi="David" w:cs="David"/>
          <w:sz w:val="26"/>
          <w:szCs w:val="26"/>
          <w:rtl/>
        </w:rPr>
        <w:t>ההפחתה שנכללה בשומה המכרעת עמדה על 3,733,920 ש"ח. לפיכך, הקטנת ההפחתה בגין העלות העודפת היא בסך:</w:t>
      </w:r>
    </w:p>
    <w:p w14:paraId="59566F3F" w14:textId="77777777" w:rsidR="004D3739" w:rsidRPr="004D3739" w:rsidRDefault="004D3739" w:rsidP="00C24AF3">
      <w:pPr>
        <w:spacing w:beforeLines="120" w:before="288" w:afterLines="120" w:after="288" w:line="360" w:lineRule="auto"/>
        <w:ind w:left="360"/>
        <w:jc w:val="both"/>
        <w:rPr>
          <w:rFonts w:ascii="David" w:eastAsia="Times New Roman" w:hAnsi="David" w:cs="David"/>
          <w:sz w:val="26"/>
          <w:szCs w:val="26"/>
        </w:rPr>
      </w:pPr>
      <w:r w:rsidRPr="004D3739">
        <w:rPr>
          <w:rFonts w:ascii="David" w:eastAsia="Times New Roman" w:hAnsi="David" w:cs="David"/>
          <w:sz w:val="26"/>
          <w:szCs w:val="26"/>
          <w:rtl/>
        </w:rPr>
        <w:t>3,733,920 ש"ח - 2,872,800 ש"ח = 861,120 ש"ח.</w:t>
      </w:r>
    </w:p>
    <w:p w14:paraId="0A1E76F1" w14:textId="77777777" w:rsidR="004D3739" w:rsidRPr="004D3739" w:rsidRDefault="004D3739" w:rsidP="00C24AF3">
      <w:pPr>
        <w:spacing w:beforeLines="120" w:before="288" w:afterLines="120" w:after="288" w:line="360" w:lineRule="auto"/>
        <w:ind w:left="360"/>
        <w:jc w:val="both"/>
        <w:rPr>
          <w:rFonts w:ascii="David" w:eastAsia="Times New Roman" w:hAnsi="David" w:cs="David"/>
          <w:sz w:val="26"/>
          <w:szCs w:val="26"/>
        </w:rPr>
      </w:pPr>
      <w:r w:rsidRPr="004D3739">
        <w:rPr>
          <w:rFonts w:ascii="David" w:eastAsia="Times New Roman" w:hAnsi="David" w:cs="David"/>
          <w:sz w:val="26"/>
          <w:szCs w:val="26"/>
          <w:rtl/>
        </w:rPr>
        <w:t>בהתאם לכך, תחשיב שוויו המתוקן של מגרש 203 יהיה כדלקמן:</w:t>
      </w:r>
    </w:p>
    <w:p w14:paraId="31E72797" w14:textId="2E91A80C" w:rsidR="004D3739" w:rsidRPr="004D3739" w:rsidRDefault="004D3739" w:rsidP="00C24AF3">
      <w:pPr>
        <w:spacing w:beforeLines="120" w:before="288" w:afterLines="120" w:after="288" w:line="360" w:lineRule="auto"/>
        <w:ind w:left="360"/>
        <w:jc w:val="both"/>
        <w:rPr>
          <w:rFonts w:ascii="David" w:eastAsia="Times New Roman" w:hAnsi="David" w:cs="David"/>
          <w:sz w:val="26"/>
          <w:szCs w:val="26"/>
        </w:rPr>
      </w:pPr>
      <w:r w:rsidRPr="004D3739">
        <w:rPr>
          <w:rFonts w:ascii="David" w:eastAsia="Times New Roman" w:hAnsi="David" w:cs="David"/>
          <w:sz w:val="26"/>
          <w:szCs w:val="26"/>
          <w:rtl/>
        </w:rPr>
        <w:t>שווי לפני הפחתות:</w:t>
      </w:r>
      <w:r w:rsidR="0096316E">
        <w:rPr>
          <w:rFonts w:ascii="David" w:eastAsia="Times New Roman" w:hAnsi="David" w:cs="David" w:hint="cs"/>
          <w:sz w:val="26"/>
          <w:szCs w:val="26"/>
          <w:rtl/>
        </w:rPr>
        <w:t xml:space="preserve">                                </w:t>
      </w:r>
      <w:r w:rsidRPr="004D3739">
        <w:rPr>
          <w:rFonts w:ascii="David" w:eastAsia="Times New Roman" w:hAnsi="David" w:cs="David"/>
          <w:sz w:val="26"/>
          <w:szCs w:val="26"/>
          <w:rtl/>
        </w:rPr>
        <w:t xml:space="preserve"> 139,352,590 ש"ח;</w:t>
      </w:r>
    </w:p>
    <w:p w14:paraId="0BE6954A" w14:textId="09F27003" w:rsidR="004D3739" w:rsidRPr="004D3739" w:rsidRDefault="004D3739" w:rsidP="00C24AF3">
      <w:pPr>
        <w:spacing w:beforeLines="120" w:before="288" w:afterLines="120" w:after="288" w:line="360" w:lineRule="auto"/>
        <w:ind w:left="360"/>
        <w:jc w:val="both"/>
        <w:rPr>
          <w:rFonts w:ascii="David" w:eastAsia="Times New Roman" w:hAnsi="David" w:cs="David"/>
          <w:sz w:val="26"/>
          <w:szCs w:val="26"/>
        </w:rPr>
      </w:pPr>
      <w:r w:rsidRPr="004D3739">
        <w:rPr>
          <w:rFonts w:ascii="David" w:eastAsia="Times New Roman" w:hAnsi="David" w:cs="David"/>
          <w:sz w:val="26"/>
          <w:szCs w:val="26"/>
          <w:rtl/>
        </w:rPr>
        <w:t>בניכוי עלות המטלה הציבורית:</w:t>
      </w:r>
      <w:r w:rsidR="0096316E">
        <w:rPr>
          <w:rFonts w:ascii="David" w:eastAsia="Times New Roman" w:hAnsi="David" w:cs="David" w:hint="cs"/>
          <w:sz w:val="26"/>
          <w:szCs w:val="26"/>
          <w:rtl/>
        </w:rPr>
        <w:t xml:space="preserve">              </w:t>
      </w:r>
      <w:r w:rsidRPr="004D3739">
        <w:rPr>
          <w:rFonts w:ascii="David" w:eastAsia="Times New Roman" w:hAnsi="David" w:cs="David"/>
          <w:sz w:val="26"/>
          <w:szCs w:val="26"/>
          <w:rtl/>
        </w:rPr>
        <w:t xml:space="preserve"> 21,528,000 ש"ח;</w:t>
      </w:r>
    </w:p>
    <w:p w14:paraId="27F9EBA9" w14:textId="3E974A59" w:rsidR="004D3739" w:rsidRPr="004D3739" w:rsidRDefault="004D3739" w:rsidP="00C24AF3">
      <w:pPr>
        <w:spacing w:beforeLines="120" w:before="288" w:afterLines="120" w:after="288" w:line="360" w:lineRule="auto"/>
        <w:ind w:left="360"/>
        <w:jc w:val="both"/>
        <w:rPr>
          <w:rFonts w:ascii="David" w:eastAsia="Times New Roman" w:hAnsi="David" w:cs="David"/>
          <w:sz w:val="26"/>
          <w:szCs w:val="26"/>
        </w:rPr>
      </w:pPr>
      <w:r w:rsidRPr="004D3739">
        <w:rPr>
          <w:rFonts w:ascii="David" w:eastAsia="Times New Roman" w:hAnsi="David" w:cs="David"/>
          <w:sz w:val="26"/>
          <w:szCs w:val="26"/>
          <w:rtl/>
        </w:rPr>
        <w:t>בניכוי העלות העודפת המתוקנת לחניה:</w:t>
      </w:r>
      <w:r w:rsidR="0096316E">
        <w:rPr>
          <w:rFonts w:ascii="David" w:eastAsia="Times New Roman" w:hAnsi="David" w:cs="David" w:hint="cs"/>
          <w:sz w:val="26"/>
          <w:szCs w:val="26"/>
          <w:rtl/>
        </w:rPr>
        <w:t xml:space="preserve">  </w:t>
      </w:r>
      <w:r w:rsidRPr="004D3739">
        <w:rPr>
          <w:rFonts w:ascii="David" w:eastAsia="Times New Roman" w:hAnsi="David" w:cs="David"/>
          <w:sz w:val="26"/>
          <w:szCs w:val="26"/>
          <w:rtl/>
        </w:rPr>
        <w:t xml:space="preserve"> 2,872,800 ש"ח;</w:t>
      </w:r>
    </w:p>
    <w:p w14:paraId="39D27994" w14:textId="5EF1D372" w:rsidR="004D3739" w:rsidRPr="004D3739" w:rsidRDefault="004D3739" w:rsidP="00C24AF3">
      <w:pPr>
        <w:spacing w:beforeLines="120" w:before="288" w:afterLines="120" w:after="288" w:line="360" w:lineRule="auto"/>
        <w:ind w:left="360"/>
        <w:jc w:val="both"/>
        <w:rPr>
          <w:rFonts w:ascii="David" w:eastAsia="Times New Roman" w:hAnsi="David" w:cs="David"/>
          <w:sz w:val="26"/>
          <w:szCs w:val="26"/>
        </w:rPr>
      </w:pPr>
      <w:r w:rsidRPr="004D3739">
        <w:rPr>
          <w:rFonts w:ascii="David" w:eastAsia="Times New Roman" w:hAnsi="David" w:cs="David"/>
          <w:sz w:val="26"/>
          <w:szCs w:val="26"/>
          <w:rtl/>
        </w:rPr>
        <w:t>סך הכול לפני החלת המקדם:</w:t>
      </w:r>
      <w:r w:rsidR="0096316E">
        <w:rPr>
          <w:rFonts w:ascii="David" w:eastAsia="Times New Roman" w:hAnsi="David" w:cs="David" w:hint="cs"/>
          <w:sz w:val="26"/>
          <w:szCs w:val="26"/>
          <w:rtl/>
        </w:rPr>
        <w:t xml:space="preserve">                   </w:t>
      </w:r>
      <w:r w:rsidRPr="004D3739">
        <w:rPr>
          <w:rFonts w:ascii="David" w:eastAsia="Times New Roman" w:hAnsi="David" w:cs="David"/>
          <w:sz w:val="26"/>
          <w:szCs w:val="26"/>
          <w:rtl/>
        </w:rPr>
        <w:t xml:space="preserve"> 114,951,790 ש"ח.</w:t>
      </w:r>
    </w:p>
    <w:p w14:paraId="37F3F535" w14:textId="7C5F4261" w:rsidR="004D3739" w:rsidRPr="004D3739" w:rsidRDefault="004D3739" w:rsidP="00C24AF3">
      <w:pPr>
        <w:spacing w:beforeLines="120" w:before="288" w:afterLines="120" w:after="288" w:line="360" w:lineRule="auto"/>
        <w:ind w:left="360"/>
        <w:jc w:val="both"/>
        <w:rPr>
          <w:rFonts w:ascii="David" w:eastAsia="Times New Roman" w:hAnsi="David" w:cs="David"/>
          <w:sz w:val="26"/>
          <w:szCs w:val="26"/>
        </w:rPr>
      </w:pPr>
      <w:r w:rsidRPr="004D3739">
        <w:rPr>
          <w:rFonts w:ascii="David" w:eastAsia="Times New Roman" w:hAnsi="David" w:cs="David"/>
          <w:sz w:val="26"/>
          <w:szCs w:val="26"/>
          <w:rtl/>
        </w:rPr>
        <w:t>לאחר החלת המקדם בשיעור 0.85:</w:t>
      </w:r>
    </w:p>
    <w:p w14:paraId="5EB374CD" w14:textId="77777777" w:rsidR="004D3739" w:rsidRPr="004D3739" w:rsidRDefault="004D3739" w:rsidP="00C24AF3">
      <w:pPr>
        <w:spacing w:beforeLines="120" w:before="288" w:afterLines="120" w:after="288" w:line="360" w:lineRule="auto"/>
        <w:ind w:left="360"/>
        <w:jc w:val="both"/>
        <w:rPr>
          <w:rFonts w:ascii="David" w:eastAsia="Times New Roman" w:hAnsi="David" w:cs="David"/>
          <w:sz w:val="26"/>
          <w:szCs w:val="26"/>
        </w:rPr>
      </w:pPr>
      <w:r w:rsidRPr="004D3739">
        <w:rPr>
          <w:rFonts w:ascii="David" w:eastAsia="Times New Roman" w:hAnsi="David" w:cs="David"/>
          <w:sz w:val="26"/>
          <w:szCs w:val="26"/>
          <w:rtl/>
        </w:rPr>
        <w:t>114,951,790 ש"ח × 0.85 = 97,709,021.50 ש"ח.</w:t>
      </w:r>
    </w:p>
    <w:p w14:paraId="44481280" w14:textId="445BE530" w:rsidR="004D3739" w:rsidRPr="004D3739" w:rsidRDefault="004D3739" w:rsidP="00680FE0">
      <w:pPr>
        <w:numPr>
          <w:ilvl w:val="0"/>
          <w:numId w:val="1"/>
        </w:numPr>
        <w:tabs>
          <w:tab w:val="clear" w:pos="720"/>
        </w:tabs>
        <w:spacing w:beforeLines="120" w:before="288" w:afterLines="120" w:after="288" w:line="360" w:lineRule="auto"/>
        <w:ind w:left="84" w:hanging="567"/>
        <w:jc w:val="both"/>
        <w:rPr>
          <w:rFonts w:ascii="David" w:eastAsia="Times New Roman" w:hAnsi="David" w:cs="David"/>
          <w:sz w:val="26"/>
          <w:szCs w:val="26"/>
        </w:rPr>
      </w:pPr>
      <w:r w:rsidRPr="004D3739">
        <w:rPr>
          <w:rFonts w:ascii="David" w:eastAsia="Times New Roman" w:hAnsi="David" w:cs="David"/>
          <w:sz w:val="26"/>
          <w:szCs w:val="26"/>
          <w:rtl/>
        </w:rPr>
        <w:lastRenderedPageBreak/>
        <w:t xml:space="preserve">השמאי המכריע ישלב את התחשיב האמור בשומות המתוקנות, </w:t>
      </w:r>
      <w:r w:rsidR="00C920D5">
        <w:rPr>
          <w:rFonts w:ascii="David" w:eastAsia="Times New Roman" w:hAnsi="David" w:cs="David" w:hint="cs"/>
          <w:sz w:val="26"/>
          <w:szCs w:val="26"/>
          <w:rtl/>
        </w:rPr>
        <w:t>ו</w:t>
      </w:r>
      <w:r w:rsidRPr="004D3739">
        <w:rPr>
          <w:rFonts w:ascii="David" w:eastAsia="Times New Roman" w:hAnsi="David" w:cs="David"/>
          <w:sz w:val="26"/>
          <w:szCs w:val="26"/>
          <w:rtl/>
        </w:rPr>
        <w:t>יעדכן בהתאם את שווי מגרש 203, את ההשבחה ואת היטל ההשבחה, וייחס את התיקון לבעלי הזכויות בהתאם לחלקיהם</w:t>
      </w:r>
      <w:r w:rsidR="00C920D5">
        <w:rPr>
          <w:rFonts w:ascii="David" w:eastAsia="Times New Roman" w:hAnsi="David" w:cs="David" w:hint="cs"/>
          <w:sz w:val="26"/>
          <w:szCs w:val="26"/>
          <w:rtl/>
        </w:rPr>
        <w:t xml:space="preserve"> היחסיים</w:t>
      </w:r>
      <w:r w:rsidRPr="004D3739">
        <w:rPr>
          <w:rFonts w:ascii="David" w:eastAsia="Times New Roman" w:hAnsi="David" w:cs="David"/>
          <w:sz w:val="26"/>
          <w:szCs w:val="26"/>
          <w:rtl/>
        </w:rPr>
        <w:t xml:space="preserve"> במגרש כפי שנקבעו בשומותיו.</w:t>
      </w:r>
    </w:p>
    <w:p w14:paraId="40B46C9E" w14:textId="13C1BCAC" w:rsidR="00D738AC" w:rsidRDefault="00FC0059" w:rsidP="00680FE0">
      <w:pPr>
        <w:numPr>
          <w:ilvl w:val="0"/>
          <w:numId w:val="1"/>
        </w:numPr>
        <w:tabs>
          <w:tab w:val="clear" w:pos="720"/>
        </w:tabs>
        <w:spacing w:beforeLines="120" w:before="288" w:afterLines="120" w:after="288" w:line="360" w:lineRule="auto"/>
        <w:ind w:left="84" w:hanging="567"/>
        <w:jc w:val="both"/>
        <w:rPr>
          <w:rFonts w:ascii="David" w:eastAsia="Times New Roman" w:hAnsi="David" w:cs="David"/>
          <w:sz w:val="26"/>
          <w:szCs w:val="26"/>
        </w:rPr>
      </w:pPr>
      <w:r w:rsidRPr="00FC0059">
        <w:rPr>
          <w:rFonts w:ascii="David" w:eastAsia="Times New Roman" w:hAnsi="David" w:cs="David"/>
          <w:sz w:val="26"/>
          <w:szCs w:val="26"/>
          <w:rtl/>
        </w:rPr>
        <w:t xml:space="preserve">ככל שהשמאי המכריע יסבור כי </w:t>
      </w:r>
      <w:r w:rsidR="00C0268E">
        <w:rPr>
          <w:rFonts w:ascii="David" w:eastAsia="Times New Roman" w:hAnsi="David" w:cs="David" w:hint="cs"/>
          <w:sz w:val="26"/>
          <w:szCs w:val="26"/>
          <w:rtl/>
        </w:rPr>
        <w:t>באופן עריכת התחשיב</w:t>
      </w:r>
      <w:r w:rsidRPr="00FC0059">
        <w:rPr>
          <w:rFonts w:ascii="David" w:eastAsia="Times New Roman" w:hAnsi="David" w:cs="David"/>
          <w:sz w:val="26"/>
          <w:szCs w:val="26"/>
          <w:rtl/>
        </w:rPr>
        <w:t xml:space="preserve"> המפורט לעיל </w:t>
      </w:r>
      <w:r w:rsidR="00D72586">
        <w:rPr>
          <w:rFonts w:ascii="David" w:eastAsia="Times New Roman" w:hAnsi="David" w:cs="David" w:hint="cs"/>
          <w:sz w:val="26"/>
          <w:szCs w:val="26"/>
          <w:rtl/>
        </w:rPr>
        <w:t>נדרש</w:t>
      </w:r>
      <w:r w:rsidR="00703B73">
        <w:rPr>
          <w:rFonts w:ascii="David" w:eastAsia="Times New Roman" w:hAnsi="David" w:cs="David" w:hint="cs"/>
          <w:sz w:val="26"/>
          <w:szCs w:val="26"/>
          <w:rtl/>
        </w:rPr>
        <w:t xml:space="preserve"> </w:t>
      </w:r>
      <w:r w:rsidRPr="00FC0059">
        <w:rPr>
          <w:rFonts w:ascii="David" w:eastAsia="Times New Roman" w:hAnsi="David" w:cs="David"/>
          <w:sz w:val="26"/>
          <w:szCs w:val="26"/>
          <w:rtl/>
        </w:rPr>
        <w:t>תיקון אריתמטי זניח</w:t>
      </w:r>
      <w:r w:rsidR="00D72586">
        <w:rPr>
          <w:rFonts w:ascii="David" w:eastAsia="Times New Roman" w:hAnsi="David" w:cs="David" w:hint="cs"/>
          <w:sz w:val="26"/>
          <w:szCs w:val="26"/>
          <w:rtl/>
        </w:rPr>
        <w:t xml:space="preserve"> הנובע משימוש בנתונים בלתי מעוגלים</w:t>
      </w:r>
      <w:r w:rsidR="002261A6">
        <w:rPr>
          <w:rFonts w:ascii="David" w:eastAsia="Times New Roman" w:hAnsi="David" w:cs="David" w:hint="cs"/>
          <w:sz w:val="26"/>
          <w:szCs w:val="26"/>
          <w:rtl/>
        </w:rPr>
        <w:t xml:space="preserve"> (כפי שאכן נראה המצב</w:t>
      </w:r>
      <w:r w:rsidR="00783204">
        <w:rPr>
          <w:rFonts w:ascii="David" w:eastAsia="Times New Roman" w:hAnsi="David" w:cs="David" w:hint="cs"/>
          <w:sz w:val="26"/>
          <w:szCs w:val="26"/>
          <w:rtl/>
        </w:rPr>
        <w:t xml:space="preserve"> העולה מהחישוב</w:t>
      </w:r>
      <w:r w:rsidR="002261A6">
        <w:rPr>
          <w:rFonts w:ascii="David" w:eastAsia="Times New Roman" w:hAnsi="David" w:cs="David" w:hint="cs"/>
          <w:sz w:val="26"/>
          <w:szCs w:val="26"/>
          <w:rtl/>
        </w:rPr>
        <w:t>)</w:t>
      </w:r>
      <w:r w:rsidRPr="00FC0059">
        <w:rPr>
          <w:rFonts w:ascii="David" w:eastAsia="Times New Roman" w:hAnsi="David" w:cs="David"/>
          <w:sz w:val="26"/>
          <w:szCs w:val="26"/>
          <w:rtl/>
        </w:rPr>
        <w:t xml:space="preserve">, יהיה רשאי לציין זאת באופן מפורט ומנומק במסגרת השומה המתוקנת ולהציג את התחשיב החלופי. אין בכך כדי לאפשר סטייה מן ההכרעה שלפיה מספר החניות הוא 133, או לפתוח מחדש איזה מן הרכיבים המקצועיים שנקבעו. בהיעדר קושי חשבוני מנומק כאמור, ישולב </w:t>
      </w:r>
      <w:r w:rsidR="00872A5A">
        <w:rPr>
          <w:rFonts w:ascii="David" w:eastAsia="Times New Roman" w:hAnsi="David" w:cs="David" w:hint="cs"/>
          <w:sz w:val="26"/>
          <w:szCs w:val="26"/>
          <w:rtl/>
        </w:rPr>
        <w:t>התחשיב התואם את האמור</w:t>
      </w:r>
      <w:r w:rsidRPr="00FC0059">
        <w:rPr>
          <w:rFonts w:ascii="David" w:eastAsia="Times New Roman" w:hAnsi="David" w:cs="David"/>
          <w:sz w:val="26"/>
          <w:szCs w:val="26"/>
          <w:rtl/>
        </w:rPr>
        <w:t xml:space="preserve"> לעיל בשומה וזו תתוקן בהתאם.</w:t>
      </w:r>
    </w:p>
    <w:p w14:paraId="4640041B" w14:textId="7C82CB0B" w:rsidR="00D738AC" w:rsidRPr="00D738AC" w:rsidRDefault="006E6D59" w:rsidP="00D738AC">
      <w:pPr>
        <w:spacing w:beforeLines="120" w:before="288" w:afterLines="120" w:after="288" w:line="360" w:lineRule="auto"/>
        <w:ind w:left="-58"/>
        <w:jc w:val="both"/>
        <w:rPr>
          <w:rFonts w:ascii="David" w:eastAsia="Times New Roman" w:hAnsi="David" w:cs="David"/>
          <w:b/>
          <w:bCs/>
          <w:sz w:val="26"/>
          <w:szCs w:val="26"/>
          <w:u w:val="single"/>
        </w:rPr>
      </w:pPr>
      <w:r w:rsidRPr="00D738AC">
        <w:rPr>
          <w:rFonts w:ascii="David" w:eastAsia="Times New Roman" w:hAnsi="David" w:cs="David"/>
          <w:b/>
          <w:bCs/>
          <w:sz w:val="26"/>
          <w:szCs w:val="26"/>
          <w:u w:val="single"/>
          <w:rtl/>
        </w:rPr>
        <w:t>ב. עצם קיומה של עלות עודפת</w:t>
      </w:r>
    </w:p>
    <w:p w14:paraId="11CD8999" w14:textId="4E468CEE" w:rsidR="006E6D59" w:rsidRPr="0020566B" w:rsidRDefault="006E6D59" w:rsidP="00680FE0">
      <w:pPr>
        <w:numPr>
          <w:ilvl w:val="0"/>
          <w:numId w:val="1"/>
        </w:numPr>
        <w:tabs>
          <w:tab w:val="clear" w:pos="720"/>
        </w:tabs>
        <w:spacing w:beforeLines="120" w:before="288" w:afterLines="120" w:after="288" w:line="360" w:lineRule="auto"/>
        <w:ind w:left="84" w:hanging="567"/>
        <w:jc w:val="both"/>
        <w:rPr>
          <w:rFonts w:ascii="David" w:eastAsia="Times New Roman" w:hAnsi="David" w:cs="David"/>
          <w:sz w:val="26"/>
          <w:szCs w:val="26"/>
        </w:rPr>
      </w:pPr>
      <w:r w:rsidRPr="00D738AC">
        <w:rPr>
          <w:rFonts w:ascii="David" w:eastAsia="Times New Roman" w:hAnsi="David" w:cs="David"/>
          <w:sz w:val="26"/>
          <w:szCs w:val="26"/>
          <w:rtl/>
        </w:rPr>
        <w:t xml:space="preserve">דין טענת הוועדה המקומית שלפיה אין במגרש 203 עלות עודפת כלל </w:t>
      </w:r>
      <w:r w:rsidR="00DC0EAF">
        <w:rPr>
          <w:rFonts w:ascii="David" w:eastAsia="Times New Roman" w:hAnsi="David" w:cs="David" w:hint="cs"/>
          <w:sz w:val="26"/>
          <w:szCs w:val="26"/>
          <w:rtl/>
        </w:rPr>
        <w:t>-</w:t>
      </w:r>
      <w:r w:rsidRPr="00D738AC">
        <w:rPr>
          <w:rFonts w:ascii="David" w:eastAsia="Times New Roman" w:hAnsi="David" w:cs="David"/>
          <w:sz w:val="26"/>
          <w:szCs w:val="26"/>
          <w:rtl/>
        </w:rPr>
        <w:t xml:space="preserve"> להידחות.</w:t>
      </w:r>
    </w:p>
    <w:p w14:paraId="30102343" w14:textId="413C11ED" w:rsidR="006E6D59" w:rsidRPr="006E6D59" w:rsidRDefault="006E6D59" w:rsidP="00680FE0">
      <w:pPr>
        <w:numPr>
          <w:ilvl w:val="0"/>
          <w:numId w:val="1"/>
        </w:numPr>
        <w:tabs>
          <w:tab w:val="clear" w:pos="720"/>
        </w:tabs>
        <w:spacing w:beforeLines="120" w:before="288" w:afterLines="120" w:after="288" w:line="360" w:lineRule="auto"/>
        <w:ind w:left="84" w:hanging="567"/>
        <w:jc w:val="both"/>
        <w:rPr>
          <w:rFonts w:ascii="David" w:eastAsia="Times New Roman" w:hAnsi="David" w:cs="David"/>
          <w:sz w:val="26"/>
          <w:szCs w:val="26"/>
        </w:rPr>
      </w:pPr>
      <w:r w:rsidRPr="006E6D59">
        <w:rPr>
          <w:rFonts w:ascii="David" w:eastAsia="Times New Roman" w:hAnsi="David" w:cs="David"/>
          <w:sz w:val="26"/>
          <w:szCs w:val="26"/>
          <w:rtl/>
        </w:rPr>
        <w:t xml:space="preserve">נקודת המוצא היא אמת המידה המצמצמת להתערבות בהכרעת שמאי מכריע. </w:t>
      </w:r>
      <w:r w:rsidR="005E0205">
        <w:rPr>
          <w:rFonts w:ascii="David" w:eastAsia="Times New Roman" w:hAnsi="David" w:cs="David" w:hint="cs"/>
          <w:sz w:val="26"/>
          <w:szCs w:val="26"/>
          <w:rtl/>
        </w:rPr>
        <w:t>בהלכת גלר</w:t>
      </w:r>
      <w:r w:rsidR="00EC547F">
        <w:rPr>
          <w:rFonts w:ascii="David" w:eastAsia="Times New Roman" w:hAnsi="David" w:cs="David" w:hint="cs"/>
          <w:sz w:val="26"/>
          <w:szCs w:val="26"/>
          <w:rtl/>
        </w:rPr>
        <w:t xml:space="preserve"> נקבע</w:t>
      </w:r>
      <w:r w:rsidRPr="006E6D59">
        <w:rPr>
          <w:rFonts w:ascii="David" w:eastAsia="Times New Roman" w:hAnsi="David" w:cs="David"/>
          <w:sz w:val="26"/>
          <w:szCs w:val="26"/>
          <w:rtl/>
        </w:rPr>
        <w:t>:</w:t>
      </w:r>
    </w:p>
    <w:p w14:paraId="1871EB68" w14:textId="77777777" w:rsidR="006E6D59" w:rsidRPr="00FF0423" w:rsidRDefault="006E6D59" w:rsidP="00FF0423">
      <w:pPr>
        <w:spacing w:beforeLines="120" w:before="288" w:afterLines="120" w:after="288" w:line="360" w:lineRule="auto"/>
        <w:ind w:left="793" w:right="284"/>
        <w:jc w:val="both"/>
        <w:rPr>
          <w:rFonts w:ascii="David" w:eastAsia="Times New Roman" w:hAnsi="David" w:cs="David"/>
          <w:b/>
          <w:bCs/>
        </w:rPr>
      </w:pPr>
      <w:r w:rsidRPr="00FF0423">
        <w:rPr>
          <w:rFonts w:ascii="David" w:eastAsia="Times New Roman" w:hAnsi="David" w:cs="David"/>
          <w:b/>
          <w:bCs/>
          <w:rtl/>
        </w:rPr>
        <w:t>"ועדת הערר תיטה לאמץ את חוות דעתו של השמאי וככלל התערבותה תוגבל למקרים שבהם נפלה בה טעות מהותית או דופי חמור".</w:t>
      </w:r>
    </w:p>
    <w:p w14:paraId="5CE2CF08" w14:textId="275945CB" w:rsidR="006C022E" w:rsidRDefault="006E6D59" w:rsidP="00680FE0">
      <w:pPr>
        <w:numPr>
          <w:ilvl w:val="0"/>
          <w:numId w:val="1"/>
        </w:numPr>
        <w:tabs>
          <w:tab w:val="clear" w:pos="720"/>
        </w:tabs>
        <w:spacing w:beforeLines="120" w:before="288" w:afterLines="120" w:after="288" w:line="360" w:lineRule="auto"/>
        <w:ind w:left="84" w:hanging="567"/>
        <w:jc w:val="both"/>
        <w:rPr>
          <w:rFonts w:ascii="David" w:eastAsia="Times New Roman" w:hAnsi="David" w:cs="David"/>
          <w:sz w:val="26"/>
          <w:szCs w:val="26"/>
        </w:rPr>
      </w:pPr>
      <w:r w:rsidRPr="006E6D59">
        <w:rPr>
          <w:rFonts w:ascii="David" w:eastAsia="Times New Roman" w:hAnsi="David" w:cs="David"/>
          <w:sz w:val="26"/>
          <w:szCs w:val="26"/>
          <w:rtl/>
        </w:rPr>
        <w:t>עוד נקבע</w:t>
      </w:r>
      <w:r w:rsidR="006C022E">
        <w:rPr>
          <w:rFonts w:ascii="David" w:eastAsia="Times New Roman" w:hAnsi="David" w:cs="David" w:hint="cs"/>
          <w:sz w:val="26"/>
          <w:szCs w:val="26"/>
          <w:rtl/>
        </w:rPr>
        <w:t xml:space="preserve">: </w:t>
      </w:r>
    </w:p>
    <w:p w14:paraId="4B6B17E3" w14:textId="3E0CF54C" w:rsidR="006E6D59" w:rsidRPr="00FF0423" w:rsidRDefault="006C022E" w:rsidP="00FF0423">
      <w:pPr>
        <w:spacing w:beforeLines="120" w:before="288" w:afterLines="120" w:after="288" w:line="360" w:lineRule="auto"/>
        <w:ind w:left="793" w:right="284"/>
        <w:jc w:val="both"/>
        <w:rPr>
          <w:rFonts w:ascii="David" w:eastAsia="Times New Roman" w:hAnsi="David" w:cs="David"/>
          <w:b/>
          <w:bCs/>
          <w:rtl/>
        </w:rPr>
      </w:pPr>
      <w:r w:rsidRPr="00FF0423">
        <w:rPr>
          <w:rFonts w:ascii="David" w:eastAsia="Times New Roman" w:hAnsi="David" w:cs="David" w:hint="cs"/>
          <w:b/>
          <w:bCs/>
          <w:rtl/>
        </w:rPr>
        <w:t>"</w:t>
      </w:r>
      <w:r w:rsidRPr="00FF0423">
        <w:rPr>
          <w:rFonts w:ascii="David" w:eastAsia="Times New Roman" w:hAnsi="David" w:cs="David"/>
          <w:b/>
          <w:bCs/>
          <w:rtl/>
        </w:rPr>
        <w:t>למשל, ועדת הערר תיטה לאמץ את שיקול דעתו של השמאי אם מסקנותיו הושתתו על שיטה שמאית מקובלת ועל מסד עובדתי הולם, וזאת אף אם קיימות גישות מקצועיות שונות בשאלה שבמחלוקת</w:t>
      </w:r>
      <w:r w:rsidRPr="00FF0423">
        <w:rPr>
          <w:rFonts w:ascii="David" w:eastAsia="Times New Roman" w:hAnsi="David" w:cs="David" w:hint="cs"/>
          <w:b/>
          <w:bCs/>
          <w:rtl/>
        </w:rPr>
        <w:t>"</w:t>
      </w:r>
      <w:r w:rsidR="006E6D59" w:rsidRPr="00FF0423">
        <w:rPr>
          <w:rFonts w:ascii="David" w:eastAsia="Times New Roman" w:hAnsi="David" w:cs="David"/>
          <w:b/>
          <w:bCs/>
          <w:rtl/>
        </w:rPr>
        <w:t>.</w:t>
      </w:r>
    </w:p>
    <w:p w14:paraId="122B3563" w14:textId="38F81CD9" w:rsidR="00D80F1D" w:rsidRPr="00D80F1D" w:rsidRDefault="00D80F1D" w:rsidP="00D80F1D">
      <w:pPr>
        <w:spacing w:beforeLines="120" w:before="288" w:afterLines="120" w:after="288" w:line="360" w:lineRule="auto"/>
        <w:jc w:val="both"/>
        <w:rPr>
          <w:rFonts w:ascii="David" w:eastAsia="Times New Roman" w:hAnsi="David" w:cs="David"/>
          <w:sz w:val="26"/>
          <w:szCs w:val="26"/>
          <w:u w:val="single"/>
        </w:rPr>
      </w:pPr>
      <w:r w:rsidRPr="00D80F1D">
        <w:rPr>
          <w:rFonts w:ascii="David" w:eastAsia="Times New Roman" w:hAnsi="David" w:cs="David" w:hint="cs"/>
          <w:sz w:val="26"/>
          <w:szCs w:val="26"/>
          <w:u w:val="single"/>
          <w:rtl/>
        </w:rPr>
        <w:t>מן הכלל אל הפרט</w:t>
      </w:r>
    </w:p>
    <w:p w14:paraId="5DF59018" w14:textId="13CF7F1D" w:rsidR="006E6D59" w:rsidRPr="006E6D59" w:rsidRDefault="006E6D59" w:rsidP="00680FE0">
      <w:pPr>
        <w:numPr>
          <w:ilvl w:val="0"/>
          <w:numId w:val="1"/>
        </w:numPr>
        <w:tabs>
          <w:tab w:val="clear" w:pos="720"/>
        </w:tabs>
        <w:spacing w:beforeLines="120" w:before="288" w:afterLines="120" w:after="288" w:line="360" w:lineRule="auto"/>
        <w:ind w:left="84" w:hanging="567"/>
        <w:jc w:val="both"/>
        <w:rPr>
          <w:rFonts w:ascii="David" w:eastAsia="Times New Roman" w:hAnsi="David" w:cs="David"/>
          <w:sz w:val="26"/>
          <w:szCs w:val="26"/>
        </w:rPr>
      </w:pPr>
      <w:r w:rsidRPr="006E6D59">
        <w:rPr>
          <w:rFonts w:ascii="David" w:eastAsia="Times New Roman" w:hAnsi="David" w:cs="David"/>
          <w:sz w:val="26"/>
          <w:szCs w:val="26"/>
          <w:rtl/>
        </w:rPr>
        <w:t>כבר בראשית הדברים יש לעמוד על התפתחות עמדת הוועדה המקומית. עיון בשומת הוועדה המקורית מלמד כי לא נכלל בה דיון או תחשיב בשאלת העלות העודפת להקמת החניות לשטחי המסחר והתעסוקה במגרש 203. בפרק התחשיב של השומה, ובכלל זה בתחשיב מגרש 203, לא נקבע כי אין עלות עודפת ולא הוצג חישוב המבקש לאיין עלות מעין זו.</w:t>
      </w:r>
      <w:r w:rsidR="00B075E4">
        <w:rPr>
          <w:rFonts w:ascii="David" w:eastAsia="Times New Roman" w:hAnsi="David" w:cs="David" w:hint="cs"/>
          <w:sz w:val="26"/>
          <w:szCs w:val="26"/>
          <w:rtl/>
        </w:rPr>
        <w:t xml:space="preserve"> </w:t>
      </w:r>
    </w:p>
    <w:p w14:paraId="66E882C9" w14:textId="221F9291" w:rsidR="006E6D59" w:rsidRPr="006E6D59" w:rsidRDefault="006E6D59" w:rsidP="00680FE0">
      <w:pPr>
        <w:numPr>
          <w:ilvl w:val="0"/>
          <w:numId w:val="1"/>
        </w:numPr>
        <w:tabs>
          <w:tab w:val="clear" w:pos="720"/>
        </w:tabs>
        <w:spacing w:beforeLines="120" w:before="288" w:afterLines="120" w:after="288" w:line="360" w:lineRule="auto"/>
        <w:ind w:left="84" w:hanging="567"/>
        <w:jc w:val="both"/>
        <w:rPr>
          <w:rFonts w:ascii="David" w:eastAsia="Times New Roman" w:hAnsi="David" w:cs="David"/>
          <w:sz w:val="26"/>
          <w:szCs w:val="26"/>
        </w:rPr>
      </w:pPr>
      <w:r>
        <w:rPr>
          <w:rFonts w:ascii="David" w:eastAsia="Times New Roman" w:hAnsi="David" w:cs="David"/>
          <w:sz w:val="26"/>
          <w:szCs w:val="26"/>
          <w:rtl/>
        </w:rPr>
        <w:t xml:space="preserve">הטענה הקטגורית שלפיה "אין כל עלות עודפת לחניה" הועלתה רק בתגובתה המאוחרת של שמאית הוועדה לשומה האחרת, מיום 20.10.2024 </w:t>
      </w:r>
      <w:r w:rsidR="00364592">
        <w:rPr>
          <w:rFonts w:ascii="David" w:eastAsia="Times New Roman" w:hAnsi="David" w:cs="David" w:hint="cs"/>
          <w:sz w:val="26"/>
          <w:szCs w:val="26"/>
          <w:rtl/>
        </w:rPr>
        <w:t>(</w:t>
      </w:r>
      <w:r>
        <w:rPr>
          <w:rFonts w:ascii="David" w:eastAsia="Times New Roman" w:hAnsi="David" w:cs="David"/>
          <w:sz w:val="26"/>
          <w:szCs w:val="26"/>
          <w:rtl/>
        </w:rPr>
        <w:t>בעמוד 27 מתוך 40 לתגובה כתבה שמאית הוועדה</w:t>
      </w:r>
      <w:r w:rsidR="00364592">
        <w:rPr>
          <w:rFonts w:ascii="David" w:eastAsia="Times New Roman" w:hAnsi="David" w:cs="David" w:hint="cs"/>
          <w:sz w:val="26"/>
          <w:szCs w:val="26"/>
          <w:rtl/>
        </w:rPr>
        <w:t>)</w:t>
      </w:r>
      <w:r>
        <w:rPr>
          <w:rFonts w:ascii="David" w:eastAsia="Times New Roman" w:hAnsi="David" w:cs="David"/>
          <w:sz w:val="26"/>
          <w:szCs w:val="26"/>
          <w:rtl/>
        </w:rPr>
        <w:t>:</w:t>
      </w:r>
    </w:p>
    <w:p w14:paraId="4FAB965E" w14:textId="718E7536" w:rsidR="006E6D59" w:rsidRPr="00FF0423" w:rsidRDefault="006E6D59" w:rsidP="00FF0423">
      <w:pPr>
        <w:spacing w:beforeLines="120" w:before="288" w:afterLines="120" w:after="288" w:line="360" w:lineRule="auto"/>
        <w:ind w:left="793" w:right="284"/>
        <w:jc w:val="both"/>
        <w:rPr>
          <w:rFonts w:ascii="David" w:eastAsia="Times New Roman" w:hAnsi="David" w:cs="David"/>
          <w:b/>
          <w:bCs/>
        </w:rPr>
      </w:pPr>
      <w:r>
        <w:rPr>
          <w:rFonts w:ascii="David" w:eastAsia="Times New Roman" w:hAnsi="David" w:cs="David"/>
          <w:b/>
          <w:bCs/>
          <w:rtl/>
        </w:rPr>
        <w:lastRenderedPageBreak/>
        <w:t>"אין כל עלות עודפת לחניה, ההפך הוא הנכון תרומת שווי החניות עולה על עלות הקמתן כפי שאוכיח כדלקמן:"</w:t>
      </w:r>
    </w:p>
    <w:p w14:paraId="1742F330" w14:textId="0133874A" w:rsidR="006E6D59" w:rsidRPr="006E6D59" w:rsidRDefault="006E6D59" w:rsidP="00680FE0">
      <w:pPr>
        <w:numPr>
          <w:ilvl w:val="0"/>
          <w:numId w:val="1"/>
        </w:numPr>
        <w:tabs>
          <w:tab w:val="clear" w:pos="720"/>
        </w:tabs>
        <w:spacing w:beforeLines="120" w:before="288" w:afterLines="120" w:after="288" w:line="360" w:lineRule="auto"/>
        <w:ind w:left="84" w:hanging="567"/>
        <w:jc w:val="both"/>
        <w:rPr>
          <w:rFonts w:ascii="David" w:eastAsia="Times New Roman" w:hAnsi="David" w:cs="David"/>
          <w:sz w:val="26"/>
          <w:szCs w:val="26"/>
        </w:rPr>
      </w:pPr>
      <w:r>
        <w:rPr>
          <w:rFonts w:ascii="David" w:eastAsia="Times New Roman" w:hAnsi="David" w:cs="David"/>
          <w:sz w:val="26"/>
          <w:szCs w:val="26"/>
          <w:rtl/>
        </w:rPr>
        <w:t xml:space="preserve">בהמשך העמידה את שוויו של מקום חניה לתעסוקה על </w:t>
      </w:r>
      <w:r w:rsidRPr="006E6D59">
        <w:rPr>
          <w:rFonts w:ascii="David" w:eastAsia="Times New Roman" w:hAnsi="David" w:cs="David"/>
          <w:sz w:val="26"/>
          <w:szCs w:val="26"/>
          <w:rtl/>
        </w:rPr>
        <w:t>כ</w:t>
      </w:r>
      <w:r w:rsidR="00E47BA6">
        <w:rPr>
          <w:rFonts w:ascii="David" w:eastAsia="Times New Roman" w:hAnsi="David" w:cs="David" w:hint="cs"/>
          <w:sz w:val="26"/>
          <w:szCs w:val="26"/>
          <w:rtl/>
        </w:rPr>
        <w:t xml:space="preserve"> - </w:t>
      </w:r>
      <w:r w:rsidRPr="006E6D59">
        <w:rPr>
          <w:rFonts w:ascii="David" w:eastAsia="Times New Roman" w:hAnsi="David" w:cs="David"/>
          <w:sz w:val="26"/>
          <w:szCs w:val="26"/>
          <w:rtl/>
        </w:rPr>
        <w:t>200</w:t>
      </w:r>
      <w:r>
        <w:rPr>
          <w:rFonts w:ascii="David" w:eastAsia="Times New Roman" w:hAnsi="David" w:cs="David"/>
          <w:sz w:val="26"/>
          <w:szCs w:val="26"/>
          <w:rtl/>
        </w:rPr>
        <w:t>,000 ש"ח.</w:t>
      </w:r>
    </w:p>
    <w:p w14:paraId="42077EBF" w14:textId="335CE08B" w:rsidR="00C83B79" w:rsidRPr="00B06CC5" w:rsidRDefault="00C83B79" w:rsidP="00B06CC5">
      <w:pPr>
        <w:numPr>
          <w:ilvl w:val="0"/>
          <w:numId w:val="1"/>
        </w:numPr>
        <w:tabs>
          <w:tab w:val="clear" w:pos="720"/>
        </w:tabs>
        <w:spacing w:beforeLines="120" w:before="288" w:afterLines="120" w:after="288" w:line="360" w:lineRule="auto"/>
        <w:ind w:left="84" w:hanging="567"/>
        <w:jc w:val="both"/>
        <w:rPr>
          <w:rFonts w:ascii="David" w:eastAsia="Times New Roman" w:hAnsi="David" w:cs="David"/>
          <w:sz w:val="26"/>
          <w:szCs w:val="26"/>
          <w:rtl/>
        </w:rPr>
      </w:pPr>
      <w:r w:rsidRPr="00B06CC5">
        <w:rPr>
          <w:rFonts w:ascii="David" w:eastAsia="Times New Roman" w:hAnsi="David" w:cs="David"/>
          <w:sz w:val="26"/>
          <w:szCs w:val="26"/>
          <w:rtl/>
        </w:rPr>
        <w:t>ככל שהעמדה שהציגה שמאית הוועדה בתגובתה המאוחרת אינה בגדר חיזוק העמדה שהוצגה בשומתה המקורית, אלא שינוי מהותי בשווי שבו נעשה שימוש בפועל - כפי שיפורט להלן - מתחדד הצורך בגילוי נאות ובהנמקה מפורשת של אותו שינוי, כך שתגובה מאוחרת לא תשמש הלכה למעשה כעילה חדשה שלא זכתה לבחינה ההולמת אותה.</w:t>
      </w:r>
    </w:p>
    <w:p w14:paraId="2838A31F" w14:textId="4ADDB5BA" w:rsidR="00C83B79" w:rsidRDefault="00C83B79" w:rsidP="00B06CC5">
      <w:pPr>
        <w:numPr>
          <w:ilvl w:val="0"/>
          <w:numId w:val="1"/>
        </w:numPr>
        <w:tabs>
          <w:tab w:val="clear" w:pos="720"/>
        </w:tabs>
        <w:spacing w:beforeLines="120" w:before="288" w:afterLines="120" w:after="288" w:line="360" w:lineRule="auto"/>
        <w:ind w:left="84" w:hanging="567"/>
        <w:jc w:val="both"/>
        <w:rPr>
          <w:rFonts w:ascii="David" w:eastAsia="Times New Roman" w:hAnsi="David" w:cs="David"/>
          <w:sz w:val="26"/>
          <w:szCs w:val="26"/>
        </w:rPr>
      </w:pPr>
      <w:r w:rsidRPr="00C83B79">
        <w:rPr>
          <w:rFonts w:ascii="David" w:eastAsia="Times New Roman" w:hAnsi="David" w:cs="David"/>
          <w:sz w:val="26"/>
          <w:szCs w:val="26"/>
          <w:rtl/>
        </w:rPr>
        <w:t>לצד הטעמים העצמאיים המפורטים להלן, נציין למעלה מן הצורך תופעה הבולטת בעיון בשומת הוועדה המקומית המקורית: בפועל, בניתוח עסקאות ההשוואה לשטחי המשרדים והמסחר שנערך באותה שומה, נטרלה שמאית הוועדה ממחירי העסקאות רכיב קבוע ועקבי של 130,000 ש"ח לכל מקום חניה - נתון המצוי בטווח קרוב מאוד לשווי שקבע השמאי המכריע (129,600 ש"ח), ורחוק במידה ניכרת מן השווי של כ-200,000 ש"ח שהוצג בתגובה המאוחרת. אין מדובר בממצא מכריע כשלעצמו, אלא בנתון התומך במסקנה שאליה מגיעים ממילא הטעמים העצמאיים המפורטים להלן.</w:t>
      </w:r>
    </w:p>
    <w:p w14:paraId="080624CE" w14:textId="54722180" w:rsidR="005F0C98" w:rsidRPr="005F0C98" w:rsidRDefault="005F0C98" w:rsidP="00680FE0">
      <w:pPr>
        <w:numPr>
          <w:ilvl w:val="0"/>
          <w:numId w:val="1"/>
        </w:numPr>
        <w:tabs>
          <w:tab w:val="clear" w:pos="720"/>
        </w:tabs>
        <w:spacing w:beforeLines="120" w:before="288" w:afterLines="120" w:after="288" w:line="360" w:lineRule="auto"/>
        <w:ind w:left="84" w:hanging="567"/>
        <w:jc w:val="both"/>
        <w:rPr>
          <w:rFonts w:ascii="David" w:eastAsia="Times New Roman" w:hAnsi="David" w:cs="David"/>
          <w:sz w:val="26"/>
          <w:szCs w:val="26"/>
        </w:rPr>
      </w:pPr>
      <w:r w:rsidRPr="005F0C98">
        <w:rPr>
          <w:rFonts w:ascii="David" w:eastAsia="Times New Roman" w:hAnsi="David" w:cs="David"/>
          <w:sz w:val="26"/>
          <w:szCs w:val="26"/>
          <w:rtl/>
        </w:rPr>
        <w:t xml:space="preserve">כך, בפרק 9.4 לשומת הוועדה המקומית, בעמוד 27 מתוך 37 לשומה </w:t>
      </w:r>
      <w:r w:rsidRPr="005F0C98">
        <w:rPr>
          <w:rFonts w:ascii="David" w:eastAsia="Times New Roman" w:hAnsi="David" w:cs="David" w:hint="cs"/>
          <w:sz w:val="26"/>
          <w:szCs w:val="26"/>
          <w:rtl/>
        </w:rPr>
        <w:t>-</w:t>
      </w:r>
      <w:r w:rsidRPr="005F0C98">
        <w:rPr>
          <w:rFonts w:ascii="David" w:eastAsia="Times New Roman" w:hAnsi="David" w:cs="David"/>
          <w:sz w:val="26"/>
          <w:szCs w:val="26"/>
          <w:rtl/>
        </w:rPr>
        <w:t xml:space="preserve"> עמוד 128 לנומרטור כתב הערר </w:t>
      </w:r>
      <w:r w:rsidRPr="005F0C98">
        <w:rPr>
          <w:rFonts w:ascii="David" w:eastAsia="Times New Roman" w:hAnsi="David" w:cs="David" w:hint="cs"/>
          <w:sz w:val="26"/>
          <w:szCs w:val="26"/>
          <w:rtl/>
        </w:rPr>
        <w:t>-</w:t>
      </w:r>
      <w:r w:rsidRPr="005F0C98">
        <w:rPr>
          <w:rFonts w:ascii="David" w:eastAsia="Times New Roman" w:hAnsi="David" w:cs="David"/>
          <w:sz w:val="26"/>
          <w:szCs w:val="26"/>
          <w:rtl/>
        </w:rPr>
        <w:t xml:space="preserve"> הוצגו שלוש עסקאות מכר של משרדים באזור. בכל אחת מן העסקאות הופחת ממחיר המכירה רכיב החניה, לצורך חישוב העמודה שכותרתה "שווי ללא חנייה".</w:t>
      </w:r>
      <w:r>
        <w:rPr>
          <w:rFonts w:ascii="David" w:eastAsia="Times New Roman" w:hAnsi="David" w:cs="David" w:hint="cs"/>
          <w:sz w:val="26"/>
          <w:szCs w:val="26"/>
          <w:rtl/>
        </w:rPr>
        <w:t xml:space="preserve"> </w:t>
      </w:r>
      <w:r w:rsidRPr="005F0C98">
        <w:rPr>
          <w:rFonts w:ascii="David" w:eastAsia="Times New Roman" w:hAnsi="David" w:cs="David"/>
          <w:sz w:val="26"/>
          <w:szCs w:val="26"/>
          <w:rtl/>
        </w:rPr>
        <w:t>כפי שניתן לראות משומת הוועדה המקומית כך:</w:t>
      </w:r>
    </w:p>
    <w:p w14:paraId="62363D0A" w14:textId="3E964266" w:rsidR="005F0C98" w:rsidRPr="005F0C98" w:rsidRDefault="00F54F21" w:rsidP="00F54F21">
      <w:pPr>
        <w:spacing w:beforeLines="120" w:before="288" w:afterLines="120" w:after="288" w:line="360" w:lineRule="auto"/>
        <w:ind w:left="360"/>
        <w:jc w:val="both"/>
        <w:rPr>
          <w:rFonts w:ascii="David" w:eastAsia="Times New Roman" w:hAnsi="David" w:cs="David"/>
          <w:sz w:val="26"/>
          <w:szCs w:val="26"/>
        </w:rPr>
      </w:pPr>
      <w:r w:rsidRPr="00F54F21">
        <w:rPr>
          <w:rFonts w:ascii="David" w:eastAsia="Times New Roman" w:hAnsi="David" w:cs="David"/>
          <w:noProof/>
          <w:sz w:val="26"/>
          <w:szCs w:val="26"/>
          <w:rtl/>
        </w:rPr>
        <w:drawing>
          <wp:inline distT="0" distB="0" distL="0" distR="0" wp14:anchorId="31A249A2" wp14:editId="08CDCEE0">
            <wp:extent cx="5274310" cy="3513455"/>
            <wp:effectExtent l="0" t="0" r="2540" b="0"/>
            <wp:docPr id="7" name="תמונה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274310" cy="3513455"/>
                    </a:xfrm>
                    <a:prstGeom prst="rect">
                      <a:avLst/>
                    </a:prstGeom>
                    <a:noFill/>
                    <a:ln>
                      <a:noFill/>
                    </a:ln>
                  </pic:spPr>
                </pic:pic>
              </a:graphicData>
            </a:graphic>
          </wp:inline>
        </w:drawing>
      </w:r>
    </w:p>
    <w:p w14:paraId="401AF4BA" w14:textId="5CBE5A53" w:rsidR="005F0C98" w:rsidRPr="005F0C98" w:rsidRDefault="005F0C98" w:rsidP="00680FE0">
      <w:pPr>
        <w:numPr>
          <w:ilvl w:val="0"/>
          <w:numId w:val="1"/>
        </w:numPr>
        <w:tabs>
          <w:tab w:val="clear" w:pos="720"/>
        </w:tabs>
        <w:spacing w:beforeLines="120" w:before="288" w:afterLines="120" w:after="288" w:line="360" w:lineRule="auto"/>
        <w:ind w:left="84" w:hanging="567"/>
        <w:jc w:val="both"/>
        <w:rPr>
          <w:rFonts w:ascii="David" w:eastAsia="Times New Roman" w:hAnsi="David" w:cs="David"/>
          <w:sz w:val="26"/>
          <w:szCs w:val="26"/>
        </w:rPr>
      </w:pPr>
      <w:r w:rsidRPr="005F0C98">
        <w:rPr>
          <w:rFonts w:ascii="David" w:eastAsia="Times New Roman" w:hAnsi="David" w:cs="David"/>
          <w:sz w:val="26"/>
          <w:szCs w:val="26"/>
          <w:rtl/>
        </w:rPr>
        <w:lastRenderedPageBreak/>
        <w:t xml:space="preserve">מן התחשיב </w:t>
      </w:r>
      <w:r w:rsidR="008822EE">
        <w:rPr>
          <w:rFonts w:ascii="David" w:eastAsia="Times New Roman" w:hAnsi="David" w:cs="David" w:hint="cs"/>
          <w:sz w:val="26"/>
          <w:szCs w:val="26"/>
          <w:rtl/>
        </w:rPr>
        <w:t xml:space="preserve">ביחס לעסקאות באזור </w:t>
      </w:r>
      <w:r w:rsidRPr="005F0C98">
        <w:rPr>
          <w:rFonts w:ascii="David" w:eastAsia="Times New Roman" w:hAnsi="David" w:cs="David"/>
          <w:sz w:val="26"/>
          <w:szCs w:val="26"/>
          <w:rtl/>
        </w:rPr>
        <w:t>עולה:</w:t>
      </w:r>
    </w:p>
    <w:p w14:paraId="5CBF6E7F" w14:textId="0E36EB78" w:rsidR="005F0C98" w:rsidRPr="005F0C98" w:rsidRDefault="005F0C98" w:rsidP="001519D1">
      <w:pPr>
        <w:spacing w:beforeLines="120" w:before="288" w:afterLines="120" w:after="288" w:line="360" w:lineRule="auto"/>
        <w:ind w:left="720"/>
        <w:jc w:val="both"/>
        <w:rPr>
          <w:rFonts w:ascii="David" w:eastAsia="Times New Roman" w:hAnsi="David" w:cs="David"/>
          <w:sz w:val="26"/>
          <w:szCs w:val="26"/>
        </w:rPr>
      </w:pPr>
      <w:r w:rsidRPr="005F0C98">
        <w:rPr>
          <w:rFonts w:ascii="David" w:eastAsia="Times New Roman" w:hAnsi="David" w:cs="David"/>
          <w:sz w:val="26"/>
          <w:szCs w:val="26"/>
          <w:rtl/>
        </w:rPr>
        <w:t>א. בעסקה בסך של 1,550,000 ש"ח, שכללה שני מקומות חניה, נקבע "שווי ללא חנייה" בסך של 1,290,000 ש"ח. ההפרש הוא 260,000 ש"ח, דהיינו 130,000 ש"ח לכל מקום חניה;</w:t>
      </w:r>
      <w:r w:rsidR="00995BD9">
        <w:rPr>
          <w:rFonts w:ascii="David" w:eastAsia="Times New Roman" w:hAnsi="David" w:cs="David" w:hint="cs"/>
          <w:sz w:val="26"/>
          <w:szCs w:val="26"/>
          <w:rtl/>
        </w:rPr>
        <w:t xml:space="preserve"> </w:t>
      </w:r>
      <w:r w:rsidRPr="005F0C98">
        <w:rPr>
          <w:rFonts w:ascii="David" w:eastAsia="Times New Roman" w:hAnsi="David" w:cs="David"/>
          <w:sz w:val="26"/>
          <w:szCs w:val="26"/>
          <w:rtl/>
        </w:rPr>
        <w:t>ב. בעסקה בסך של 1,480,000 ש"ח, שכללה שלושה מקומות חניה, נקבע "שווי ללא חנייה" בסך של 1,090,000 ש"ח. ההפרש הוא 390,000 ש"ח, דהיינו 130,000 ש"ח לכל מקום חניה;</w:t>
      </w:r>
      <w:r w:rsidR="007E0700">
        <w:rPr>
          <w:rFonts w:ascii="David" w:eastAsia="Times New Roman" w:hAnsi="David" w:cs="David" w:hint="cs"/>
          <w:sz w:val="26"/>
          <w:szCs w:val="26"/>
          <w:rtl/>
        </w:rPr>
        <w:t xml:space="preserve"> </w:t>
      </w:r>
      <w:r w:rsidRPr="005F0C98">
        <w:rPr>
          <w:rFonts w:ascii="David" w:eastAsia="Times New Roman" w:hAnsi="David" w:cs="David"/>
          <w:sz w:val="26"/>
          <w:szCs w:val="26"/>
          <w:rtl/>
        </w:rPr>
        <w:t>ג. בעסקה בסך של 1,670,500 ש"ח, שכללה שני מקומות חניה, נקבע "שווי ללא חנייה" בסך של 1,410,500 ש"ח. ההפרש הוא 260,000 ש"ח, ושוב 130,000 ש"ח לכל מקום חניה.</w:t>
      </w:r>
    </w:p>
    <w:p w14:paraId="36FEE191" w14:textId="7541A6C3" w:rsidR="005F0C98" w:rsidRPr="005F0C98" w:rsidRDefault="00F54F21" w:rsidP="00680FE0">
      <w:pPr>
        <w:numPr>
          <w:ilvl w:val="0"/>
          <w:numId w:val="1"/>
        </w:numPr>
        <w:tabs>
          <w:tab w:val="clear" w:pos="720"/>
        </w:tabs>
        <w:spacing w:beforeLines="120" w:before="288" w:afterLines="120" w:after="288" w:line="360" w:lineRule="auto"/>
        <w:ind w:left="84" w:hanging="567"/>
        <w:jc w:val="both"/>
        <w:rPr>
          <w:rFonts w:ascii="David" w:eastAsia="Times New Roman" w:hAnsi="David" w:cs="David"/>
          <w:sz w:val="26"/>
          <w:szCs w:val="26"/>
        </w:rPr>
      </w:pPr>
      <w:r>
        <w:rPr>
          <w:rFonts w:ascii="David" w:eastAsia="Times New Roman" w:hAnsi="David" w:cs="David" w:hint="cs"/>
          <w:sz w:val="26"/>
          <w:szCs w:val="26"/>
          <w:rtl/>
        </w:rPr>
        <w:t>כך עולה גם מחישוב שווי המכירה ללא חניה בטבלה השנייה, הכוללת שש עסקאות משרדים בחולון. גם בכל אחת מעסקאות אלה נוטרל שווי של 130,000 ש"ח למקום חניה.</w:t>
      </w:r>
    </w:p>
    <w:p w14:paraId="6B2052F0" w14:textId="4C1E9622" w:rsidR="005F0C98" w:rsidRPr="005F0C98" w:rsidRDefault="005F0C98" w:rsidP="00680FE0">
      <w:pPr>
        <w:numPr>
          <w:ilvl w:val="0"/>
          <w:numId w:val="1"/>
        </w:numPr>
        <w:tabs>
          <w:tab w:val="clear" w:pos="720"/>
        </w:tabs>
        <w:spacing w:beforeLines="120" w:before="288" w:afterLines="120" w:after="288" w:line="360" w:lineRule="auto"/>
        <w:ind w:left="84" w:hanging="567"/>
        <w:jc w:val="both"/>
        <w:rPr>
          <w:rFonts w:ascii="David" w:eastAsia="Times New Roman" w:hAnsi="David" w:cs="David"/>
          <w:sz w:val="26"/>
          <w:szCs w:val="26"/>
        </w:rPr>
      </w:pPr>
      <w:r>
        <w:rPr>
          <w:rFonts w:ascii="David" w:eastAsia="Times New Roman" w:hAnsi="David" w:cs="David"/>
          <w:sz w:val="26"/>
          <w:szCs w:val="26"/>
          <w:rtl/>
        </w:rPr>
        <w:t>אין מדובר אפוא בתוצאה אקראית הנלמדת מעסקה בודדת. בפרק 9.4 נוטרל שווי של 130,000 ש"ח למקום חניה בכל תשע עסקאות המשרדים שנבחנו – שלוש באזור ושש בחולון – ובהן 22 מקומות חניה בסך הכול. זהו שווי קבוע שבו עשתה שמאית הוועדה שימוש שיטתי ועקבי לצורך חילוץ רכיב המשרדים מעסקאות המכר שעליהן התבססה בשומתה.</w:t>
      </w:r>
    </w:p>
    <w:p w14:paraId="6318DD83" w14:textId="1E89D823" w:rsidR="005F0C98" w:rsidRPr="005F0C98" w:rsidRDefault="005F0C98" w:rsidP="00680FE0">
      <w:pPr>
        <w:numPr>
          <w:ilvl w:val="0"/>
          <w:numId w:val="1"/>
        </w:numPr>
        <w:tabs>
          <w:tab w:val="clear" w:pos="720"/>
        </w:tabs>
        <w:spacing w:beforeLines="120" w:before="288" w:afterLines="120" w:after="288" w:line="360" w:lineRule="auto"/>
        <w:ind w:left="84" w:hanging="567"/>
        <w:jc w:val="both"/>
        <w:rPr>
          <w:rFonts w:ascii="David" w:eastAsia="Times New Roman" w:hAnsi="David" w:cs="David"/>
          <w:sz w:val="26"/>
          <w:szCs w:val="26"/>
        </w:rPr>
      </w:pPr>
      <w:r w:rsidRPr="005F0C98">
        <w:rPr>
          <w:rFonts w:ascii="David" w:eastAsia="Times New Roman" w:hAnsi="David" w:cs="David"/>
          <w:sz w:val="26"/>
          <w:szCs w:val="26"/>
          <w:rtl/>
        </w:rPr>
        <w:t>אותו דפוס חוזר גם בטבלת עסקאות נוספת בפרק 9.5 לשומה</w:t>
      </w:r>
      <w:r w:rsidR="001F4B1C">
        <w:rPr>
          <w:rFonts w:ascii="David" w:eastAsia="Times New Roman" w:hAnsi="David" w:cs="David" w:hint="cs"/>
          <w:sz w:val="26"/>
          <w:szCs w:val="26"/>
          <w:rtl/>
        </w:rPr>
        <w:t xml:space="preserve"> שעניינ</w:t>
      </w:r>
      <w:r w:rsidR="00713824">
        <w:rPr>
          <w:rFonts w:ascii="David" w:eastAsia="Times New Roman" w:hAnsi="David" w:cs="David" w:hint="cs"/>
          <w:sz w:val="26"/>
          <w:szCs w:val="26"/>
          <w:rtl/>
        </w:rPr>
        <w:t>ה</w:t>
      </w:r>
      <w:r w:rsidR="001F4B1C">
        <w:rPr>
          <w:rFonts w:ascii="David" w:eastAsia="Times New Roman" w:hAnsi="David" w:cs="David" w:hint="cs"/>
          <w:sz w:val="26"/>
          <w:szCs w:val="26"/>
          <w:rtl/>
        </w:rPr>
        <w:t xml:space="preserve"> שטחי מסחר</w:t>
      </w:r>
      <w:r w:rsidRPr="005F0C98">
        <w:rPr>
          <w:rFonts w:ascii="David" w:eastAsia="Times New Roman" w:hAnsi="David" w:cs="David"/>
          <w:sz w:val="26"/>
          <w:szCs w:val="26"/>
          <w:rtl/>
        </w:rPr>
        <w:t>, המופיעה בעמוד 131 לנומרטור כתב הערר.</w:t>
      </w:r>
    </w:p>
    <w:p w14:paraId="55395D5D" w14:textId="77777777" w:rsidR="005F0C98" w:rsidRPr="005F0C98" w:rsidRDefault="005F0C98" w:rsidP="00680FE0">
      <w:pPr>
        <w:numPr>
          <w:ilvl w:val="0"/>
          <w:numId w:val="1"/>
        </w:numPr>
        <w:tabs>
          <w:tab w:val="clear" w:pos="720"/>
        </w:tabs>
        <w:spacing w:beforeLines="120" w:before="288" w:afterLines="120" w:after="288" w:line="360" w:lineRule="auto"/>
        <w:ind w:left="84" w:hanging="567"/>
        <w:jc w:val="both"/>
        <w:rPr>
          <w:rFonts w:ascii="David" w:eastAsia="Times New Roman" w:hAnsi="David" w:cs="David"/>
          <w:sz w:val="26"/>
          <w:szCs w:val="26"/>
        </w:rPr>
      </w:pPr>
      <w:r w:rsidRPr="005F0C98">
        <w:rPr>
          <w:rFonts w:ascii="David" w:eastAsia="Times New Roman" w:hAnsi="David" w:cs="David"/>
          <w:sz w:val="26"/>
          <w:szCs w:val="26"/>
          <w:rtl/>
        </w:rPr>
        <w:t>כפי שניתן לראות משומת הוועדה המקומית כך:</w:t>
      </w:r>
    </w:p>
    <w:p w14:paraId="5D4EB1AE" w14:textId="490CEF4B" w:rsidR="005F0C98" w:rsidRPr="005F0C98" w:rsidRDefault="003353C9" w:rsidP="003353C9">
      <w:pPr>
        <w:spacing w:beforeLines="120" w:before="288" w:afterLines="120" w:after="288" w:line="360" w:lineRule="auto"/>
        <w:ind w:left="720"/>
        <w:jc w:val="both"/>
        <w:rPr>
          <w:rFonts w:ascii="David" w:eastAsia="Times New Roman" w:hAnsi="David" w:cs="David"/>
          <w:sz w:val="26"/>
          <w:szCs w:val="26"/>
        </w:rPr>
      </w:pPr>
      <w:r w:rsidRPr="003353C9">
        <w:rPr>
          <w:rFonts w:ascii="David" w:eastAsia="Times New Roman" w:hAnsi="David" w:cs="David"/>
          <w:noProof/>
          <w:sz w:val="26"/>
          <w:szCs w:val="26"/>
          <w:rtl/>
        </w:rPr>
        <w:drawing>
          <wp:inline distT="0" distB="0" distL="0" distR="0" wp14:anchorId="46A6AC7B" wp14:editId="736E161E">
            <wp:extent cx="5274310" cy="1999615"/>
            <wp:effectExtent l="0" t="0" r="2540" b="635"/>
            <wp:docPr id="8" name="תמונה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274310" cy="1999615"/>
                    </a:xfrm>
                    <a:prstGeom prst="rect">
                      <a:avLst/>
                    </a:prstGeom>
                    <a:noFill/>
                    <a:ln>
                      <a:noFill/>
                    </a:ln>
                  </pic:spPr>
                </pic:pic>
              </a:graphicData>
            </a:graphic>
          </wp:inline>
        </w:drawing>
      </w:r>
    </w:p>
    <w:p w14:paraId="3DD186E4" w14:textId="61537455" w:rsidR="005F0C98" w:rsidRPr="005F0C98" w:rsidRDefault="005F0C98" w:rsidP="00680FE0">
      <w:pPr>
        <w:numPr>
          <w:ilvl w:val="0"/>
          <w:numId w:val="1"/>
        </w:numPr>
        <w:tabs>
          <w:tab w:val="clear" w:pos="720"/>
        </w:tabs>
        <w:spacing w:beforeLines="120" w:before="288" w:afterLines="120" w:after="288" w:line="360" w:lineRule="auto"/>
        <w:ind w:left="84" w:hanging="567"/>
        <w:jc w:val="both"/>
        <w:rPr>
          <w:rFonts w:ascii="David" w:eastAsia="Times New Roman" w:hAnsi="David" w:cs="David"/>
          <w:sz w:val="26"/>
          <w:szCs w:val="26"/>
        </w:rPr>
      </w:pPr>
      <w:r w:rsidRPr="005F0C98">
        <w:rPr>
          <w:rFonts w:ascii="David" w:eastAsia="Times New Roman" w:hAnsi="David" w:cs="David"/>
          <w:sz w:val="26"/>
          <w:szCs w:val="26"/>
          <w:rtl/>
        </w:rPr>
        <w:t>אף בטבלה זו נוטרל רכיב של 130,000 ש"ח לכל מקום חניה:</w:t>
      </w:r>
    </w:p>
    <w:p w14:paraId="2334874E" w14:textId="4A5BF60A" w:rsidR="005F0C98" w:rsidRPr="005F0C98" w:rsidRDefault="005F0C98" w:rsidP="00AE2E76">
      <w:pPr>
        <w:spacing w:beforeLines="120" w:before="288" w:afterLines="120" w:after="288" w:line="360" w:lineRule="auto"/>
        <w:ind w:left="720"/>
        <w:jc w:val="both"/>
        <w:rPr>
          <w:rFonts w:ascii="David" w:eastAsia="Times New Roman" w:hAnsi="David" w:cs="David"/>
          <w:sz w:val="26"/>
          <w:szCs w:val="26"/>
        </w:rPr>
      </w:pPr>
      <w:r w:rsidRPr="005F0C98">
        <w:rPr>
          <w:rFonts w:ascii="David" w:eastAsia="Times New Roman" w:hAnsi="David" w:cs="David"/>
          <w:sz w:val="26"/>
          <w:szCs w:val="26"/>
          <w:rtl/>
        </w:rPr>
        <w:t>א. מעסקה בסך של 3,617,200 ש"ח, הכוללת מקום חניה אחד, הופחת סך של 130,000 ש"ח, ונקבע שווי ללא חניה בסך של 3,487,200 ש"ח;</w:t>
      </w:r>
      <w:r w:rsidR="007E0700">
        <w:rPr>
          <w:rFonts w:ascii="David" w:eastAsia="Times New Roman" w:hAnsi="David" w:cs="David" w:hint="cs"/>
          <w:sz w:val="26"/>
          <w:szCs w:val="26"/>
          <w:rtl/>
        </w:rPr>
        <w:t xml:space="preserve"> </w:t>
      </w:r>
      <w:r w:rsidRPr="005F0C98">
        <w:rPr>
          <w:rFonts w:ascii="David" w:eastAsia="Times New Roman" w:hAnsi="David" w:cs="David"/>
          <w:sz w:val="26"/>
          <w:szCs w:val="26"/>
          <w:rtl/>
        </w:rPr>
        <w:t xml:space="preserve">ב. מעסקה בסך של 5,711,000 ש"ח, הכוללת שני מקומות חניה, הופחת סך של 260,000 ש"ח, ונקבע </w:t>
      </w:r>
      <w:r w:rsidRPr="005F0C98">
        <w:rPr>
          <w:rFonts w:ascii="David" w:eastAsia="Times New Roman" w:hAnsi="David" w:cs="David"/>
          <w:sz w:val="26"/>
          <w:szCs w:val="26"/>
          <w:rtl/>
        </w:rPr>
        <w:lastRenderedPageBreak/>
        <w:t>שווי ללא חניה בסך של 5,451,000 ש"ח;</w:t>
      </w:r>
      <w:r w:rsidR="007E0700">
        <w:rPr>
          <w:rFonts w:ascii="David" w:eastAsia="Times New Roman" w:hAnsi="David" w:cs="David" w:hint="cs"/>
          <w:sz w:val="26"/>
          <w:szCs w:val="26"/>
          <w:rtl/>
        </w:rPr>
        <w:t xml:space="preserve"> </w:t>
      </w:r>
      <w:r w:rsidRPr="005F0C98">
        <w:rPr>
          <w:rFonts w:ascii="David" w:eastAsia="Times New Roman" w:hAnsi="David" w:cs="David"/>
          <w:sz w:val="26"/>
          <w:szCs w:val="26"/>
          <w:rtl/>
        </w:rPr>
        <w:t>ג. בעסקה שבה לא נכללו מקומות חניה לא בוצעה הפחתה;</w:t>
      </w:r>
      <w:r w:rsidR="00237227">
        <w:rPr>
          <w:rFonts w:ascii="David" w:eastAsia="Times New Roman" w:hAnsi="David" w:cs="David" w:hint="cs"/>
          <w:sz w:val="26"/>
          <w:szCs w:val="26"/>
          <w:rtl/>
        </w:rPr>
        <w:t xml:space="preserve"> </w:t>
      </w:r>
      <w:r w:rsidRPr="005F0C98">
        <w:rPr>
          <w:rFonts w:ascii="David" w:eastAsia="Times New Roman" w:hAnsi="David" w:cs="David"/>
          <w:sz w:val="26"/>
          <w:szCs w:val="26"/>
          <w:rtl/>
        </w:rPr>
        <w:t>ד. מעסקה בסך של 1,621,620 ש"ח, הכוללת מקום חניה אחד, הופחת סך של 130,000 ש"ח;</w:t>
      </w:r>
      <w:r w:rsidR="00283809">
        <w:rPr>
          <w:rFonts w:ascii="David" w:eastAsia="Times New Roman" w:hAnsi="David" w:cs="David" w:hint="cs"/>
          <w:sz w:val="26"/>
          <w:szCs w:val="26"/>
          <w:rtl/>
        </w:rPr>
        <w:t xml:space="preserve"> </w:t>
      </w:r>
      <w:r w:rsidRPr="005F0C98">
        <w:rPr>
          <w:rFonts w:ascii="David" w:eastAsia="Times New Roman" w:hAnsi="David" w:cs="David"/>
          <w:sz w:val="26"/>
          <w:szCs w:val="26"/>
          <w:rtl/>
        </w:rPr>
        <w:t xml:space="preserve">ה. </w:t>
      </w:r>
      <w:r w:rsidRPr="005F0C98">
        <w:rPr>
          <w:rFonts w:ascii="David" w:eastAsia="Times New Roman" w:hAnsi="David" w:cs="David" w:hint="cs"/>
          <w:sz w:val="26"/>
          <w:szCs w:val="26"/>
          <w:rtl/>
        </w:rPr>
        <w:t>מעסקה בסך של 5,130,450 ש"ח, הכוללת שני מקומות חניה, הופחת סך של 260,000 ש"ח.</w:t>
      </w:r>
    </w:p>
    <w:p w14:paraId="24C913EA" w14:textId="2A1492A0" w:rsidR="005F0C98" w:rsidRPr="005F0C98" w:rsidRDefault="005F0C98" w:rsidP="00680FE0">
      <w:pPr>
        <w:numPr>
          <w:ilvl w:val="0"/>
          <w:numId w:val="1"/>
        </w:numPr>
        <w:tabs>
          <w:tab w:val="clear" w:pos="720"/>
        </w:tabs>
        <w:spacing w:beforeLines="120" w:before="288" w:afterLines="120" w:after="288" w:line="360" w:lineRule="auto"/>
        <w:ind w:left="84" w:hanging="567"/>
        <w:jc w:val="both"/>
        <w:rPr>
          <w:rFonts w:ascii="David" w:eastAsia="Times New Roman" w:hAnsi="David" w:cs="David"/>
          <w:sz w:val="26"/>
          <w:szCs w:val="26"/>
        </w:rPr>
      </w:pPr>
      <w:r>
        <w:rPr>
          <w:rFonts w:ascii="David" w:eastAsia="Times New Roman" w:hAnsi="David" w:cs="David"/>
          <w:sz w:val="26"/>
          <w:szCs w:val="26"/>
          <w:rtl/>
        </w:rPr>
        <w:t>מכאן, שבשומתה המקורית עשתה הוועדה שימוש משתמע, שיטתי ועקבי בשווי של 130,000 ש"ח למקום חניה, הן בניתוח עסקאות המשרדים והן בניתוח עסקאות המסחר.</w:t>
      </w:r>
    </w:p>
    <w:p w14:paraId="171087D9" w14:textId="4C810DB3" w:rsidR="005F0C98" w:rsidRPr="005F0C98" w:rsidRDefault="005F0C98" w:rsidP="00680FE0">
      <w:pPr>
        <w:numPr>
          <w:ilvl w:val="0"/>
          <w:numId w:val="1"/>
        </w:numPr>
        <w:tabs>
          <w:tab w:val="clear" w:pos="720"/>
        </w:tabs>
        <w:spacing w:beforeLines="120" w:before="288" w:afterLines="120" w:after="288" w:line="360" w:lineRule="auto"/>
        <w:ind w:left="84" w:hanging="567"/>
        <w:jc w:val="both"/>
        <w:rPr>
          <w:rFonts w:ascii="David" w:eastAsia="Times New Roman" w:hAnsi="David" w:cs="David"/>
          <w:sz w:val="26"/>
          <w:szCs w:val="26"/>
        </w:rPr>
      </w:pPr>
      <w:r>
        <w:rPr>
          <w:rFonts w:ascii="David" w:eastAsia="Times New Roman" w:hAnsi="David" w:cs="David"/>
          <w:sz w:val="26"/>
          <w:szCs w:val="26"/>
          <w:rtl/>
        </w:rPr>
        <w:t xml:space="preserve">לעומת זאת, </w:t>
      </w:r>
      <w:r w:rsidRPr="00E575E3">
        <w:rPr>
          <w:rFonts w:ascii="David" w:eastAsia="Times New Roman" w:hAnsi="David" w:cs="David"/>
          <w:b/>
          <w:bCs/>
          <w:sz w:val="26"/>
          <w:szCs w:val="26"/>
          <w:rtl/>
        </w:rPr>
        <w:t xml:space="preserve">בתגובתה המאוחרת לשומה </w:t>
      </w:r>
      <w:r w:rsidR="00961D62">
        <w:rPr>
          <w:rFonts w:ascii="David" w:eastAsia="Times New Roman" w:hAnsi="David" w:cs="David" w:hint="cs"/>
          <w:b/>
          <w:bCs/>
          <w:sz w:val="26"/>
          <w:szCs w:val="26"/>
          <w:rtl/>
        </w:rPr>
        <w:t>הנגדית</w:t>
      </w:r>
      <w:r>
        <w:rPr>
          <w:rFonts w:ascii="David" w:eastAsia="Times New Roman" w:hAnsi="David" w:cs="David"/>
          <w:sz w:val="26"/>
          <w:szCs w:val="26"/>
          <w:rtl/>
        </w:rPr>
        <w:t xml:space="preserve"> טענה הוועדה המקומית כי "שווי מקום חניה לתעסוקה הינו בגבולות 200,000 ₪." בהמשך הפנתה לעסקאות ההשוואה והציגה זאת כך:</w:t>
      </w:r>
    </w:p>
    <w:p w14:paraId="703849F9" w14:textId="6E3EA3A0" w:rsidR="005F0C98" w:rsidRPr="005F0C98" w:rsidRDefault="001C6510" w:rsidP="001C6510">
      <w:pPr>
        <w:spacing w:beforeLines="120" w:before="288" w:afterLines="120" w:after="288" w:line="360" w:lineRule="auto"/>
        <w:ind w:left="720"/>
        <w:jc w:val="both"/>
        <w:rPr>
          <w:rFonts w:ascii="David" w:eastAsia="Times New Roman" w:hAnsi="David" w:cs="David"/>
          <w:sz w:val="26"/>
          <w:szCs w:val="26"/>
        </w:rPr>
      </w:pPr>
      <w:r w:rsidRPr="006B5EF4">
        <w:rPr>
          <w:rFonts w:ascii="David" w:eastAsia="Times New Roman" w:hAnsi="David" w:cs="David"/>
          <w:noProof/>
          <w:sz w:val="26"/>
          <w:szCs w:val="26"/>
          <w:rtl/>
        </w:rPr>
        <w:drawing>
          <wp:inline distT="0" distB="0" distL="0" distR="0" wp14:anchorId="74182064" wp14:editId="7001F8F9">
            <wp:extent cx="5274310" cy="4291965"/>
            <wp:effectExtent l="0" t="0" r="2540" b="0"/>
            <wp:docPr id="6" name="תמונה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274310" cy="4291965"/>
                    </a:xfrm>
                    <a:prstGeom prst="rect">
                      <a:avLst/>
                    </a:prstGeom>
                  </pic:spPr>
                </pic:pic>
              </a:graphicData>
            </a:graphic>
          </wp:inline>
        </w:drawing>
      </w:r>
    </w:p>
    <w:p w14:paraId="4F84060F" w14:textId="60386319" w:rsidR="005F0C98" w:rsidRPr="001C6510" w:rsidRDefault="005F0C98" w:rsidP="00680FE0">
      <w:pPr>
        <w:numPr>
          <w:ilvl w:val="0"/>
          <w:numId w:val="1"/>
        </w:numPr>
        <w:tabs>
          <w:tab w:val="clear" w:pos="720"/>
        </w:tabs>
        <w:spacing w:beforeLines="120" w:before="288" w:afterLines="120" w:after="288" w:line="360" w:lineRule="auto"/>
        <w:ind w:left="84" w:hanging="567"/>
        <w:jc w:val="both"/>
        <w:rPr>
          <w:rFonts w:ascii="David" w:eastAsia="Times New Roman" w:hAnsi="David" w:cs="David"/>
          <w:sz w:val="26"/>
          <w:szCs w:val="26"/>
        </w:rPr>
      </w:pPr>
      <w:r w:rsidRPr="001C6510">
        <w:rPr>
          <w:rFonts w:ascii="David" w:eastAsia="Times New Roman" w:hAnsi="David" w:cs="David"/>
          <w:sz w:val="26"/>
          <w:szCs w:val="26"/>
          <w:rtl/>
        </w:rPr>
        <w:t xml:space="preserve">עוד טענה כי אין כלל עלות עודפת להקמת החניות, וכי תרומת החניות אף עולה על עלות הקמתן. </w:t>
      </w:r>
    </w:p>
    <w:p w14:paraId="106BDC05" w14:textId="38F001DD" w:rsidR="005F0C98" w:rsidRDefault="005F0C98" w:rsidP="00680FE0">
      <w:pPr>
        <w:numPr>
          <w:ilvl w:val="0"/>
          <w:numId w:val="1"/>
        </w:numPr>
        <w:tabs>
          <w:tab w:val="clear" w:pos="720"/>
        </w:tabs>
        <w:spacing w:beforeLines="120" w:before="288" w:afterLines="120" w:after="288" w:line="360" w:lineRule="auto"/>
        <w:ind w:left="84" w:hanging="567"/>
        <w:jc w:val="both"/>
        <w:rPr>
          <w:rFonts w:ascii="David" w:eastAsia="Times New Roman" w:hAnsi="David" w:cs="David"/>
          <w:sz w:val="26"/>
          <w:szCs w:val="26"/>
        </w:rPr>
      </w:pPr>
      <w:r>
        <w:rPr>
          <w:rFonts w:ascii="David" w:eastAsia="Times New Roman" w:hAnsi="David" w:cs="David"/>
          <w:sz w:val="26"/>
          <w:szCs w:val="26"/>
          <w:rtl/>
        </w:rPr>
        <w:t xml:space="preserve">קיים אפוא פער מהותי בין השווי שבו נעשה שימוש בפועל בשומה המקורית </w:t>
      </w:r>
      <w:r w:rsidR="001C6510">
        <w:rPr>
          <w:rFonts w:ascii="David" w:eastAsia="Times New Roman" w:hAnsi="David" w:cs="David" w:hint="cs"/>
          <w:sz w:val="26"/>
          <w:szCs w:val="26"/>
          <w:rtl/>
        </w:rPr>
        <w:t>-</w:t>
      </w:r>
      <w:r>
        <w:rPr>
          <w:rFonts w:ascii="David" w:eastAsia="Times New Roman" w:hAnsi="David" w:cs="David"/>
          <w:sz w:val="26"/>
          <w:szCs w:val="26"/>
          <w:rtl/>
        </w:rPr>
        <w:t xml:space="preserve"> 130,000 ש"ח </w:t>
      </w:r>
      <w:r w:rsidR="001C6510">
        <w:rPr>
          <w:rFonts w:ascii="David" w:eastAsia="Times New Roman" w:hAnsi="David" w:cs="David" w:hint="cs"/>
          <w:sz w:val="26"/>
          <w:szCs w:val="26"/>
          <w:rtl/>
        </w:rPr>
        <w:t>-</w:t>
      </w:r>
      <w:r>
        <w:rPr>
          <w:rFonts w:ascii="David" w:eastAsia="Times New Roman" w:hAnsi="David" w:cs="David"/>
          <w:sz w:val="26"/>
          <w:szCs w:val="26"/>
          <w:rtl/>
        </w:rPr>
        <w:t xml:space="preserve"> לבין השווי של כ</w:t>
      </w:r>
      <w:r w:rsidR="00C020F6">
        <w:rPr>
          <w:rFonts w:ascii="David" w:eastAsia="Times New Roman" w:hAnsi="David" w:cs="David" w:hint="cs"/>
          <w:sz w:val="26"/>
          <w:szCs w:val="26"/>
          <w:rtl/>
        </w:rPr>
        <w:t xml:space="preserve"> - </w:t>
      </w:r>
      <w:r>
        <w:rPr>
          <w:rFonts w:ascii="David" w:eastAsia="Times New Roman" w:hAnsi="David" w:cs="David"/>
          <w:sz w:val="26"/>
          <w:szCs w:val="26"/>
          <w:rtl/>
        </w:rPr>
        <w:t xml:space="preserve">200,000 ש"ח שהוצג בתגובה המאוחרת. מדובר בפער של </w:t>
      </w:r>
      <w:r w:rsidRPr="005F0C98">
        <w:rPr>
          <w:rFonts w:ascii="David" w:eastAsia="Times New Roman" w:hAnsi="David" w:cs="David"/>
          <w:sz w:val="26"/>
          <w:szCs w:val="26"/>
          <w:rtl/>
        </w:rPr>
        <w:t>כ</w:t>
      </w:r>
      <w:r w:rsidR="00715E0D">
        <w:rPr>
          <w:rFonts w:ascii="David" w:eastAsia="Times New Roman" w:hAnsi="David" w:cs="David" w:hint="cs"/>
          <w:sz w:val="26"/>
          <w:szCs w:val="26"/>
          <w:rtl/>
        </w:rPr>
        <w:t xml:space="preserve"> -</w:t>
      </w:r>
      <w:r w:rsidR="00C020F6">
        <w:rPr>
          <w:rFonts w:ascii="David" w:eastAsia="Times New Roman" w:hAnsi="David" w:cs="David" w:hint="cs"/>
          <w:sz w:val="26"/>
          <w:szCs w:val="26"/>
          <w:rtl/>
        </w:rPr>
        <w:t xml:space="preserve"> </w:t>
      </w:r>
      <w:r w:rsidRPr="005F0C98">
        <w:rPr>
          <w:rFonts w:ascii="David" w:eastAsia="Times New Roman" w:hAnsi="David" w:cs="David"/>
          <w:sz w:val="26"/>
          <w:szCs w:val="26"/>
          <w:rtl/>
        </w:rPr>
        <w:t>70</w:t>
      </w:r>
      <w:r>
        <w:rPr>
          <w:rFonts w:ascii="David" w:eastAsia="Times New Roman" w:hAnsi="David" w:cs="David"/>
          <w:sz w:val="26"/>
          <w:szCs w:val="26"/>
          <w:rtl/>
        </w:rPr>
        <w:t>,000 ש"ח למקום חניה, המהווה עלייה של למעלה מ</w:t>
      </w:r>
      <w:r w:rsidR="001541F3">
        <w:rPr>
          <w:rFonts w:ascii="David" w:eastAsia="Times New Roman" w:hAnsi="David" w:cs="David"/>
          <w:sz w:val="26"/>
          <w:szCs w:val="26"/>
          <w:rtl/>
        </w:rPr>
        <w:t>-</w:t>
      </w:r>
      <w:r>
        <w:rPr>
          <w:rFonts w:ascii="David" w:eastAsia="Times New Roman" w:hAnsi="David" w:cs="David"/>
          <w:sz w:val="26"/>
          <w:szCs w:val="26"/>
          <w:rtl/>
        </w:rPr>
        <w:t>50% לעומת השווי שבו עשתה שמאית הוועדה שימוש בתחשיביה המקוריים.</w:t>
      </w:r>
    </w:p>
    <w:p w14:paraId="1329509D" w14:textId="6A844C5B" w:rsidR="006B1213" w:rsidRPr="00AE2E76" w:rsidRDefault="006B1213" w:rsidP="00680FE0">
      <w:pPr>
        <w:numPr>
          <w:ilvl w:val="0"/>
          <w:numId w:val="1"/>
        </w:numPr>
        <w:tabs>
          <w:tab w:val="clear" w:pos="720"/>
        </w:tabs>
        <w:spacing w:beforeLines="120" w:before="288" w:afterLines="120" w:after="288" w:line="360" w:lineRule="auto"/>
        <w:ind w:left="84" w:hanging="567"/>
        <w:jc w:val="both"/>
        <w:rPr>
          <w:rFonts w:ascii="David" w:eastAsia="Times New Roman" w:hAnsi="David" w:cs="David"/>
          <w:sz w:val="26"/>
          <w:szCs w:val="26"/>
        </w:rPr>
      </w:pPr>
      <w:r w:rsidRPr="00AE2E76">
        <w:rPr>
          <w:rFonts w:ascii="David" w:eastAsia="Times New Roman" w:hAnsi="David" w:cs="David"/>
          <w:sz w:val="26"/>
          <w:szCs w:val="26"/>
          <w:rtl/>
        </w:rPr>
        <w:lastRenderedPageBreak/>
        <w:t>הקושי מתחדד נוכח הזיקה בין חלק מנתוני ההשוואה המאוחרים לבין המקרקעין שנבחנו בשומת הוועדה המקורית. כך, בשומה המקורית נותחה עסקת משרד משנת 2022 בגוש 6010 חלקה 210, תוך ניכוי של 130,000 ש"ח לכל מקום חניה; ואילו בתגובה המאוחרת הוצגה עסקת מכר של מקום חניה באותה חלקה מיום 8.11.2022, בסך 95,000 ש"ח. בדומה, בשומה המקורית נותחו עסקאות מסחר בגוש 6026 חלקה 164 תוך ניכוי של 130,000 ש"ח למקום חניה, ואילו בתגובה המאוחרת הוצגה עסקת חניה באותה חלקה מיום 17.7.2022, בסך 210,600 ש"ח. נתונים אלה אינם בהכרח סותרים, אך הפערים ביניהם חייבו התייחסות והסבר</w:t>
      </w:r>
      <w:r w:rsidR="00A711E0" w:rsidRPr="00AE2E76">
        <w:rPr>
          <w:rFonts w:ascii="David" w:eastAsia="Times New Roman" w:hAnsi="David" w:cs="David" w:hint="cs"/>
          <w:sz w:val="26"/>
          <w:szCs w:val="26"/>
          <w:rtl/>
        </w:rPr>
        <w:t xml:space="preserve"> במסגרת</w:t>
      </w:r>
      <w:r w:rsidR="00C27AFB" w:rsidRPr="00AE2E76">
        <w:rPr>
          <w:rFonts w:ascii="David" w:eastAsia="Times New Roman" w:hAnsi="David" w:cs="David" w:hint="cs"/>
          <w:sz w:val="26"/>
          <w:szCs w:val="26"/>
          <w:rtl/>
        </w:rPr>
        <w:t xml:space="preserve"> כתב</w:t>
      </w:r>
      <w:r w:rsidR="00A711E0" w:rsidRPr="00AE2E76">
        <w:rPr>
          <w:rFonts w:ascii="David" w:eastAsia="Times New Roman" w:hAnsi="David" w:cs="David" w:hint="cs"/>
          <w:sz w:val="26"/>
          <w:szCs w:val="26"/>
          <w:rtl/>
        </w:rPr>
        <w:t xml:space="preserve"> הערר</w:t>
      </w:r>
      <w:r w:rsidRPr="00AE2E76">
        <w:rPr>
          <w:rFonts w:ascii="David" w:eastAsia="Times New Roman" w:hAnsi="David" w:cs="David"/>
          <w:sz w:val="26"/>
          <w:szCs w:val="26"/>
          <w:rtl/>
        </w:rPr>
        <w:t xml:space="preserve">, </w:t>
      </w:r>
      <w:r w:rsidR="00A711E0" w:rsidRPr="00AE2E76">
        <w:rPr>
          <w:rFonts w:ascii="David" w:eastAsia="Times New Roman" w:hAnsi="David" w:cs="David" w:hint="cs"/>
          <w:sz w:val="26"/>
          <w:szCs w:val="26"/>
          <w:rtl/>
        </w:rPr>
        <w:t>שעה שמועלית הטענה כי</w:t>
      </w:r>
      <w:r w:rsidRPr="00AE2E76">
        <w:rPr>
          <w:rFonts w:ascii="David" w:eastAsia="Times New Roman" w:hAnsi="David" w:cs="David"/>
          <w:sz w:val="26"/>
          <w:szCs w:val="26"/>
          <w:rtl/>
        </w:rPr>
        <w:t xml:space="preserve"> שווי מקום חניה הוא בגבולות 200,000 ש"ח</w:t>
      </w:r>
      <w:r w:rsidRPr="00AE2E76">
        <w:rPr>
          <w:rFonts w:ascii="David" w:eastAsia="Times New Roman" w:hAnsi="David" w:cs="David" w:hint="cs"/>
          <w:sz w:val="26"/>
          <w:szCs w:val="26"/>
          <w:rtl/>
        </w:rPr>
        <w:t>.</w:t>
      </w:r>
    </w:p>
    <w:p w14:paraId="302ED2EE" w14:textId="77777777" w:rsidR="006C3A0F" w:rsidRPr="00AE2E76" w:rsidRDefault="006B1213" w:rsidP="00680FE0">
      <w:pPr>
        <w:numPr>
          <w:ilvl w:val="0"/>
          <w:numId w:val="1"/>
        </w:numPr>
        <w:tabs>
          <w:tab w:val="clear" w:pos="720"/>
        </w:tabs>
        <w:spacing w:beforeLines="120" w:before="288" w:afterLines="120" w:after="288" w:line="360" w:lineRule="auto"/>
        <w:ind w:left="84" w:hanging="567"/>
        <w:jc w:val="both"/>
        <w:rPr>
          <w:rFonts w:ascii="David" w:eastAsia="Times New Roman" w:hAnsi="David" w:cs="David"/>
          <w:sz w:val="26"/>
          <w:szCs w:val="26"/>
        </w:rPr>
      </w:pPr>
      <w:r w:rsidRPr="00AE2E76">
        <w:rPr>
          <w:rFonts w:ascii="David" w:eastAsia="Times New Roman" w:hAnsi="David" w:cs="David"/>
          <w:sz w:val="26"/>
          <w:szCs w:val="26"/>
          <w:rtl/>
        </w:rPr>
        <w:t xml:space="preserve">פער דומה עולה גם מנתוני </w:t>
      </w:r>
      <w:r w:rsidRPr="00AE2E76">
        <w:rPr>
          <w:rFonts w:ascii="David" w:eastAsia="Times New Roman" w:hAnsi="David" w:cs="David" w:hint="cs"/>
          <w:sz w:val="26"/>
          <w:szCs w:val="26"/>
          <w:rtl/>
        </w:rPr>
        <w:t xml:space="preserve">עסקאות </w:t>
      </w:r>
      <w:r w:rsidRPr="00AE2E76">
        <w:rPr>
          <w:rFonts w:ascii="David" w:eastAsia="Times New Roman" w:hAnsi="David" w:cs="David"/>
          <w:sz w:val="26"/>
          <w:szCs w:val="26"/>
          <w:rtl/>
        </w:rPr>
        <w:t xml:space="preserve">חולון. בשומה המקורית נוכה שווי של 130,000 ש"ח למקום חניה בעסקה מיום 27.7.2022 בגוש 6802 חלקה 25, ואילו בתגובה המאוחרת הוצגה עסקת חניה מאותה חלקה מיום 25.10.2021 בסך 234,000 ש"ח. עוד נוכה שווי של 130,000 ש"ח לחניה בעסקאות מיום 13.9.2023 ומיום 8.9.2022 בגוש 6803 חלקה 29, בעוד שבתשובה המאוחרת הוצגו עסקאות חניה בגוש 6803 חלקה 28 מיום 4.4.2023 ומיום 26.3.2022, בסך 220,000 ש"ח ו-234,000 ש"ח בהתאמה. </w:t>
      </w:r>
    </w:p>
    <w:p w14:paraId="4143DF70" w14:textId="07E0345B" w:rsidR="006B1213" w:rsidRPr="00AE2E76" w:rsidRDefault="006B1213" w:rsidP="00680FE0">
      <w:pPr>
        <w:numPr>
          <w:ilvl w:val="0"/>
          <w:numId w:val="1"/>
        </w:numPr>
        <w:tabs>
          <w:tab w:val="clear" w:pos="720"/>
        </w:tabs>
        <w:spacing w:beforeLines="120" w:before="288" w:afterLines="120" w:after="288" w:line="360" w:lineRule="auto"/>
        <w:ind w:left="84" w:hanging="567"/>
        <w:jc w:val="both"/>
        <w:rPr>
          <w:rFonts w:ascii="David" w:eastAsia="Times New Roman" w:hAnsi="David" w:cs="David"/>
          <w:sz w:val="26"/>
          <w:szCs w:val="26"/>
          <w:rtl/>
        </w:rPr>
      </w:pPr>
      <w:r w:rsidRPr="00AE2E76">
        <w:rPr>
          <w:rFonts w:ascii="David" w:eastAsia="Times New Roman" w:hAnsi="David" w:cs="David"/>
          <w:sz w:val="26"/>
          <w:szCs w:val="26"/>
          <w:rtl/>
        </w:rPr>
        <w:t>אמנם אין מדובר באותן עסקאות, אולם הקרבה במיקום ובמועדים חייבה התייחסות לפערים בטרם נטען כי שווי מקום חניה לתעסוקה הוא בגבולות 200,000 ש"ח</w:t>
      </w:r>
      <w:r w:rsidRPr="00AE2E76">
        <w:rPr>
          <w:rFonts w:ascii="David" w:eastAsia="Times New Roman" w:hAnsi="David" w:cs="David"/>
          <w:sz w:val="26"/>
          <w:szCs w:val="26"/>
        </w:rPr>
        <w:t>.</w:t>
      </w:r>
      <w:r w:rsidR="004D5A00" w:rsidRPr="00AE2E76">
        <w:rPr>
          <w:rFonts w:ascii="David" w:eastAsia="Times New Roman" w:hAnsi="David" w:cs="David" w:hint="cs"/>
          <w:sz w:val="26"/>
          <w:szCs w:val="26"/>
          <w:rtl/>
        </w:rPr>
        <w:t xml:space="preserve"> </w:t>
      </w:r>
      <w:r w:rsidR="004D5A00" w:rsidRPr="00F5293A">
        <w:rPr>
          <w:rFonts w:ascii="David" w:eastAsia="Times New Roman" w:hAnsi="David" w:cs="David" w:hint="cs"/>
          <w:b/>
          <w:bCs/>
          <w:sz w:val="26"/>
          <w:szCs w:val="26"/>
          <w:rtl/>
        </w:rPr>
        <w:t>יובהר כי דחיית טענות הוועדה המקומית אינ</w:t>
      </w:r>
      <w:r w:rsidR="002B3CD8" w:rsidRPr="00F5293A">
        <w:rPr>
          <w:rFonts w:ascii="David" w:eastAsia="Times New Roman" w:hAnsi="David" w:cs="David" w:hint="cs"/>
          <w:b/>
          <w:bCs/>
          <w:sz w:val="26"/>
          <w:szCs w:val="26"/>
          <w:rtl/>
        </w:rPr>
        <w:t>ה</w:t>
      </w:r>
      <w:r w:rsidR="004D5A00" w:rsidRPr="00F5293A">
        <w:rPr>
          <w:rFonts w:ascii="David" w:eastAsia="Times New Roman" w:hAnsi="David" w:cs="David" w:hint="cs"/>
          <w:b/>
          <w:bCs/>
          <w:sz w:val="26"/>
          <w:szCs w:val="26"/>
          <w:rtl/>
        </w:rPr>
        <w:t xml:space="preserve"> מושתת</w:t>
      </w:r>
      <w:r w:rsidR="001A1F50" w:rsidRPr="00F5293A">
        <w:rPr>
          <w:rFonts w:ascii="David" w:eastAsia="Times New Roman" w:hAnsi="David" w:cs="David" w:hint="cs"/>
          <w:b/>
          <w:bCs/>
          <w:sz w:val="26"/>
          <w:szCs w:val="26"/>
          <w:rtl/>
        </w:rPr>
        <w:t>ת</w:t>
      </w:r>
      <w:r w:rsidR="004D5A00" w:rsidRPr="00F5293A">
        <w:rPr>
          <w:rFonts w:ascii="David" w:eastAsia="Times New Roman" w:hAnsi="David" w:cs="David" w:hint="cs"/>
          <w:b/>
          <w:bCs/>
          <w:sz w:val="26"/>
          <w:szCs w:val="26"/>
          <w:rtl/>
        </w:rPr>
        <w:t xml:space="preserve"> </w:t>
      </w:r>
      <w:r w:rsidR="001519D1" w:rsidRPr="00F5293A">
        <w:rPr>
          <w:rFonts w:ascii="David" w:eastAsia="Times New Roman" w:hAnsi="David" w:cs="David" w:hint="cs"/>
          <w:b/>
          <w:bCs/>
          <w:sz w:val="26"/>
          <w:szCs w:val="26"/>
          <w:rtl/>
        </w:rPr>
        <w:t xml:space="preserve">רק </w:t>
      </w:r>
      <w:r w:rsidR="004D5A00" w:rsidRPr="00F5293A">
        <w:rPr>
          <w:rFonts w:ascii="David" w:eastAsia="Times New Roman" w:hAnsi="David" w:cs="David" w:hint="cs"/>
          <w:b/>
          <w:bCs/>
          <w:sz w:val="26"/>
          <w:szCs w:val="26"/>
          <w:rtl/>
        </w:rPr>
        <w:t>על עניין זה</w:t>
      </w:r>
      <w:r w:rsidR="00853F78" w:rsidRPr="00F5293A">
        <w:rPr>
          <w:rFonts w:ascii="David" w:eastAsia="Times New Roman" w:hAnsi="David" w:cs="David" w:hint="cs"/>
          <w:b/>
          <w:bCs/>
          <w:sz w:val="26"/>
          <w:szCs w:val="26"/>
          <w:rtl/>
        </w:rPr>
        <w:t>, וממילא היינו מגיעים למסקנה דומה נוכח יתר הטעמים המפורטים</w:t>
      </w:r>
      <w:r w:rsidR="004D5A00" w:rsidRPr="00AE2E76">
        <w:rPr>
          <w:rFonts w:ascii="David" w:eastAsia="Times New Roman" w:hAnsi="David" w:cs="David" w:hint="cs"/>
          <w:sz w:val="26"/>
          <w:szCs w:val="26"/>
          <w:rtl/>
        </w:rPr>
        <w:t>.</w:t>
      </w:r>
    </w:p>
    <w:p w14:paraId="124EC29A" w14:textId="3045845C" w:rsidR="009E594C" w:rsidRPr="00AE2E76" w:rsidRDefault="00F5293A" w:rsidP="00680FE0">
      <w:pPr>
        <w:numPr>
          <w:ilvl w:val="0"/>
          <w:numId w:val="1"/>
        </w:numPr>
        <w:tabs>
          <w:tab w:val="clear" w:pos="720"/>
        </w:tabs>
        <w:spacing w:beforeLines="120" w:before="288" w:afterLines="120" w:after="288" w:line="360" w:lineRule="auto"/>
        <w:ind w:left="84" w:hanging="567"/>
        <w:jc w:val="both"/>
        <w:rPr>
          <w:rFonts w:ascii="David" w:eastAsia="Times New Roman" w:hAnsi="David" w:cs="David"/>
          <w:sz w:val="26"/>
          <w:szCs w:val="26"/>
        </w:rPr>
      </w:pPr>
      <w:r>
        <w:rPr>
          <w:rFonts w:ascii="David" w:eastAsia="Times New Roman" w:hAnsi="David" w:cs="David" w:hint="cs"/>
          <w:sz w:val="26"/>
          <w:szCs w:val="26"/>
          <w:rtl/>
        </w:rPr>
        <w:t>עוד יש להוסיף</w:t>
      </w:r>
      <w:r w:rsidR="0088625C" w:rsidRPr="0088625C">
        <w:rPr>
          <w:rFonts w:ascii="David" w:eastAsia="Times New Roman" w:hAnsi="David" w:cs="David"/>
          <w:sz w:val="26"/>
          <w:szCs w:val="26"/>
          <w:rtl/>
        </w:rPr>
        <w:t xml:space="preserve"> כי טענת הוועדה המקומית לשווי של 200,000 ש"ח למקום חניה משליכה גם על ניתוח עסקאות ההשוואה בשומתה המקורית. אימוץ שווי זה מחייב ניכוי רכיב חניה גבוה יותר ממחירי העסקאות, וממילא מוביל לשווי נמוך יותר למ"ר בנוי.</w:t>
      </w:r>
      <w:r w:rsidR="0088625C" w:rsidRPr="00AE2E76">
        <w:rPr>
          <w:rFonts w:ascii="David" w:eastAsia="Times New Roman" w:hAnsi="David" w:cs="David" w:hint="cs"/>
          <w:sz w:val="26"/>
          <w:szCs w:val="26"/>
          <w:rtl/>
        </w:rPr>
        <w:t xml:space="preserve"> הוועדה המקומית כלל לא נתנה דעתה על עניין זה.</w:t>
      </w:r>
    </w:p>
    <w:p w14:paraId="1AAC74F4" w14:textId="7C72B12E" w:rsidR="005F0C98" w:rsidRPr="005F0C98" w:rsidRDefault="00B306AB" w:rsidP="00680FE0">
      <w:pPr>
        <w:numPr>
          <w:ilvl w:val="0"/>
          <w:numId w:val="1"/>
        </w:numPr>
        <w:tabs>
          <w:tab w:val="clear" w:pos="720"/>
        </w:tabs>
        <w:spacing w:beforeLines="120" w:before="288" w:afterLines="120" w:after="288" w:line="360" w:lineRule="auto"/>
        <w:ind w:left="84" w:hanging="567"/>
        <w:jc w:val="both"/>
        <w:rPr>
          <w:rFonts w:ascii="David" w:eastAsia="Times New Roman" w:hAnsi="David" w:cs="David"/>
          <w:sz w:val="26"/>
          <w:szCs w:val="26"/>
        </w:rPr>
      </w:pPr>
      <w:r>
        <w:rPr>
          <w:rFonts w:ascii="David" w:eastAsia="Times New Roman" w:hAnsi="David" w:cs="David" w:hint="cs"/>
          <w:sz w:val="26"/>
          <w:szCs w:val="26"/>
          <w:rtl/>
        </w:rPr>
        <w:t xml:space="preserve">מכל מקום, </w:t>
      </w:r>
      <w:r w:rsidR="005F0C98">
        <w:rPr>
          <w:rFonts w:ascii="David" w:eastAsia="Times New Roman" w:hAnsi="David" w:cs="David"/>
          <w:sz w:val="26"/>
          <w:szCs w:val="26"/>
          <w:rtl/>
        </w:rPr>
        <w:t>פער זה חייב היה לקבל התייחסות מפורשת</w:t>
      </w:r>
      <w:r w:rsidR="00CC5746">
        <w:rPr>
          <w:rFonts w:ascii="David" w:eastAsia="Times New Roman" w:hAnsi="David" w:cs="David" w:hint="cs"/>
          <w:sz w:val="26"/>
          <w:szCs w:val="26"/>
          <w:rtl/>
        </w:rPr>
        <w:t xml:space="preserve"> במסגרת הערר שהגישה הוועדה המקומית העוסק בסוגיית שווי החניות</w:t>
      </w:r>
      <w:r w:rsidR="005F0C98">
        <w:rPr>
          <w:rFonts w:ascii="David" w:eastAsia="Times New Roman" w:hAnsi="David" w:cs="David"/>
          <w:sz w:val="26"/>
          <w:szCs w:val="26"/>
          <w:rtl/>
        </w:rPr>
        <w:t>. מכוח חובת ההגינות והגילוי המוטלת עליה היה עליה להעמיד</w:t>
      </w:r>
      <w:r w:rsidR="00C020F6">
        <w:rPr>
          <w:rFonts w:ascii="David" w:eastAsia="Times New Roman" w:hAnsi="David" w:cs="David" w:hint="cs"/>
          <w:sz w:val="26"/>
          <w:szCs w:val="26"/>
          <w:rtl/>
        </w:rPr>
        <w:t xml:space="preserve"> בפנינו</w:t>
      </w:r>
      <w:r w:rsidR="005F0C98">
        <w:rPr>
          <w:rFonts w:ascii="David" w:eastAsia="Times New Roman" w:hAnsi="David" w:cs="David"/>
          <w:sz w:val="26"/>
          <w:szCs w:val="26"/>
          <w:rtl/>
        </w:rPr>
        <w:t xml:space="preserve"> במפורש גם את הנתון המשתמע משומתה המקורית ולהסביר את המעבר ממנו לעמדה המאוחרת שלפיה שווי מקום חניה הוא </w:t>
      </w:r>
      <w:r w:rsidR="005F0C98" w:rsidRPr="005F0C98">
        <w:rPr>
          <w:rFonts w:ascii="David" w:eastAsia="Times New Roman" w:hAnsi="David" w:cs="David"/>
          <w:sz w:val="26"/>
          <w:szCs w:val="26"/>
          <w:rtl/>
        </w:rPr>
        <w:t>כ</w:t>
      </w:r>
      <w:r w:rsidR="0069266A">
        <w:rPr>
          <w:rFonts w:ascii="David" w:eastAsia="Times New Roman" w:hAnsi="David" w:cs="David" w:hint="cs"/>
          <w:sz w:val="26"/>
          <w:szCs w:val="26"/>
          <w:rtl/>
        </w:rPr>
        <w:t xml:space="preserve"> -</w:t>
      </w:r>
      <w:r w:rsidR="00C020F6">
        <w:rPr>
          <w:rFonts w:ascii="David" w:eastAsia="Times New Roman" w:hAnsi="David" w:cs="David" w:hint="cs"/>
          <w:sz w:val="26"/>
          <w:szCs w:val="26"/>
          <w:rtl/>
        </w:rPr>
        <w:t xml:space="preserve"> </w:t>
      </w:r>
      <w:r w:rsidR="005F0C98" w:rsidRPr="005F0C98">
        <w:rPr>
          <w:rFonts w:ascii="David" w:eastAsia="Times New Roman" w:hAnsi="David" w:cs="David"/>
          <w:sz w:val="26"/>
          <w:szCs w:val="26"/>
          <w:rtl/>
        </w:rPr>
        <w:t>200</w:t>
      </w:r>
      <w:r w:rsidR="005F0C98">
        <w:rPr>
          <w:rFonts w:ascii="David" w:eastAsia="Times New Roman" w:hAnsi="David" w:cs="David"/>
          <w:sz w:val="26"/>
          <w:szCs w:val="26"/>
          <w:rtl/>
        </w:rPr>
        <w:t xml:space="preserve">,000 </w:t>
      </w:r>
      <w:r w:rsidR="00C020F6">
        <w:rPr>
          <w:rFonts w:ascii="David" w:eastAsia="Times New Roman" w:hAnsi="David" w:cs="David" w:hint="cs"/>
          <w:sz w:val="26"/>
          <w:szCs w:val="26"/>
          <w:rtl/>
        </w:rPr>
        <w:t>₪.</w:t>
      </w:r>
    </w:p>
    <w:p w14:paraId="1AACDD7D" w14:textId="0FEA2D75" w:rsidR="005F0C98" w:rsidRPr="005F0C98" w:rsidRDefault="005F0C98" w:rsidP="00680FE0">
      <w:pPr>
        <w:numPr>
          <w:ilvl w:val="0"/>
          <w:numId w:val="1"/>
        </w:numPr>
        <w:tabs>
          <w:tab w:val="clear" w:pos="720"/>
        </w:tabs>
        <w:spacing w:beforeLines="120" w:before="288" w:afterLines="120" w:after="288" w:line="360" w:lineRule="auto"/>
        <w:ind w:left="84" w:hanging="567"/>
        <w:jc w:val="both"/>
        <w:rPr>
          <w:rFonts w:ascii="David" w:eastAsia="Times New Roman" w:hAnsi="David" w:cs="David"/>
          <w:sz w:val="26"/>
          <w:szCs w:val="26"/>
        </w:rPr>
      </w:pPr>
      <w:r w:rsidRPr="005F0C98">
        <w:rPr>
          <w:rFonts w:ascii="David" w:eastAsia="Times New Roman" w:hAnsi="David" w:cs="David"/>
          <w:sz w:val="26"/>
          <w:szCs w:val="26"/>
          <w:rtl/>
        </w:rPr>
        <w:t xml:space="preserve">בהקשר זה </w:t>
      </w:r>
      <w:r w:rsidR="00A62B00">
        <w:rPr>
          <w:rFonts w:ascii="David" w:eastAsia="Times New Roman" w:hAnsi="David" w:cs="David" w:hint="cs"/>
          <w:sz w:val="26"/>
          <w:szCs w:val="26"/>
          <w:rtl/>
        </w:rPr>
        <w:t>קבענו</w:t>
      </w:r>
      <w:r w:rsidRPr="005F0C98">
        <w:rPr>
          <w:rFonts w:ascii="David" w:eastAsia="Times New Roman" w:hAnsi="David" w:cs="David"/>
          <w:sz w:val="26"/>
          <w:szCs w:val="26"/>
          <w:rtl/>
        </w:rPr>
        <w:t xml:space="preserve"> בערר (ת"א) 86005-10-22 </w:t>
      </w:r>
      <w:r w:rsidRPr="00A62B00">
        <w:rPr>
          <w:rFonts w:ascii="David" w:eastAsia="Times New Roman" w:hAnsi="David" w:cs="David"/>
          <w:b/>
          <w:bCs/>
          <w:sz w:val="26"/>
          <w:szCs w:val="26"/>
          <w:rtl/>
        </w:rPr>
        <w:t>הוועדה המקומית לתכנון ובניה תל אביב-יפו נ' נדר פז ח.מ 1 בע"מ (חברת בנבנישתי 7 תל אביב בע"מ)</w:t>
      </w:r>
      <w:r w:rsidRPr="005F0C98">
        <w:rPr>
          <w:rFonts w:ascii="David" w:eastAsia="Times New Roman" w:hAnsi="David" w:cs="David"/>
          <w:sz w:val="26"/>
          <w:szCs w:val="26"/>
          <w:rtl/>
        </w:rPr>
        <w:t xml:space="preserve"> (נבו, 20.6.2024):</w:t>
      </w:r>
    </w:p>
    <w:p w14:paraId="1437CC7C" w14:textId="7189A489" w:rsidR="005F0C98" w:rsidRPr="00FF0423" w:rsidRDefault="005F0C98" w:rsidP="00FF0423">
      <w:pPr>
        <w:spacing w:beforeLines="120" w:before="288" w:afterLines="120" w:after="288" w:line="360" w:lineRule="auto"/>
        <w:ind w:left="793" w:right="284"/>
        <w:jc w:val="both"/>
        <w:rPr>
          <w:rFonts w:ascii="David" w:eastAsia="Times New Roman" w:hAnsi="David" w:cs="David"/>
          <w:b/>
          <w:bCs/>
        </w:rPr>
      </w:pPr>
      <w:r>
        <w:rPr>
          <w:rFonts w:ascii="David" w:eastAsia="Times New Roman" w:hAnsi="David" w:cs="David"/>
          <w:b/>
          <w:bCs/>
          <w:rtl/>
        </w:rPr>
        <w:t>"שומת הוועדה המקומית הינה מסמך סטטוטורי המופק בהתאם להוראות סעיף 4 לתוספת השלישית ואין להקל במסמך זה ראש. כידוע גם שיש לראות בו מסמך סופי, שכלל, אינו מאפשר שינויים, אלא בהתאם לקבעו בסעיף 14(ו) לתוספת השלישית."</w:t>
      </w:r>
    </w:p>
    <w:p w14:paraId="2499EF32" w14:textId="1A044B9D" w:rsidR="005F0C98" w:rsidRPr="005F0C98" w:rsidRDefault="005F0C98" w:rsidP="00680FE0">
      <w:pPr>
        <w:numPr>
          <w:ilvl w:val="0"/>
          <w:numId w:val="1"/>
        </w:numPr>
        <w:tabs>
          <w:tab w:val="clear" w:pos="720"/>
        </w:tabs>
        <w:spacing w:beforeLines="120" w:before="288" w:afterLines="120" w:after="288" w:line="360" w:lineRule="auto"/>
        <w:ind w:left="84" w:hanging="567"/>
        <w:jc w:val="both"/>
        <w:rPr>
          <w:rFonts w:ascii="David" w:eastAsia="Times New Roman" w:hAnsi="David" w:cs="David"/>
          <w:sz w:val="26"/>
          <w:szCs w:val="26"/>
        </w:rPr>
      </w:pPr>
      <w:r>
        <w:rPr>
          <w:rFonts w:ascii="David" w:eastAsia="Times New Roman" w:hAnsi="David" w:cs="David"/>
          <w:sz w:val="26"/>
          <w:szCs w:val="26"/>
          <w:rtl/>
        </w:rPr>
        <w:lastRenderedPageBreak/>
        <w:t xml:space="preserve">איננו קובעים כי עצם העלאת נתונים חדשים בפני השמאי המכריע הינה פסולה מעיקרה, ראה בעניין זה עמדתנו כפי שהוסברה בערר (תל אביב-יפו) 8165-09-21 </w:t>
      </w:r>
      <w:r w:rsidRPr="008E63CB">
        <w:rPr>
          <w:rFonts w:ascii="David" w:hAnsi="David" w:cs="David"/>
          <w:b/>
          <w:bCs/>
          <w:sz w:val="26"/>
          <w:szCs w:val="26"/>
          <w:rtl/>
        </w:rPr>
        <w:t xml:space="preserve">עזבון המנוח חיים נתן חביב ז"ל </w:t>
      </w:r>
      <w:r w:rsidR="004A17BB" w:rsidRPr="004A17BB">
        <w:rPr>
          <w:rFonts w:ascii="David" w:eastAsia="Times New Roman" w:hAnsi="David" w:cs="David"/>
          <w:b/>
          <w:bCs/>
          <w:sz w:val="26"/>
          <w:szCs w:val="26"/>
          <w:rtl/>
        </w:rPr>
        <w:t>ו-14</w:t>
      </w:r>
      <w:r w:rsidRPr="008E63CB">
        <w:rPr>
          <w:rFonts w:ascii="David" w:hAnsi="David" w:cs="David"/>
          <w:b/>
          <w:bCs/>
          <w:sz w:val="26"/>
          <w:szCs w:val="26"/>
          <w:rtl/>
        </w:rPr>
        <w:t xml:space="preserve"> אחרים נ' הוועדה המקומית לתכנון ובניה בת ים</w:t>
      </w:r>
      <w:r>
        <w:rPr>
          <w:rFonts w:ascii="David" w:eastAsia="Times New Roman" w:hAnsi="David" w:cs="David"/>
          <w:sz w:val="26"/>
          <w:szCs w:val="26"/>
          <w:rtl/>
        </w:rPr>
        <w:t xml:space="preserve"> (נבו).</w:t>
      </w:r>
    </w:p>
    <w:p w14:paraId="286C2713" w14:textId="1CBE2E15" w:rsidR="005F0C98" w:rsidRPr="005F0C98" w:rsidRDefault="005F0C98" w:rsidP="00680FE0">
      <w:pPr>
        <w:numPr>
          <w:ilvl w:val="0"/>
          <w:numId w:val="1"/>
        </w:numPr>
        <w:tabs>
          <w:tab w:val="clear" w:pos="720"/>
        </w:tabs>
        <w:spacing w:beforeLines="120" w:before="288" w:afterLines="120" w:after="288" w:line="360" w:lineRule="auto"/>
        <w:ind w:left="84" w:hanging="567"/>
        <w:jc w:val="both"/>
        <w:rPr>
          <w:rFonts w:ascii="David" w:eastAsia="Times New Roman" w:hAnsi="David" w:cs="David"/>
          <w:sz w:val="26"/>
          <w:szCs w:val="26"/>
        </w:rPr>
      </w:pPr>
      <w:r w:rsidRPr="005F0C98">
        <w:rPr>
          <w:rFonts w:ascii="David" w:eastAsia="Times New Roman" w:hAnsi="David" w:cs="David"/>
          <w:sz w:val="26"/>
          <w:szCs w:val="26"/>
          <w:rtl/>
        </w:rPr>
        <w:t xml:space="preserve">ואולם, כאשר </w:t>
      </w:r>
      <w:r w:rsidR="00F723B5">
        <w:rPr>
          <w:rFonts w:ascii="David" w:eastAsia="Times New Roman" w:hAnsi="David" w:cs="David" w:hint="cs"/>
          <w:sz w:val="26"/>
          <w:szCs w:val="26"/>
          <w:rtl/>
        </w:rPr>
        <w:t>הוועדה המקומית</w:t>
      </w:r>
      <w:r w:rsidRPr="005F0C98">
        <w:rPr>
          <w:rFonts w:ascii="David" w:eastAsia="Times New Roman" w:hAnsi="David" w:cs="David"/>
          <w:sz w:val="26"/>
          <w:szCs w:val="26"/>
          <w:rtl/>
        </w:rPr>
        <w:t xml:space="preserve"> משנה באופן מהותי את המשמעות השמאית הנלמדת משומתה שלה</w:t>
      </w:r>
      <w:r w:rsidR="004A17BB">
        <w:rPr>
          <w:rFonts w:ascii="David" w:eastAsia="Times New Roman" w:hAnsi="David" w:cs="David" w:hint="cs"/>
          <w:sz w:val="26"/>
          <w:szCs w:val="26"/>
          <w:rtl/>
        </w:rPr>
        <w:t xml:space="preserve"> בשלב השמאות המכרעת</w:t>
      </w:r>
      <w:r w:rsidRPr="005F0C98">
        <w:rPr>
          <w:rFonts w:ascii="David" w:eastAsia="Times New Roman" w:hAnsi="David" w:cs="David"/>
          <w:sz w:val="26"/>
          <w:szCs w:val="26"/>
          <w:rtl/>
        </w:rPr>
        <w:t xml:space="preserve">, </w:t>
      </w:r>
      <w:r w:rsidR="00FE3838">
        <w:rPr>
          <w:rFonts w:ascii="David" w:eastAsia="Times New Roman" w:hAnsi="David" w:cs="David" w:hint="cs"/>
          <w:sz w:val="26"/>
          <w:szCs w:val="26"/>
          <w:rtl/>
        </w:rPr>
        <w:t>וטענתה עוסקת בעניין זה</w:t>
      </w:r>
      <w:r w:rsidR="00D026C5">
        <w:rPr>
          <w:rFonts w:ascii="David" w:eastAsia="Times New Roman" w:hAnsi="David" w:cs="David" w:hint="cs"/>
          <w:sz w:val="26"/>
          <w:szCs w:val="26"/>
          <w:rtl/>
        </w:rPr>
        <w:t xml:space="preserve"> בפני ועדת הערר</w:t>
      </w:r>
      <w:r w:rsidR="00FE3838">
        <w:rPr>
          <w:rFonts w:ascii="David" w:eastAsia="Times New Roman" w:hAnsi="David" w:cs="David" w:hint="cs"/>
          <w:sz w:val="26"/>
          <w:szCs w:val="26"/>
          <w:rtl/>
        </w:rPr>
        <w:t>, הרי ש</w:t>
      </w:r>
      <w:r w:rsidRPr="005F0C98">
        <w:rPr>
          <w:rFonts w:ascii="David" w:eastAsia="Times New Roman" w:hAnsi="David" w:cs="David"/>
          <w:sz w:val="26"/>
          <w:szCs w:val="26"/>
          <w:rtl/>
        </w:rPr>
        <w:t>חובת ההגינות והגילוי המוטלת עליה מחייבת אותה להצי</w:t>
      </w:r>
      <w:r w:rsidR="00FE3838">
        <w:rPr>
          <w:rFonts w:ascii="David" w:eastAsia="Times New Roman" w:hAnsi="David" w:cs="David" w:hint="cs"/>
          <w:sz w:val="26"/>
          <w:szCs w:val="26"/>
          <w:rtl/>
        </w:rPr>
        <w:t>ג גם</w:t>
      </w:r>
      <w:r w:rsidRPr="005F0C98">
        <w:rPr>
          <w:rFonts w:ascii="David" w:eastAsia="Times New Roman" w:hAnsi="David" w:cs="David"/>
          <w:sz w:val="26"/>
          <w:szCs w:val="26"/>
          <w:rtl/>
        </w:rPr>
        <w:t xml:space="preserve"> את הנתון הקודם, בגלוי לפני </w:t>
      </w:r>
      <w:r w:rsidR="00FE3838">
        <w:rPr>
          <w:rFonts w:ascii="David" w:eastAsia="Times New Roman" w:hAnsi="David" w:cs="David" w:hint="cs"/>
          <w:sz w:val="26"/>
          <w:szCs w:val="26"/>
          <w:rtl/>
        </w:rPr>
        <w:t>ועדת הערר</w:t>
      </w:r>
      <w:r w:rsidRPr="005F0C98">
        <w:rPr>
          <w:rFonts w:ascii="David" w:eastAsia="Times New Roman" w:hAnsi="David" w:cs="David"/>
          <w:sz w:val="26"/>
          <w:szCs w:val="26"/>
          <w:rtl/>
        </w:rPr>
        <w:t xml:space="preserve"> ולנמק את המעבר מעמדה אחת לאחרת. לא ניתן להציג רק את השווי המאוחר והגבוה, כאילו הוא נקודת המוצא היחידה של הוועדה המקומית.</w:t>
      </w:r>
    </w:p>
    <w:p w14:paraId="5F530A44" w14:textId="7D6EF82D" w:rsidR="008F68AB" w:rsidRPr="008F68AB" w:rsidRDefault="008F68AB" w:rsidP="008F68AB">
      <w:pPr>
        <w:numPr>
          <w:ilvl w:val="0"/>
          <w:numId w:val="1"/>
        </w:numPr>
        <w:tabs>
          <w:tab w:val="clear" w:pos="720"/>
        </w:tabs>
        <w:spacing w:beforeLines="120" w:before="288" w:afterLines="120" w:after="288" w:line="360" w:lineRule="auto"/>
        <w:ind w:left="84" w:hanging="567"/>
        <w:jc w:val="both"/>
        <w:rPr>
          <w:rFonts w:ascii="David" w:eastAsia="Times New Roman" w:hAnsi="David" w:cs="David"/>
          <w:sz w:val="26"/>
          <w:szCs w:val="26"/>
          <w:rtl/>
        </w:rPr>
      </w:pPr>
      <w:r w:rsidRPr="008F68AB">
        <w:rPr>
          <w:rFonts w:ascii="David" w:eastAsia="Times New Roman" w:hAnsi="David" w:cs="David"/>
          <w:sz w:val="26"/>
          <w:szCs w:val="26"/>
          <w:rtl/>
        </w:rPr>
        <w:t>אין די בכך ששומת הוועדה המקומית צורפה כנספח לכתבי הטענות. השווי של 130,000 ש"ח למקום חניה אינו מוצג בה כמסקנה מפורשת, אלא נלמד מחישוב ההפרשים בטבלאות. דווקא הוועדה המקומית, שידעה כיצד נערכו התחשיבים ומהו הרכיב שנוטרל, נדרשה להפנות לנתון זה וליישבו עם טענתה המאוחרת לשווי של כ-200,000 ש"ח.</w:t>
      </w:r>
    </w:p>
    <w:p w14:paraId="7EF7EF78" w14:textId="250CF710" w:rsidR="008F68AB" w:rsidRPr="008F68AB" w:rsidRDefault="008F68AB" w:rsidP="008F68AB">
      <w:pPr>
        <w:numPr>
          <w:ilvl w:val="0"/>
          <w:numId w:val="1"/>
        </w:numPr>
        <w:tabs>
          <w:tab w:val="clear" w:pos="720"/>
        </w:tabs>
        <w:spacing w:beforeLines="120" w:before="288" w:afterLines="120" w:after="288" w:line="360" w:lineRule="auto"/>
        <w:ind w:left="84" w:hanging="567"/>
        <w:jc w:val="both"/>
        <w:rPr>
          <w:rFonts w:ascii="David" w:eastAsia="Times New Roman" w:hAnsi="David" w:cs="David"/>
          <w:sz w:val="26"/>
          <w:szCs w:val="26"/>
          <w:rtl/>
        </w:rPr>
      </w:pPr>
      <w:r w:rsidRPr="008F68AB">
        <w:rPr>
          <w:rFonts w:ascii="David" w:eastAsia="Times New Roman" w:hAnsi="David" w:cs="David"/>
          <w:sz w:val="26"/>
          <w:szCs w:val="26"/>
          <w:rtl/>
        </w:rPr>
        <w:t>הדברים מקבלים משנה תוקף נוכח טענת הערר שלפיה השמאי המכריע התעלם מנתוני ההשוואה והגיע, בשיטה שמאית שאינה ראויה, לשווי נמוך. השווי שקבע, על יסוד דמי שכירות חודשיים בסך 540 ש"ח ושיעור היוון של 5%, הוא 129,600 ש"ח למקום חניה – 400 ש"ח בלבד, כשליש האחוז, פחות מן השווי המשתמע משומת הוועדה המקורית. קשה אפוא לטעון כי תוצאתו מנותקת מנתוני השוק, שעה שהיא חופפת כמעט לחלוטין לערך שבו השתמשה הוועדה המקומית עצמה.</w:t>
      </w:r>
    </w:p>
    <w:p w14:paraId="1B1A01E0" w14:textId="6D707D3F" w:rsidR="008F68AB" w:rsidRPr="008F68AB" w:rsidRDefault="008F68AB" w:rsidP="008F68AB">
      <w:pPr>
        <w:numPr>
          <w:ilvl w:val="0"/>
          <w:numId w:val="1"/>
        </w:numPr>
        <w:tabs>
          <w:tab w:val="clear" w:pos="720"/>
        </w:tabs>
        <w:spacing w:beforeLines="120" w:before="288" w:afterLines="120" w:after="288" w:line="360" w:lineRule="auto"/>
        <w:ind w:left="84" w:hanging="567"/>
        <w:jc w:val="both"/>
        <w:rPr>
          <w:rFonts w:ascii="David" w:eastAsia="Times New Roman" w:hAnsi="David" w:cs="David"/>
          <w:sz w:val="26"/>
          <w:szCs w:val="26"/>
          <w:rtl/>
        </w:rPr>
      </w:pPr>
      <w:r w:rsidRPr="008F68AB">
        <w:rPr>
          <w:rFonts w:ascii="David" w:eastAsia="Times New Roman" w:hAnsi="David" w:cs="David"/>
          <w:sz w:val="26"/>
          <w:szCs w:val="26"/>
          <w:rtl/>
        </w:rPr>
        <w:t xml:space="preserve">הוועדה המקומית לא הסבירה את המעבר משווי של 130,000 ש"ח לשווי של כ-200,000 ש"ח. לא נטען כי מדובר בחניות מסוג שונה, ולא הוצגו התאמות למועד, למיקום, למפלס החניה, לאיכות החניון או לטיב הזכויות. אמנם השווי של 130,000 ש"ח אינו בגדר שומה עצמאית ומלאה של מקום חניה, אלא רכיב עזר ששימש לחילוץ שווי המשרדים והמסחר; אולם משביקשה הוועדה המקומית לבסס על השווי המאוחר טענה לפגם חמור בשומה המכרעת, היה עליה להסביר מדוע הנתון המשתמע מתחשיביה שלה אינו רלוונטי. בהיעדר הסבר כזה, אין לפנינו שתי עמדות שמאיות מבוססות שיש להכריע ביניהן, אלא טענה מאוחרת שאינה מתמודדת עם נתוני היסוד של שומתה </w:t>
      </w:r>
      <w:r w:rsidR="00FB12B2">
        <w:rPr>
          <w:rFonts w:ascii="David" w:eastAsia="Times New Roman" w:hAnsi="David" w:cs="David" w:hint="cs"/>
          <w:sz w:val="26"/>
          <w:szCs w:val="26"/>
          <w:rtl/>
        </w:rPr>
        <w:t>המקורית</w:t>
      </w:r>
      <w:r w:rsidRPr="008F68AB">
        <w:rPr>
          <w:rFonts w:ascii="David" w:eastAsia="Times New Roman" w:hAnsi="David" w:cs="David"/>
          <w:sz w:val="26"/>
          <w:szCs w:val="26"/>
          <w:rtl/>
        </w:rPr>
        <w:t>.</w:t>
      </w:r>
    </w:p>
    <w:p w14:paraId="3E030C5F" w14:textId="45E9F602" w:rsidR="00592E1C" w:rsidRPr="00592E1C" w:rsidRDefault="00592E1C" w:rsidP="00592E1C">
      <w:pPr>
        <w:spacing w:beforeLines="120" w:before="288" w:afterLines="120" w:after="288" w:line="360" w:lineRule="auto"/>
        <w:jc w:val="both"/>
        <w:rPr>
          <w:rFonts w:ascii="David" w:eastAsia="Times New Roman" w:hAnsi="David" w:cs="David"/>
          <w:b/>
          <w:bCs/>
          <w:sz w:val="26"/>
          <w:szCs w:val="26"/>
          <w:u w:val="single"/>
          <w:rtl/>
        </w:rPr>
      </w:pPr>
      <w:r w:rsidRPr="00592E1C">
        <w:rPr>
          <w:rFonts w:ascii="David" w:eastAsia="Times New Roman" w:hAnsi="David" w:cs="David"/>
          <w:b/>
          <w:bCs/>
          <w:sz w:val="26"/>
          <w:szCs w:val="26"/>
          <w:u w:val="single"/>
          <w:rtl/>
        </w:rPr>
        <w:t>הטבלה שהציגה הוועדה המקומית אינה מבססת שווי של 200,000 ש"ח</w:t>
      </w:r>
    </w:p>
    <w:p w14:paraId="5E0E1183" w14:textId="10D6ECDA" w:rsidR="00592E1C" w:rsidRPr="00592E1C" w:rsidRDefault="00595503" w:rsidP="00592E1C">
      <w:pPr>
        <w:numPr>
          <w:ilvl w:val="0"/>
          <w:numId w:val="1"/>
        </w:numPr>
        <w:tabs>
          <w:tab w:val="clear" w:pos="720"/>
        </w:tabs>
        <w:spacing w:beforeLines="120" w:before="288" w:afterLines="120" w:after="288" w:line="360" w:lineRule="auto"/>
        <w:ind w:left="84" w:hanging="567"/>
        <w:jc w:val="both"/>
        <w:rPr>
          <w:rFonts w:ascii="David" w:eastAsia="Times New Roman" w:hAnsi="David" w:cs="David"/>
          <w:sz w:val="26"/>
          <w:szCs w:val="26"/>
          <w:rtl/>
        </w:rPr>
      </w:pPr>
      <w:r>
        <w:rPr>
          <w:rFonts w:ascii="David" w:eastAsia="Times New Roman" w:hAnsi="David" w:cs="David" w:hint="cs"/>
          <w:sz w:val="26"/>
          <w:szCs w:val="26"/>
          <w:rtl/>
        </w:rPr>
        <w:t>לגופו של עניין, נבהיר</w:t>
      </w:r>
      <w:r w:rsidR="00592E1C" w:rsidRPr="00592E1C">
        <w:rPr>
          <w:rFonts w:ascii="David" w:eastAsia="Times New Roman" w:hAnsi="David" w:cs="David"/>
          <w:sz w:val="26"/>
          <w:szCs w:val="26"/>
          <w:rtl/>
        </w:rPr>
        <w:t xml:space="preserve"> שגם עסקאות החניה שהוצגו בתגובתה המאוחרת של הוועדה המקומית אינן מבססות באופן מובהק שווי של 200,000 ש"ח למקום חניה בפרויקט מושא הערר. הוועדה המקומית הציגה שבע עסקאות מכר - ארבע בחולון ושלוש </w:t>
      </w:r>
      <w:r w:rsidR="002B6536">
        <w:rPr>
          <w:rFonts w:ascii="David" w:eastAsia="Times New Roman" w:hAnsi="David" w:cs="David" w:hint="cs"/>
          <w:sz w:val="26"/>
          <w:szCs w:val="26"/>
          <w:rtl/>
        </w:rPr>
        <w:t>מ</w:t>
      </w:r>
      <w:r w:rsidR="00592E1C" w:rsidRPr="00592E1C">
        <w:rPr>
          <w:rFonts w:ascii="David" w:eastAsia="Times New Roman" w:hAnsi="David" w:cs="David"/>
          <w:sz w:val="26"/>
          <w:szCs w:val="26"/>
          <w:rtl/>
        </w:rPr>
        <w:t xml:space="preserve">אזור - במחירים שנעו בין 95,000 ש"ח ל-234,000 ש"ח למקום חניה. על יסוד נתונים אלה, </w:t>
      </w:r>
      <w:r w:rsidR="00592E1C" w:rsidRPr="00592E1C">
        <w:rPr>
          <w:rFonts w:ascii="David" w:eastAsia="Times New Roman" w:hAnsi="David" w:cs="David"/>
          <w:sz w:val="26"/>
          <w:szCs w:val="26"/>
          <w:rtl/>
        </w:rPr>
        <w:lastRenderedPageBreak/>
        <w:t>ובצירוף טענה כללית בדבר מצוקת חניה צפויה, קבעה שמאית הוועדה כי סביר לאמוד את שווי החניה בכ-200,000 ש"ח.</w:t>
      </w:r>
    </w:p>
    <w:p w14:paraId="3476621B" w14:textId="40C84810" w:rsidR="00592E1C" w:rsidRPr="00592E1C" w:rsidRDefault="00592E1C" w:rsidP="00592E1C">
      <w:pPr>
        <w:numPr>
          <w:ilvl w:val="0"/>
          <w:numId w:val="1"/>
        </w:numPr>
        <w:tabs>
          <w:tab w:val="clear" w:pos="720"/>
        </w:tabs>
        <w:spacing w:beforeLines="120" w:before="288" w:afterLines="120" w:after="288" w:line="360" w:lineRule="auto"/>
        <w:ind w:left="84" w:hanging="567"/>
        <w:jc w:val="both"/>
        <w:rPr>
          <w:rFonts w:ascii="David" w:eastAsia="Times New Roman" w:hAnsi="David" w:cs="David"/>
          <w:sz w:val="26"/>
          <w:szCs w:val="26"/>
          <w:rtl/>
        </w:rPr>
      </w:pPr>
      <w:r w:rsidRPr="00592E1C">
        <w:rPr>
          <w:rFonts w:ascii="David" w:eastAsia="Times New Roman" w:hAnsi="David" w:cs="David"/>
          <w:sz w:val="26"/>
          <w:szCs w:val="26"/>
          <w:rtl/>
        </w:rPr>
        <w:t xml:space="preserve">ואולם, הטבלה אינה כוללת ניתוח המאפשר לבחון את מידת התאמתן של העסקאות לחניות העתידות להיבנות במגרש 203. לא פורט אם מדובר בחניות תת-קרקעיות או עיליות, באיזה מפלס הן מצויות, </w:t>
      </w:r>
      <w:r w:rsidR="00EE7C5B" w:rsidRPr="00EE7C5B">
        <w:rPr>
          <w:rFonts w:ascii="David" w:eastAsia="Times New Roman" w:hAnsi="David" w:cs="David"/>
          <w:sz w:val="26"/>
          <w:szCs w:val="26"/>
          <w:rtl/>
        </w:rPr>
        <w:t>מהם תנאי הקרקע והביסוס</w:t>
      </w:r>
      <w:r w:rsidR="005D0CCF">
        <w:rPr>
          <w:rFonts w:ascii="David" w:eastAsia="Times New Roman" w:hAnsi="David" w:cs="David" w:hint="cs"/>
          <w:sz w:val="26"/>
          <w:szCs w:val="26"/>
          <w:rtl/>
        </w:rPr>
        <w:t xml:space="preserve">, </w:t>
      </w:r>
      <w:r w:rsidRPr="00592E1C">
        <w:rPr>
          <w:rFonts w:ascii="David" w:eastAsia="Times New Roman" w:hAnsi="David" w:cs="David"/>
          <w:sz w:val="26"/>
          <w:szCs w:val="26"/>
          <w:rtl/>
        </w:rPr>
        <w:t>מהי נגישותן, אם נמכרו בנפרד או בזיקה לנכס עיקרי, מה טיב הזכויות שנמכרו ומהם מאפייני הבניין והחניון. אף לא הוצגו ההתאמות הנדרשות למועד, למיקום ולתנאי העסקה.</w:t>
      </w:r>
    </w:p>
    <w:p w14:paraId="1B6A8BD4" w14:textId="19FBE825" w:rsidR="006E6D59" w:rsidRDefault="00592E1C" w:rsidP="00592E1C">
      <w:pPr>
        <w:numPr>
          <w:ilvl w:val="0"/>
          <w:numId w:val="1"/>
        </w:numPr>
        <w:tabs>
          <w:tab w:val="clear" w:pos="720"/>
        </w:tabs>
        <w:spacing w:beforeLines="120" w:before="288" w:afterLines="120" w:after="288" w:line="360" w:lineRule="auto"/>
        <w:ind w:left="84" w:hanging="567"/>
        <w:jc w:val="both"/>
        <w:rPr>
          <w:rFonts w:ascii="David" w:eastAsia="Times New Roman" w:hAnsi="David" w:cs="David"/>
          <w:sz w:val="26"/>
          <w:szCs w:val="26"/>
        </w:rPr>
      </w:pPr>
      <w:r w:rsidRPr="00592E1C">
        <w:rPr>
          <w:rFonts w:ascii="David" w:eastAsia="Times New Roman" w:hAnsi="David" w:cs="David"/>
          <w:sz w:val="26"/>
          <w:szCs w:val="26"/>
          <w:rtl/>
        </w:rPr>
        <w:t xml:space="preserve">גם מבחינה מספרית אין הנתונים תומכים במסקנה האמורה. הממוצע של שבע העסקאות עומד על כ-186,737 ש"ח, ואילו הממוצע של שלוש העסקאות באזור - היישוב שבו מצויים המקרקעין הנישומים - עומד על כ-136,187 ש"ח בלבד. שתיים משלוש העסקאות באזור נערכו בסכומים של 95,000 ש"ח ו-102,960 ש"ח. מנגד, ממוצע ארבע העסקאות בחולון עומד על 224,650 ש"ח. בנסיבות אלה, לא הובהר מדוע בחרה הוועדה המקומית ליתן משקל לעסקאות מחולון, שערכיהן גבוהים במידה ניכרת מן העסקאות באזור, ולא לנתונים המקומיים. בהיעדר ניתוח המסביר את הפער בין השווקים ואת ההתאמות הנדרשות ביניהם, </w:t>
      </w:r>
      <w:r w:rsidR="0042727E">
        <w:rPr>
          <w:rFonts w:ascii="David" w:eastAsia="Times New Roman" w:hAnsi="David" w:cs="David" w:hint="cs"/>
          <w:sz w:val="26"/>
          <w:szCs w:val="26"/>
          <w:rtl/>
        </w:rPr>
        <w:t>מסקנת הוועדה המקומית נותרת חסרת עיגון ולא ברורה</w:t>
      </w:r>
      <w:r w:rsidRPr="00592E1C">
        <w:rPr>
          <w:rFonts w:ascii="David" w:eastAsia="Times New Roman" w:hAnsi="David" w:cs="David"/>
          <w:sz w:val="26"/>
          <w:szCs w:val="26"/>
          <w:rtl/>
        </w:rPr>
        <w:t>. מנגד, השווי שקבע השמאי המכריע - 129,600 ש"ח למקום חניה - קרוב לנתוני העסקאות באזור שהציגה הוועדה המקומית עצמה.</w:t>
      </w:r>
    </w:p>
    <w:p w14:paraId="0FB6F6C2" w14:textId="51B9BCE2" w:rsidR="00C32D20" w:rsidRPr="00C32D20" w:rsidRDefault="00C32D20" w:rsidP="003A2FD9">
      <w:pPr>
        <w:spacing w:beforeLines="120" w:before="288" w:afterLines="120" w:after="288" w:line="360" w:lineRule="auto"/>
        <w:jc w:val="both"/>
        <w:rPr>
          <w:rFonts w:ascii="David" w:eastAsia="Times New Roman" w:hAnsi="David" w:cs="David"/>
          <w:b/>
          <w:bCs/>
          <w:sz w:val="26"/>
          <w:szCs w:val="26"/>
          <w:u w:val="single"/>
        </w:rPr>
      </w:pPr>
      <w:r w:rsidRPr="00C32D20">
        <w:rPr>
          <w:rFonts w:ascii="David" w:eastAsia="Times New Roman" w:hAnsi="David" w:cs="David" w:hint="cs"/>
          <w:b/>
          <w:bCs/>
          <w:sz w:val="26"/>
          <w:szCs w:val="26"/>
          <w:u w:val="single"/>
          <w:rtl/>
        </w:rPr>
        <w:t>לא ניתן להסתמך גם על יתר הנתונים שהוצגו על ידי הוועדה המקומית</w:t>
      </w:r>
    </w:p>
    <w:p w14:paraId="3213EF4B" w14:textId="4203328C" w:rsidR="006E6D59" w:rsidRPr="006E6D59" w:rsidRDefault="006E6D59" w:rsidP="00680FE0">
      <w:pPr>
        <w:numPr>
          <w:ilvl w:val="0"/>
          <w:numId w:val="1"/>
        </w:numPr>
        <w:tabs>
          <w:tab w:val="clear" w:pos="720"/>
        </w:tabs>
        <w:spacing w:beforeLines="120" w:before="288" w:afterLines="120" w:after="288" w:line="360" w:lineRule="auto"/>
        <w:ind w:left="84" w:hanging="567"/>
        <w:jc w:val="both"/>
        <w:rPr>
          <w:rFonts w:ascii="David" w:eastAsia="Times New Roman" w:hAnsi="David" w:cs="David"/>
          <w:sz w:val="26"/>
          <w:szCs w:val="26"/>
        </w:rPr>
      </w:pPr>
      <w:r w:rsidRPr="006E6D59">
        <w:rPr>
          <w:rFonts w:ascii="David" w:eastAsia="Times New Roman" w:hAnsi="David" w:cs="David"/>
          <w:sz w:val="26"/>
          <w:szCs w:val="26"/>
          <w:rtl/>
        </w:rPr>
        <w:t>גם יתר החומר שעליו הסתמכה הוועדה המקומית אינו מבסס את המסקנה שלפיה שווי החניות עולה בהכרח על עלות הקמתן.</w:t>
      </w:r>
    </w:p>
    <w:p w14:paraId="6722F9ED" w14:textId="3EB96109" w:rsidR="008C1548" w:rsidRDefault="008570CB" w:rsidP="00680FE0">
      <w:pPr>
        <w:numPr>
          <w:ilvl w:val="0"/>
          <w:numId w:val="1"/>
        </w:numPr>
        <w:tabs>
          <w:tab w:val="clear" w:pos="720"/>
        </w:tabs>
        <w:spacing w:beforeLines="120" w:before="288" w:afterLines="120" w:after="288" w:line="360" w:lineRule="auto"/>
        <w:ind w:left="84" w:hanging="567"/>
        <w:jc w:val="both"/>
        <w:rPr>
          <w:rFonts w:ascii="David" w:eastAsia="Times New Roman" w:hAnsi="David" w:cs="David"/>
          <w:sz w:val="26"/>
          <w:szCs w:val="26"/>
        </w:rPr>
      </w:pPr>
      <w:r w:rsidRPr="00697280">
        <w:rPr>
          <w:rFonts w:ascii="David" w:eastAsia="Times New Roman" w:hAnsi="David" w:cs="David"/>
          <w:sz w:val="26"/>
          <w:szCs w:val="26"/>
          <w:rtl/>
        </w:rPr>
        <w:t>הכתבה שפורסמה בעיתון גלובס בשנת 2018 עוסקת ביתרון השיווקי של פרויקט משרדים בעל היצע חניה רחב. כתבה עיתונאית עשויה לכל היותר ללמד על מגמה נטענת</w:t>
      </w:r>
      <w:r w:rsidRPr="00697280">
        <w:rPr>
          <w:rFonts w:ascii="David" w:eastAsia="Times New Roman" w:hAnsi="David" w:cs="David" w:hint="cs"/>
          <w:sz w:val="26"/>
          <w:szCs w:val="26"/>
          <w:rtl/>
        </w:rPr>
        <w:t xml:space="preserve"> </w:t>
      </w:r>
      <w:r w:rsidRPr="00697280">
        <w:rPr>
          <w:rFonts w:ascii="David" w:eastAsia="Times New Roman" w:hAnsi="David" w:cs="David"/>
          <w:sz w:val="26"/>
          <w:szCs w:val="26"/>
          <w:rtl/>
        </w:rPr>
        <w:t>או על עמדה שיווקית, אך אין בה, כשלעצמה, כדי להוכיח מסקנה שמאית. מסקנה כאמור צריכה להישען על נתוני שוק, עסקאות השוואה, ניתוח מקצועי והתאמות רלוונטיות. הדברים מקבלים משנה תוקף שעה שמדובר בכתבה שאינה עדכנית למועד הקובע</w:t>
      </w:r>
      <w:r w:rsidRPr="00697280">
        <w:rPr>
          <w:rFonts w:ascii="David" w:eastAsia="Times New Roman" w:hAnsi="David" w:cs="David" w:hint="cs"/>
          <w:sz w:val="26"/>
          <w:szCs w:val="26"/>
          <w:rtl/>
        </w:rPr>
        <w:t xml:space="preserve"> ואינה משקפת בהכרח את העלות של חניות תת קרקעיות, ודאי לא באופן ממוקד לנכס מושא הערר. הצגת כתבה כאסמכתא שמאית ודאי אינה ראויה ואין די בה</w:t>
      </w:r>
      <w:r w:rsidRPr="00697280">
        <w:rPr>
          <w:rFonts w:ascii="David" w:eastAsia="Times New Roman" w:hAnsi="David" w:cs="David"/>
          <w:sz w:val="26"/>
          <w:szCs w:val="26"/>
          <w:rtl/>
        </w:rPr>
        <w:t xml:space="preserve"> </w:t>
      </w:r>
      <w:r w:rsidRPr="00697280">
        <w:rPr>
          <w:rFonts w:ascii="David" w:eastAsia="Times New Roman" w:hAnsi="David" w:cs="David" w:hint="cs"/>
          <w:sz w:val="26"/>
          <w:szCs w:val="26"/>
          <w:rtl/>
        </w:rPr>
        <w:t xml:space="preserve">שעה שהוועדה המקומית מבקשת </w:t>
      </w:r>
      <w:r w:rsidRPr="00697280">
        <w:rPr>
          <w:rFonts w:ascii="David" w:eastAsia="Times New Roman" w:hAnsi="David" w:cs="David"/>
          <w:sz w:val="26"/>
          <w:szCs w:val="26"/>
          <w:rtl/>
        </w:rPr>
        <w:t>להסתמך עליה לצורך שינוי עמדה שמאית קודמת. בנסיבות אלה, תמוה כי הוועדה המקומית ראתה בכתבה מקור היכול להצדיק את שינוי עמדתה המקצועית</w:t>
      </w:r>
      <w:r w:rsidRPr="00697280">
        <w:rPr>
          <w:rFonts w:ascii="David" w:eastAsia="Times New Roman" w:hAnsi="David" w:cs="David" w:hint="cs"/>
          <w:sz w:val="26"/>
          <w:szCs w:val="26"/>
          <w:rtl/>
        </w:rPr>
        <w:t xml:space="preserve"> או מקור לעמדה שמאית בכלל</w:t>
      </w:r>
      <w:r w:rsidR="00C27C98" w:rsidRPr="00697280">
        <w:rPr>
          <w:rFonts w:ascii="David" w:eastAsia="Times New Roman" w:hAnsi="David" w:cs="David" w:hint="cs"/>
          <w:sz w:val="26"/>
          <w:szCs w:val="26"/>
          <w:rtl/>
        </w:rPr>
        <w:t>.</w:t>
      </w:r>
    </w:p>
    <w:p w14:paraId="5F31CCB9" w14:textId="18ABB597" w:rsidR="006E6D59" w:rsidRPr="006E6D59" w:rsidRDefault="00FC2E7A" w:rsidP="00680FE0">
      <w:pPr>
        <w:numPr>
          <w:ilvl w:val="0"/>
          <w:numId w:val="1"/>
        </w:numPr>
        <w:tabs>
          <w:tab w:val="clear" w:pos="720"/>
        </w:tabs>
        <w:spacing w:beforeLines="120" w:before="288" w:afterLines="120" w:after="288" w:line="360" w:lineRule="auto"/>
        <w:ind w:left="84" w:hanging="567"/>
        <w:jc w:val="both"/>
        <w:rPr>
          <w:rFonts w:ascii="David" w:eastAsia="Times New Roman" w:hAnsi="David" w:cs="David"/>
          <w:sz w:val="26"/>
          <w:szCs w:val="26"/>
        </w:rPr>
      </w:pPr>
      <w:r>
        <w:rPr>
          <w:rFonts w:ascii="David" w:eastAsia="Times New Roman" w:hAnsi="David" w:cs="David" w:hint="cs"/>
          <w:sz w:val="26"/>
          <w:szCs w:val="26"/>
          <w:rtl/>
        </w:rPr>
        <w:t xml:space="preserve">כך </w:t>
      </w:r>
      <w:r w:rsidR="006E6D59" w:rsidRPr="006E6D59">
        <w:rPr>
          <w:rFonts w:ascii="David" w:eastAsia="Times New Roman" w:hAnsi="David" w:cs="David"/>
          <w:sz w:val="26"/>
          <w:szCs w:val="26"/>
          <w:rtl/>
        </w:rPr>
        <w:t>אף ההפניה לשומתה</w:t>
      </w:r>
      <w:r>
        <w:rPr>
          <w:rFonts w:ascii="David" w:eastAsia="Times New Roman" w:hAnsi="David" w:cs="David" w:hint="cs"/>
          <w:sz w:val="26"/>
          <w:szCs w:val="26"/>
          <w:rtl/>
        </w:rPr>
        <w:t xml:space="preserve"> </w:t>
      </w:r>
      <w:r w:rsidR="006E6D59" w:rsidRPr="006E6D59">
        <w:rPr>
          <w:rFonts w:ascii="David" w:eastAsia="Times New Roman" w:hAnsi="David" w:cs="David"/>
          <w:sz w:val="26"/>
          <w:szCs w:val="26"/>
          <w:rtl/>
        </w:rPr>
        <w:t>של השמאית</w:t>
      </w:r>
      <w:r>
        <w:rPr>
          <w:rFonts w:ascii="David" w:eastAsia="Times New Roman" w:hAnsi="David" w:cs="David" w:hint="cs"/>
          <w:sz w:val="26"/>
          <w:szCs w:val="26"/>
          <w:rtl/>
        </w:rPr>
        <w:t xml:space="preserve"> המכרעת</w:t>
      </w:r>
      <w:r w:rsidR="006E6D59" w:rsidRPr="006E6D59">
        <w:rPr>
          <w:rFonts w:ascii="David" w:eastAsia="Times New Roman" w:hAnsi="David" w:cs="David"/>
          <w:sz w:val="26"/>
          <w:szCs w:val="26"/>
          <w:rtl/>
        </w:rPr>
        <w:t xml:space="preserve"> גבע בלטר</w:t>
      </w:r>
      <w:r w:rsidR="004C2E0D">
        <w:rPr>
          <w:rFonts w:ascii="David" w:eastAsia="Times New Roman" w:hAnsi="David" w:cs="David" w:hint="cs"/>
          <w:sz w:val="26"/>
          <w:szCs w:val="26"/>
          <w:rtl/>
        </w:rPr>
        <w:t xml:space="preserve"> (בדימוס)</w:t>
      </w:r>
      <w:r w:rsidR="006E6D59" w:rsidRPr="006E6D59">
        <w:rPr>
          <w:rFonts w:ascii="David" w:eastAsia="Times New Roman" w:hAnsi="David" w:cs="David"/>
          <w:sz w:val="26"/>
          <w:szCs w:val="26"/>
          <w:rtl/>
        </w:rPr>
        <w:t xml:space="preserve"> עוסקת, לפי המתואר, בדחייה בקצב השיווק ובפגיעה בשווי המשרדים עקב מחסור בחניה.</w:t>
      </w:r>
    </w:p>
    <w:p w14:paraId="3924598D" w14:textId="086D440C" w:rsidR="006E6D59" w:rsidRPr="006E6D59" w:rsidRDefault="006E6D59" w:rsidP="00680FE0">
      <w:pPr>
        <w:numPr>
          <w:ilvl w:val="0"/>
          <w:numId w:val="1"/>
        </w:numPr>
        <w:tabs>
          <w:tab w:val="clear" w:pos="720"/>
        </w:tabs>
        <w:spacing w:beforeLines="120" w:before="288" w:afterLines="120" w:after="288" w:line="360" w:lineRule="auto"/>
        <w:ind w:left="84" w:hanging="567"/>
        <w:jc w:val="both"/>
        <w:rPr>
          <w:rFonts w:ascii="David" w:eastAsia="Times New Roman" w:hAnsi="David" w:cs="David"/>
          <w:sz w:val="26"/>
          <w:szCs w:val="26"/>
        </w:rPr>
      </w:pPr>
      <w:r w:rsidRPr="006E6D59">
        <w:rPr>
          <w:rFonts w:ascii="David" w:eastAsia="Times New Roman" w:hAnsi="David" w:cs="David"/>
          <w:sz w:val="26"/>
          <w:szCs w:val="26"/>
          <w:rtl/>
        </w:rPr>
        <w:lastRenderedPageBreak/>
        <w:t>חומר זה עשוי לתמוך בטענה הכללית, שאינה שנויה במחלוקת, כי לחניה יש ערך וכי מחסור בחניות עלול להקשות על שיווק משרדים ומסחר. ואולם, אין בכך תשובה לשאלה הכמותית שלפנינו: האם שוויו של מקום חניה במגרש 203 עולה על עלות הקמתו בסך 151,200 ש"ח. השמאי המכריע לא התעלם משווי החניה, אלא ייחס לה שווי של 129,600 ש"ח. כתבה עיתונאית בדבר יתרון שיווקי אינה מוכיחה כי שווי זה שגוי, ואינה תחליף לניתוח שמאי של המקרקעין הנדונים.</w:t>
      </w:r>
    </w:p>
    <w:p w14:paraId="003BEED2" w14:textId="77777777" w:rsidR="0005336C" w:rsidRDefault="006E6D59" w:rsidP="00680FE0">
      <w:pPr>
        <w:numPr>
          <w:ilvl w:val="0"/>
          <w:numId w:val="1"/>
        </w:numPr>
        <w:tabs>
          <w:tab w:val="clear" w:pos="720"/>
        </w:tabs>
        <w:spacing w:beforeLines="120" w:before="288" w:afterLines="120" w:after="288" w:line="360" w:lineRule="auto"/>
        <w:ind w:left="84" w:hanging="567"/>
        <w:jc w:val="both"/>
        <w:rPr>
          <w:rFonts w:ascii="David" w:eastAsia="Times New Roman" w:hAnsi="David" w:cs="David"/>
          <w:sz w:val="26"/>
          <w:szCs w:val="26"/>
        </w:rPr>
      </w:pPr>
      <w:r>
        <w:rPr>
          <w:rFonts w:ascii="David" w:eastAsia="Times New Roman" w:hAnsi="David" w:cs="David"/>
          <w:sz w:val="26"/>
          <w:szCs w:val="26"/>
          <w:rtl/>
        </w:rPr>
        <w:t>הדברים נכונים גם ביחס לשומות המכריעות האחרות שאליהן הפנתה שמאית הוועדה. לפי המתואר בתגובתה, בהכרעת השמאי המכריע ארז כהן, שנערכה ביחס לפרויקט "ביג"</w:t>
      </w:r>
      <w:r w:rsidR="000168E5">
        <w:rPr>
          <w:rFonts w:ascii="David" w:eastAsia="Times New Roman" w:hAnsi="David" w:cs="David" w:hint="cs"/>
          <w:sz w:val="26"/>
          <w:szCs w:val="26"/>
          <w:rtl/>
        </w:rPr>
        <w:t xml:space="preserve"> (הוועדה המקומית לא הציגה את מלוא נתוני השומה ומאפייני המקרקעין ואולם עולה כי מדובר במתחם ביג בפתח תקווה)</w:t>
      </w:r>
      <w:r>
        <w:rPr>
          <w:rFonts w:ascii="David" w:eastAsia="Times New Roman" w:hAnsi="David" w:cs="David"/>
          <w:sz w:val="26"/>
          <w:szCs w:val="26"/>
          <w:rtl/>
        </w:rPr>
        <w:t xml:space="preserve">, נקבע כי שווי החניות למשרדים תואם את עלות הקמתן – בהתאם להסכמת הצדדים. </w:t>
      </w:r>
      <w:r w:rsidR="007D4203">
        <w:rPr>
          <w:rFonts w:ascii="David" w:eastAsia="Times New Roman" w:hAnsi="David" w:cs="David" w:hint="cs"/>
          <w:sz w:val="26"/>
          <w:szCs w:val="26"/>
          <w:rtl/>
        </w:rPr>
        <w:t>אין חולק</w:t>
      </w:r>
      <w:r w:rsidR="000168E5">
        <w:rPr>
          <w:rFonts w:ascii="David" w:eastAsia="Times New Roman" w:hAnsi="David" w:cs="David" w:hint="cs"/>
          <w:sz w:val="26"/>
          <w:szCs w:val="26"/>
          <w:rtl/>
        </w:rPr>
        <w:t xml:space="preserve">, </w:t>
      </w:r>
      <w:r w:rsidR="007D4203">
        <w:rPr>
          <w:rFonts w:ascii="David" w:eastAsia="Times New Roman" w:hAnsi="David" w:cs="David" w:hint="cs"/>
          <w:sz w:val="26"/>
          <w:szCs w:val="26"/>
          <w:rtl/>
        </w:rPr>
        <w:t>כי</w:t>
      </w:r>
      <w:r>
        <w:rPr>
          <w:rFonts w:ascii="David" w:eastAsia="Times New Roman" w:hAnsi="David" w:cs="David"/>
          <w:sz w:val="26"/>
          <w:szCs w:val="26"/>
          <w:rtl/>
        </w:rPr>
        <w:t xml:space="preserve"> אין מדובר בהכרעה שמאית עצמאית בשאלת היחס שבין </w:t>
      </w:r>
      <w:r w:rsidR="0005336C">
        <w:rPr>
          <w:rFonts w:ascii="David" w:eastAsia="Times New Roman" w:hAnsi="David" w:cs="David" w:hint="cs"/>
          <w:sz w:val="26"/>
          <w:szCs w:val="26"/>
          <w:rtl/>
        </w:rPr>
        <w:t>שווי חניה</w:t>
      </w:r>
      <w:r>
        <w:rPr>
          <w:rFonts w:ascii="David" w:eastAsia="Times New Roman" w:hAnsi="David" w:cs="David"/>
          <w:sz w:val="26"/>
          <w:szCs w:val="26"/>
          <w:rtl/>
        </w:rPr>
        <w:t xml:space="preserve"> ל</w:t>
      </w:r>
      <w:r w:rsidR="0005336C">
        <w:rPr>
          <w:rFonts w:ascii="David" w:eastAsia="Times New Roman" w:hAnsi="David" w:cs="David" w:hint="cs"/>
          <w:sz w:val="26"/>
          <w:szCs w:val="26"/>
          <w:rtl/>
        </w:rPr>
        <w:t xml:space="preserve">בין </w:t>
      </w:r>
      <w:r>
        <w:rPr>
          <w:rFonts w:ascii="David" w:eastAsia="Times New Roman" w:hAnsi="David" w:cs="David"/>
          <w:sz w:val="26"/>
          <w:szCs w:val="26"/>
          <w:rtl/>
        </w:rPr>
        <w:t>עלות</w:t>
      </w:r>
      <w:r w:rsidR="00475B8B">
        <w:rPr>
          <w:rFonts w:ascii="David" w:eastAsia="Times New Roman" w:hAnsi="David" w:cs="David" w:hint="cs"/>
          <w:sz w:val="26"/>
          <w:szCs w:val="26"/>
          <w:rtl/>
        </w:rPr>
        <w:t xml:space="preserve"> ההקמה הנדרשת</w:t>
      </w:r>
      <w:r w:rsidR="0005336C">
        <w:rPr>
          <w:rFonts w:ascii="David" w:eastAsia="Times New Roman" w:hAnsi="David" w:cs="David" w:hint="cs"/>
          <w:sz w:val="26"/>
          <w:szCs w:val="26"/>
          <w:rtl/>
        </w:rPr>
        <w:t>,</w:t>
      </w:r>
      <w:r w:rsidR="00C61E22">
        <w:rPr>
          <w:rFonts w:ascii="David" w:eastAsia="Times New Roman" w:hAnsi="David" w:cs="David" w:hint="cs"/>
          <w:sz w:val="26"/>
          <w:szCs w:val="26"/>
          <w:rtl/>
        </w:rPr>
        <w:t xml:space="preserve"> ומוקשה מה ראתה הוועדה המקומית לבסס את קביעתה על עניין זה דווקא</w:t>
      </w:r>
      <w:r w:rsidR="00C34120">
        <w:rPr>
          <w:rFonts w:ascii="David" w:eastAsia="Times New Roman" w:hAnsi="David" w:cs="David" w:hint="cs"/>
          <w:sz w:val="26"/>
          <w:szCs w:val="26"/>
          <w:rtl/>
        </w:rPr>
        <w:t>, אשר נלקח ממקום אחר ובנסיבות אחרות, שלא הוצגו במלואן</w:t>
      </w:r>
      <w:r>
        <w:rPr>
          <w:rFonts w:ascii="David" w:eastAsia="Times New Roman" w:hAnsi="David" w:cs="David"/>
          <w:sz w:val="26"/>
          <w:szCs w:val="26"/>
          <w:rtl/>
        </w:rPr>
        <w:t xml:space="preserve">. </w:t>
      </w:r>
    </w:p>
    <w:p w14:paraId="1B5B6DD3" w14:textId="7A573FEA" w:rsidR="006E6D59" w:rsidRPr="006E6D59" w:rsidRDefault="006E6D59" w:rsidP="00680FE0">
      <w:pPr>
        <w:numPr>
          <w:ilvl w:val="0"/>
          <w:numId w:val="1"/>
        </w:numPr>
        <w:tabs>
          <w:tab w:val="clear" w:pos="720"/>
        </w:tabs>
        <w:spacing w:beforeLines="120" w:before="288" w:afterLines="120" w:after="288" w:line="360" w:lineRule="auto"/>
        <w:ind w:left="84" w:hanging="567"/>
        <w:jc w:val="both"/>
        <w:rPr>
          <w:rFonts w:ascii="David" w:eastAsia="Times New Roman" w:hAnsi="David" w:cs="David"/>
          <w:sz w:val="26"/>
          <w:szCs w:val="26"/>
        </w:rPr>
      </w:pPr>
      <w:r>
        <w:rPr>
          <w:rFonts w:ascii="David" w:eastAsia="Times New Roman" w:hAnsi="David" w:cs="David"/>
          <w:sz w:val="26"/>
          <w:szCs w:val="26"/>
          <w:rtl/>
        </w:rPr>
        <w:t>אשר להכרעת השמאי המכריע משה נדם, לפי המתואר היא נערכה ביחס לתכנית ח/3/152 באזור התעסוקה בחולון ולמועד קובע ביום 10.2.2015.</w:t>
      </w:r>
      <w:r w:rsidR="0031399B">
        <w:rPr>
          <w:rFonts w:ascii="David" w:eastAsia="Times New Roman" w:hAnsi="David" w:cs="David" w:hint="cs"/>
          <w:sz w:val="26"/>
          <w:szCs w:val="26"/>
          <w:rtl/>
        </w:rPr>
        <w:t xml:space="preserve"> אף בעניין זה אין מדובר בהשוואה קונקרטית המבהירה כי מדובר במאפיינים זהים המהווים ראיה בעלת משקל ממשי לעמדת הוועדה המקומית.</w:t>
      </w:r>
    </w:p>
    <w:p w14:paraId="5D0BF1FA" w14:textId="38740577" w:rsidR="006E6D59" w:rsidRPr="006E6D59" w:rsidRDefault="00744A7E" w:rsidP="00680FE0">
      <w:pPr>
        <w:numPr>
          <w:ilvl w:val="0"/>
          <w:numId w:val="1"/>
        </w:numPr>
        <w:tabs>
          <w:tab w:val="clear" w:pos="720"/>
        </w:tabs>
        <w:spacing w:beforeLines="120" w:before="288" w:afterLines="120" w:after="288" w:line="360" w:lineRule="auto"/>
        <w:ind w:left="84" w:hanging="567"/>
        <w:jc w:val="both"/>
        <w:rPr>
          <w:rFonts w:ascii="David" w:eastAsia="Times New Roman" w:hAnsi="David" w:cs="David"/>
          <w:sz w:val="26"/>
          <w:szCs w:val="26"/>
        </w:rPr>
      </w:pPr>
      <w:r>
        <w:rPr>
          <w:rFonts w:ascii="David" w:eastAsia="Times New Roman" w:hAnsi="David" w:cs="David" w:hint="cs"/>
          <w:sz w:val="26"/>
          <w:szCs w:val="26"/>
          <w:rtl/>
        </w:rPr>
        <w:t xml:space="preserve">מכל מקום בנתונים שהציגה, </w:t>
      </w:r>
      <w:r w:rsidR="006E6D59" w:rsidRPr="006E6D59">
        <w:rPr>
          <w:rFonts w:ascii="David" w:eastAsia="Times New Roman" w:hAnsi="David" w:cs="David"/>
          <w:sz w:val="26"/>
          <w:szCs w:val="26"/>
          <w:rtl/>
        </w:rPr>
        <w:t>הוועדה המקומית לא הראתה כי מדובר בחניונים הדומים לחניון המתוכנן במגרש 203 מבחינת מספר מפלסי החניה, עומקם</w:t>
      </w:r>
      <w:r w:rsidR="00654D2B">
        <w:rPr>
          <w:rFonts w:ascii="David" w:eastAsia="Times New Roman" w:hAnsi="David" w:cs="David" w:hint="cs"/>
          <w:sz w:val="26"/>
          <w:szCs w:val="26"/>
          <w:rtl/>
        </w:rPr>
        <w:t xml:space="preserve">, </w:t>
      </w:r>
      <w:r w:rsidR="00342209" w:rsidRPr="00342209">
        <w:rPr>
          <w:rFonts w:ascii="David" w:eastAsia="Times New Roman" w:hAnsi="David" w:cs="David"/>
          <w:sz w:val="26"/>
          <w:szCs w:val="26"/>
          <w:rtl/>
        </w:rPr>
        <w:t>מהם תנאי הקרקע והביסוס</w:t>
      </w:r>
      <w:r w:rsidR="006E6D59" w:rsidRPr="006E6D59">
        <w:rPr>
          <w:rFonts w:ascii="David" w:eastAsia="Times New Roman" w:hAnsi="David" w:cs="David"/>
          <w:sz w:val="26"/>
          <w:szCs w:val="26"/>
          <w:rtl/>
        </w:rPr>
        <w:t xml:space="preserve">, שטח הברוטו למקום חניה, עלויות הביצוע, השימושים העיליים, היקף הפרויקט, רמת הביקוש או תנאי השוק. לא בוצעה התאמה לפער </w:t>
      </w:r>
      <w:r w:rsidR="00A36E5B">
        <w:rPr>
          <w:rFonts w:ascii="David" w:eastAsia="Times New Roman" w:hAnsi="David" w:cs="David" w:hint="cs"/>
          <w:sz w:val="26"/>
          <w:szCs w:val="26"/>
          <w:rtl/>
        </w:rPr>
        <w:t>ה</w:t>
      </w:r>
      <w:r w:rsidR="006E6D59" w:rsidRPr="006E6D59">
        <w:rPr>
          <w:rFonts w:ascii="David" w:eastAsia="Times New Roman" w:hAnsi="David" w:cs="David"/>
          <w:sz w:val="26"/>
          <w:szCs w:val="26"/>
          <w:rtl/>
        </w:rPr>
        <w:t xml:space="preserve">שנים בין המועד הקובע </w:t>
      </w:r>
      <w:r w:rsidR="00A36E5B">
        <w:rPr>
          <w:rFonts w:ascii="David" w:eastAsia="Times New Roman" w:hAnsi="David" w:cs="David" w:hint="cs"/>
          <w:sz w:val="26"/>
          <w:szCs w:val="26"/>
          <w:rtl/>
        </w:rPr>
        <w:t>בשומות המכרעות הנ"ל</w:t>
      </w:r>
      <w:r w:rsidR="006E6D59" w:rsidRPr="006E6D59">
        <w:rPr>
          <w:rFonts w:ascii="David" w:eastAsia="Times New Roman" w:hAnsi="David" w:cs="David"/>
          <w:sz w:val="26"/>
          <w:szCs w:val="26"/>
          <w:rtl/>
        </w:rPr>
        <w:t xml:space="preserve"> לבין המועד הקובע בענייננו, ואף לא הוסבר מדוע פרויקט בחולון</w:t>
      </w:r>
      <w:r w:rsidR="0006653C">
        <w:rPr>
          <w:rFonts w:ascii="David" w:eastAsia="Times New Roman" w:hAnsi="David" w:cs="David" w:hint="cs"/>
          <w:sz w:val="26"/>
          <w:szCs w:val="26"/>
          <w:rtl/>
        </w:rPr>
        <w:t xml:space="preserve"> או בפתח תקווה</w:t>
      </w:r>
      <w:r w:rsidR="006E6D59" w:rsidRPr="006E6D59">
        <w:rPr>
          <w:rFonts w:ascii="David" w:eastAsia="Times New Roman" w:hAnsi="David" w:cs="David"/>
          <w:sz w:val="26"/>
          <w:szCs w:val="26"/>
          <w:rtl/>
        </w:rPr>
        <w:t xml:space="preserve"> משקף את שווי החניה ב</w:t>
      </w:r>
      <w:r w:rsidR="00FC71EA">
        <w:rPr>
          <w:rFonts w:ascii="David" w:eastAsia="Times New Roman" w:hAnsi="David" w:cs="David" w:hint="cs"/>
          <w:sz w:val="26"/>
          <w:szCs w:val="26"/>
          <w:rtl/>
        </w:rPr>
        <w:t>"</w:t>
      </w:r>
      <w:r w:rsidR="006E6D59" w:rsidRPr="006E6D59">
        <w:rPr>
          <w:rFonts w:ascii="David" w:eastAsia="Times New Roman" w:hAnsi="David" w:cs="David"/>
          <w:sz w:val="26"/>
          <w:szCs w:val="26"/>
          <w:rtl/>
        </w:rPr>
        <w:t>מתחם אופיס</w:t>
      </w:r>
      <w:r w:rsidR="00FC71EA">
        <w:rPr>
          <w:rFonts w:ascii="David" w:eastAsia="Times New Roman" w:hAnsi="David" w:cs="David" w:hint="cs"/>
          <w:sz w:val="26"/>
          <w:szCs w:val="26"/>
          <w:rtl/>
        </w:rPr>
        <w:t>"</w:t>
      </w:r>
      <w:r w:rsidR="006E6D59" w:rsidRPr="006E6D59">
        <w:rPr>
          <w:rFonts w:ascii="David" w:eastAsia="Times New Roman" w:hAnsi="David" w:cs="David"/>
          <w:sz w:val="26"/>
          <w:szCs w:val="26"/>
          <w:rtl/>
        </w:rPr>
        <w:t xml:space="preserve"> באזור.</w:t>
      </w:r>
    </w:p>
    <w:p w14:paraId="235B0567" w14:textId="0744D7B3" w:rsidR="006E6D59" w:rsidRPr="006E6D59" w:rsidRDefault="006E6D59" w:rsidP="00680FE0">
      <w:pPr>
        <w:numPr>
          <w:ilvl w:val="0"/>
          <w:numId w:val="1"/>
        </w:numPr>
        <w:tabs>
          <w:tab w:val="clear" w:pos="720"/>
        </w:tabs>
        <w:spacing w:beforeLines="120" w:before="288" w:afterLines="120" w:after="288" w:line="360" w:lineRule="auto"/>
        <w:ind w:left="84" w:hanging="567"/>
        <w:jc w:val="both"/>
        <w:rPr>
          <w:rFonts w:ascii="David" w:eastAsia="Times New Roman" w:hAnsi="David" w:cs="David"/>
          <w:sz w:val="26"/>
          <w:szCs w:val="26"/>
        </w:rPr>
      </w:pPr>
      <w:r w:rsidRPr="006E6D59">
        <w:rPr>
          <w:rFonts w:ascii="David" w:eastAsia="Times New Roman" w:hAnsi="David" w:cs="David"/>
          <w:sz w:val="26"/>
          <w:szCs w:val="26"/>
          <w:rtl/>
        </w:rPr>
        <w:t>כפי שהובהר בפרק שעסק בשומות נוספות ובעניין כפר ברנדייס,</w:t>
      </w:r>
      <w:r w:rsidR="00AD3D36">
        <w:rPr>
          <w:rFonts w:ascii="David" w:eastAsia="Times New Roman" w:hAnsi="David" w:cs="David" w:hint="cs"/>
          <w:sz w:val="26"/>
          <w:szCs w:val="26"/>
          <w:rtl/>
        </w:rPr>
        <w:t xml:space="preserve"> כאשר מדובר במקרקעין בעיר אחרת,</w:t>
      </w:r>
      <w:r w:rsidRPr="006E6D59">
        <w:rPr>
          <w:rFonts w:ascii="David" w:eastAsia="Times New Roman" w:hAnsi="David" w:cs="David"/>
          <w:sz w:val="26"/>
          <w:szCs w:val="26"/>
          <w:rtl/>
        </w:rPr>
        <w:t xml:space="preserve"> שומה מכרעת אחרת אינה תקדים שמאי המחייב תוצאה זהה. ניתן להסתייע בה כחומר מקצועי מסייע, אך משקלה תלוי בהוכחת הדמיון הקונקרטי בין המקרקעין, המועדים, הזכויות ומאפייני השומה. בענייננו, הדמיון הדרוש לא הוכח.</w:t>
      </w:r>
    </w:p>
    <w:p w14:paraId="2F2CAEF5" w14:textId="173FE5EA" w:rsidR="006E6D59" w:rsidRDefault="00722C74" w:rsidP="00680FE0">
      <w:pPr>
        <w:numPr>
          <w:ilvl w:val="0"/>
          <w:numId w:val="1"/>
        </w:numPr>
        <w:tabs>
          <w:tab w:val="clear" w:pos="720"/>
        </w:tabs>
        <w:spacing w:beforeLines="120" w:before="288" w:afterLines="120" w:after="288" w:line="360" w:lineRule="auto"/>
        <w:ind w:left="84" w:hanging="567"/>
        <w:jc w:val="both"/>
        <w:rPr>
          <w:rFonts w:ascii="David" w:eastAsia="Times New Roman" w:hAnsi="David" w:cs="David"/>
          <w:sz w:val="26"/>
          <w:szCs w:val="26"/>
        </w:rPr>
      </w:pPr>
      <w:r>
        <w:rPr>
          <w:rFonts w:ascii="David" w:eastAsia="Times New Roman" w:hAnsi="David" w:cs="David" w:hint="cs"/>
          <w:sz w:val="26"/>
          <w:szCs w:val="26"/>
          <w:rtl/>
        </w:rPr>
        <w:t>יוצא אפוא</w:t>
      </w:r>
      <w:r w:rsidR="00FA702F">
        <w:rPr>
          <w:rFonts w:ascii="David" w:eastAsia="Times New Roman" w:hAnsi="David" w:cs="David" w:hint="cs"/>
          <w:sz w:val="26"/>
          <w:szCs w:val="26"/>
          <w:rtl/>
        </w:rPr>
        <w:t>,</w:t>
      </w:r>
      <w:r w:rsidR="000B7644">
        <w:rPr>
          <w:rFonts w:ascii="David" w:eastAsia="Times New Roman" w:hAnsi="David" w:cs="David" w:hint="cs"/>
          <w:sz w:val="26"/>
          <w:szCs w:val="26"/>
          <w:rtl/>
        </w:rPr>
        <w:t xml:space="preserve"> כי</w:t>
      </w:r>
      <w:r>
        <w:rPr>
          <w:rFonts w:ascii="David" w:eastAsia="Times New Roman" w:hAnsi="David" w:cs="David" w:hint="cs"/>
          <w:sz w:val="26"/>
          <w:szCs w:val="26"/>
          <w:rtl/>
        </w:rPr>
        <w:t xml:space="preserve"> </w:t>
      </w:r>
      <w:r w:rsidR="006E6D59" w:rsidRPr="006E6D59">
        <w:rPr>
          <w:rFonts w:ascii="David" w:eastAsia="Times New Roman" w:hAnsi="David" w:cs="David"/>
          <w:sz w:val="26"/>
          <w:szCs w:val="26"/>
          <w:rtl/>
        </w:rPr>
        <w:t xml:space="preserve">הוועדה המקומית לא הציגה תחשיב מלא המראה כי התמורה הישירה והעקיפה המתקבלת מן החניות מכסה את עלות הקמתן. היא אף לא הציגה ניתוח של עסקאות השוואה המאפשר לקבוע כי השוק מייחס </w:t>
      </w:r>
      <w:r w:rsidR="000D053D" w:rsidRPr="000D053D">
        <w:rPr>
          <w:rFonts w:ascii="David" w:eastAsia="Times New Roman" w:hAnsi="David" w:cs="David"/>
          <w:sz w:val="26"/>
          <w:szCs w:val="26"/>
          <w:rtl/>
        </w:rPr>
        <w:t>לחניות בעלות מאפיינים דומים לאלו המתוכננות במגרש 203</w:t>
      </w:r>
      <w:r w:rsidR="000D053D">
        <w:rPr>
          <w:rFonts w:ascii="David" w:eastAsia="Times New Roman" w:hAnsi="David" w:cs="David" w:hint="cs"/>
          <w:sz w:val="26"/>
          <w:szCs w:val="26"/>
          <w:rtl/>
        </w:rPr>
        <w:t xml:space="preserve"> </w:t>
      </w:r>
      <w:r w:rsidR="006E6D59" w:rsidRPr="006E6D59">
        <w:rPr>
          <w:rFonts w:ascii="David" w:eastAsia="Times New Roman" w:hAnsi="David" w:cs="David"/>
          <w:sz w:val="26"/>
          <w:szCs w:val="26"/>
          <w:rtl/>
        </w:rPr>
        <w:t xml:space="preserve">שווי העולה על 151,200 </w:t>
      </w:r>
      <w:r w:rsidR="0027139A">
        <w:rPr>
          <w:rFonts w:ascii="David" w:eastAsia="Times New Roman" w:hAnsi="David" w:cs="David" w:hint="cs"/>
          <w:sz w:val="26"/>
          <w:szCs w:val="26"/>
          <w:rtl/>
        </w:rPr>
        <w:t xml:space="preserve">₪ (עלות ההקמה </w:t>
      </w:r>
      <w:r w:rsidR="0027139A">
        <w:rPr>
          <w:rFonts w:ascii="David" w:eastAsia="Times New Roman" w:hAnsi="David" w:cs="David"/>
          <w:sz w:val="26"/>
          <w:szCs w:val="26"/>
          <w:rtl/>
        </w:rPr>
        <w:t>–</w:t>
      </w:r>
      <w:r w:rsidR="0027139A">
        <w:rPr>
          <w:rFonts w:ascii="David" w:eastAsia="Times New Roman" w:hAnsi="David" w:cs="David" w:hint="cs"/>
          <w:sz w:val="26"/>
          <w:szCs w:val="26"/>
          <w:rtl/>
        </w:rPr>
        <w:t xml:space="preserve"> עמוד 81 לשומה </w:t>
      </w:r>
      <w:r w:rsidR="0027139A">
        <w:rPr>
          <w:rFonts w:ascii="David" w:eastAsia="Times New Roman" w:hAnsi="David" w:cs="David" w:hint="cs"/>
          <w:sz w:val="26"/>
          <w:szCs w:val="26"/>
          <w:rtl/>
        </w:rPr>
        <w:lastRenderedPageBreak/>
        <w:t>המכרעת)</w:t>
      </w:r>
      <w:r w:rsidR="006E6D59" w:rsidRPr="006E6D59">
        <w:rPr>
          <w:rFonts w:ascii="David" w:eastAsia="Times New Roman" w:hAnsi="David" w:cs="David"/>
          <w:sz w:val="26"/>
          <w:szCs w:val="26"/>
          <w:rtl/>
        </w:rPr>
        <w:t>. הצגת טבלה בלתי מנותחת, כתבה עיתונאית ושתי שומות ממקרקעין אחרים אינה ממלאת חסר זה.</w:t>
      </w:r>
    </w:p>
    <w:p w14:paraId="2C088CF5" w14:textId="769BEE95" w:rsidR="006E6D59" w:rsidRPr="006E6D59" w:rsidRDefault="006E6D59" w:rsidP="00680FE0">
      <w:pPr>
        <w:numPr>
          <w:ilvl w:val="0"/>
          <w:numId w:val="1"/>
        </w:numPr>
        <w:tabs>
          <w:tab w:val="clear" w:pos="720"/>
        </w:tabs>
        <w:spacing w:beforeLines="120" w:before="288" w:afterLines="120" w:after="288" w:line="360" w:lineRule="auto"/>
        <w:ind w:left="84" w:hanging="567"/>
        <w:jc w:val="both"/>
        <w:rPr>
          <w:rFonts w:ascii="David" w:eastAsia="Times New Roman" w:hAnsi="David" w:cs="David"/>
          <w:sz w:val="26"/>
          <w:szCs w:val="26"/>
        </w:rPr>
      </w:pPr>
      <w:r w:rsidRPr="006E6D59">
        <w:rPr>
          <w:rFonts w:ascii="David" w:eastAsia="Times New Roman" w:hAnsi="David" w:cs="David"/>
          <w:sz w:val="26"/>
          <w:szCs w:val="26"/>
          <w:rtl/>
        </w:rPr>
        <w:t>גם הטענה בדבר תרומת החניות לשווי השטחים העיליים נותרה כללית ולא כומתה. ככל שסברה הוועדה המקומית כי נוסף לשווי הישיר של החניה קיימת תרומת שווי נפרדת לשטחי המשרדים והמסחר, היה עליה להראות את שיעורה ולהסביר כיצד אינה כבר מגולמת במחירי העסקאות או בדמי השכירות.</w:t>
      </w:r>
    </w:p>
    <w:p w14:paraId="3F898DA6" w14:textId="77777777" w:rsidR="00C53E5F" w:rsidRDefault="006E6D59" w:rsidP="00680FE0">
      <w:pPr>
        <w:numPr>
          <w:ilvl w:val="0"/>
          <w:numId w:val="1"/>
        </w:numPr>
        <w:tabs>
          <w:tab w:val="clear" w:pos="720"/>
        </w:tabs>
        <w:spacing w:beforeLines="120" w:before="288" w:afterLines="120" w:after="288" w:line="360" w:lineRule="auto"/>
        <w:ind w:left="84" w:hanging="567"/>
        <w:jc w:val="both"/>
        <w:rPr>
          <w:rFonts w:ascii="David" w:eastAsia="Times New Roman" w:hAnsi="David" w:cs="David"/>
          <w:sz w:val="26"/>
          <w:szCs w:val="26"/>
        </w:rPr>
      </w:pPr>
      <w:r>
        <w:rPr>
          <w:rFonts w:ascii="David" w:eastAsia="Times New Roman" w:hAnsi="David" w:cs="David"/>
          <w:sz w:val="26"/>
          <w:szCs w:val="26"/>
          <w:rtl/>
        </w:rPr>
        <w:t>הדבר מקבל משנה תוקף שעה שבבחינת שווי ייעודי המסחר והתעסוקה נוטרל רכיב החניה, כך שהשווי שנקבע אינו מגלם חניה. גם שמאית הוועדה המקומית הפחיתה שווי קבוע בגין החניות כדי לחלץ את שווי השטח הבנוי. מכאן שלא ניתן להסתפק באמירה כללית שלפיה החניה תורמת</w:t>
      </w:r>
      <w:r w:rsidR="00FA13D9">
        <w:rPr>
          <w:rFonts w:ascii="David" w:eastAsia="Times New Roman" w:hAnsi="David" w:cs="David" w:hint="cs"/>
          <w:sz w:val="26"/>
          <w:szCs w:val="26"/>
          <w:rtl/>
        </w:rPr>
        <w:t xml:space="preserve"> לשווי</w:t>
      </w:r>
      <w:r>
        <w:rPr>
          <w:rFonts w:ascii="David" w:eastAsia="Times New Roman" w:hAnsi="David" w:cs="David"/>
          <w:sz w:val="26"/>
          <w:szCs w:val="26"/>
          <w:rtl/>
        </w:rPr>
        <w:t>, אלא נדרש להראות באופן מספרי כי קיימת תרומה עודפת שלא קיבלה ביטוי בתחשיבי</w:t>
      </w:r>
      <w:r w:rsidR="001655BC">
        <w:rPr>
          <w:rFonts w:ascii="David" w:eastAsia="Times New Roman" w:hAnsi="David" w:cs="David" w:hint="cs"/>
          <w:sz w:val="26"/>
          <w:szCs w:val="26"/>
          <w:rtl/>
        </w:rPr>
        <w:t>ם</w:t>
      </w:r>
      <w:r w:rsidR="006C35DC">
        <w:rPr>
          <w:rFonts w:ascii="David" w:eastAsia="Times New Roman" w:hAnsi="David" w:cs="David" w:hint="cs"/>
          <w:sz w:val="26"/>
          <w:szCs w:val="26"/>
          <w:rtl/>
        </w:rPr>
        <w:t xml:space="preserve">. </w:t>
      </w:r>
    </w:p>
    <w:p w14:paraId="2CE8746B" w14:textId="1BBF9E87" w:rsidR="006E6D59" w:rsidRPr="006E6D59" w:rsidRDefault="006C35DC" w:rsidP="00680FE0">
      <w:pPr>
        <w:numPr>
          <w:ilvl w:val="0"/>
          <w:numId w:val="1"/>
        </w:numPr>
        <w:tabs>
          <w:tab w:val="clear" w:pos="720"/>
        </w:tabs>
        <w:spacing w:beforeLines="120" w:before="288" w:afterLines="120" w:after="288" w:line="360" w:lineRule="auto"/>
        <w:ind w:left="84" w:hanging="567"/>
        <w:jc w:val="both"/>
        <w:rPr>
          <w:rFonts w:ascii="David" w:eastAsia="Times New Roman" w:hAnsi="David" w:cs="David"/>
          <w:sz w:val="26"/>
          <w:szCs w:val="26"/>
        </w:rPr>
      </w:pPr>
      <w:r>
        <w:rPr>
          <w:rFonts w:ascii="David" w:eastAsia="Times New Roman" w:hAnsi="David" w:cs="David" w:hint="cs"/>
          <w:sz w:val="26"/>
          <w:szCs w:val="26"/>
          <w:rtl/>
        </w:rPr>
        <w:t>כמו"כ</w:t>
      </w:r>
      <w:r w:rsidR="00BC12BA">
        <w:rPr>
          <w:rFonts w:ascii="David" w:eastAsia="Times New Roman" w:hAnsi="David" w:cs="David" w:hint="cs"/>
          <w:sz w:val="26"/>
          <w:szCs w:val="26"/>
          <w:rtl/>
        </w:rPr>
        <w:t>,</w:t>
      </w:r>
      <w:r>
        <w:rPr>
          <w:rFonts w:ascii="David" w:eastAsia="Times New Roman" w:hAnsi="David" w:cs="David" w:hint="cs"/>
          <w:sz w:val="26"/>
          <w:szCs w:val="26"/>
          <w:rtl/>
        </w:rPr>
        <w:t xml:space="preserve"> נוכח העובדה כי בבחינת שווי ייעודי המסחר והתעסוקה נוטרל רכיב החניה על בסיס שווי של כ -</w:t>
      </w:r>
      <w:r w:rsidR="00C060EC">
        <w:rPr>
          <w:rFonts w:ascii="David" w:eastAsia="Times New Roman" w:hAnsi="David" w:cs="David" w:hint="cs"/>
          <w:sz w:val="26"/>
          <w:szCs w:val="26"/>
          <w:rtl/>
        </w:rPr>
        <w:t xml:space="preserve"> </w:t>
      </w:r>
      <w:r>
        <w:rPr>
          <w:rFonts w:ascii="David" w:eastAsia="Times New Roman" w:hAnsi="David" w:cs="David" w:hint="cs"/>
          <w:sz w:val="26"/>
          <w:szCs w:val="26"/>
          <w:rtl/>
        </w:rPr>
        <w:t xml:space="preserve">130,000 ₪, הרי שנטרול שווי גבוה יותר ישנה ויפחית את שוויו של מ"ר מבונה </w:t>
      </w:r>
      <w:r>
        <w:rPr>
          <w:rFonts w:ascii="David" w:eastAsia="Times New Roman" w:hAnsi="David" w:cs="David"/>
          <w:sz w:val="26"/>
          <w:szCs w:val="26"/>
          <w:rtl/>
        </w:rPr>
        <w:t>–</w:t>
      </w:r>
      <w:r>
        <w:rPr>
          <w:rFonts w:ascii="David" w:eastAsia="Times New Roman" w:hAnsi="David" w:cs="David" w:hint="cs"/>
          <w:sz w:val="26"/>
          <w:szCs w:val="26"/>
          <w:rtl/>
        </w:rPr>
        <w:t xml:space="preserve"> אף עניין זה כאמור לא נלקח בשיקולי העמדה המתוקנת שהוצגה על ידי הוועדה המקומית בעניין שווי מקומות החניה</w:t>
      </w:r>
      <w:r w:rsidR="006E6D59">
        <w:rPr>
          <w:rFonts w:ascii="David" w:eastAsia="Times New Roman" w:hAnsi="David" w:cs="David"/>
          <w:sz w:val="26"/>
          <w:szCs w:val="26"/>
          <w:rtl/>
        </w:rPr>
        <w:t>.</w:t>
      </w:r>
    </w:p>
    <w:p w14:paraId="29900ED8" w14:textId="2F1E6E8B" w:rsidR="006E6D59" w:rsidRPr="006E6D59" w:rsidRDefault="00DB0BD1" w:rsidP="00680FE0">
      <w:pPr>
        <w:numPr>
          <w:ilvl w:val="0"/>
          <w:numId w:val="1"/>
        </w:numPr>
        <w:tabs>
          <w:tab w:val="clear" w:pos="720"/>
        </w:tabs>
        <w:spacing w:beforeLines="120" w:before="288" w:afterLines="120" w:after="288" w:line="360" w:lineRule="auto"/>
        <w:ind w:left="84" w:hanging="567"/>
        <w:jc w:val="both"/>
        <w:rPr>
          <w:rFonts w:ascii="David" w:eastAsia="Times New Roman" w:hAnsi="David" w:cs="David"/>
          <w:sz w:val="26"/>
          <w:szCs w:val="26"/>
        </w:rPr>
      </w:pPr>
      <w:r>
        <w:rPr>
          <w:rFonts w:ascii="David" w:eastAsia="Times New Roman" w:hAnsi="David" w:cs="David" w:hint="cs"/>
          <w:sz w:val="26"/>
          <w:szCs w:val="26"/>
          <w:rtl/>
        </w:rPr>
        <w:t>לפיכך</w:t>
      </w:r>
      <w:r w:rsidR="006E6D59" w:rsidRPr="006E6D59">
        <w:rPr>
          <w:rFonts w:ascii="David" w:eastAsia="Times New Roman" w:hAnsi="David" w:cs="David"/>
          <w:sz w:val="26"/>
          <w:szCs w:val="26"/>
          <w:rtl/>
        </w:rPr>
        <w:t>, לא מצאנו כי הוועדה המקומית הניחה תשתית המצדיקה התערבות בעצם קביעתו של השמאי המכריע כי קיימת עלות עודפת להקמת החניות.</w:t>
      </w:r>
    </w:p>
    <w:p w14:paraId="1C729EF7" w14:textId="77777777" w:rsidR="006E6D59" w:rsidRPr="00C917BB" w:rsidRDefault="006E6D59" w:rsidP="006E6D59">
      <w:pPr>
        <w:spacing w:beforeLines="120" w:before="288" w:afterLines="120" w:after="288" w:line="360" w:lineRule="auto"/>
        <w:jc w:val="both"/>
        <w:rPr>
          <w:rFonts w:ascii="David" w:eastAsia="Times New Roman" w:hAnsi="David" w:cs="David"/>
          <w:b/>
          <w:bCs/>
          <w:sz w:val="26"/>
          <w:szCs w:val="26"/>
          <w:u w:val="single"/>
        </w:rPr>
      </w:pPr>
      <w:r w:rsidRPr="00C917BB">
        <w:rPr>
          <w:rFonts w:ascii="David" w:eastAsia="Times New Roman" w:hAnsi="David" w:cs="David"/>
          <w:b/>
          <w:bCs/>
          <w:sz w:val="26"/>
          <w:szCs w:val="26"/>
          <w:u w:val="single"/>
          <w:rtl/>
        </w:rPr>
        <w:t>ג. השיטה השמאית לקביעת שווי החניה</w:t>
      </w:r>
    </w:p>
    <w:p w14:paraId="5FB88115" w14:textId="77777777" w:rsidR="00565EA9" w:rsidRPr="00565EA9" w:rsidRDefault="00565EA9" w:rsidP="00680FE0">
      <w:pPr>
        <w:numPr>
          <w:ilvl w:val="0"/>
          <w:numId w:val="1"/>
        </w:numPr>
        <w:tabs>
          <w:tab w:val="clear" w:pos="720"/>
        </w:tabs>
        <w:spacing w:beforeLines="120" w:before="288" w:afterLines="120" w:after="288" w:line="360" w:lineRule="auto"/>
        <w:ind w:left="84" w:hanging="567"/>
        <w:jc w:val="both"/>
        <w:rPr>
          <w:rFonts w:ascii="David" w:eastAsia="Times New Roman" w:hAnsi="David" w:cs="David"/>
          <w:sz w:val="26"/>
          <w:szCs w:val="26"/>
          <w:rtl/>
        </w:rPr>
      </w:pPr>
      <w:r w:rsidRPr="00565EA9">
        <w:rPr>
          <w:rFonts w:ascii="David" w:eastAsia="Times New Roman" w:hAnsi="David" w:cs="David"/>
          <w:sz w:val="26"/>
          <w:szCs w:val="26"/>
          <w:rtl/>
        </w:rPr>
        <w:t>נותרה אפוא טענת הוועדה המקומית שלפיה היה על השמאי המכריע להעדיף את גישת ההשוואה לעסקאות מכר על פני גישת היוון ההכנסות שבה עשה שימוש לצורך קביעת שוויו של מקום חניה.</w:t>
      </w:r>
    </w:p>
    <w:p w14:paraId="443CE5C3" w14:textId="51091447" w:rsidR="00565EA9" w:rsidRPr="00565EA9" w:rsidRDefault="00565EA9" w:rsidP="00680FE0">
      <w:pPr>
        <w:numPr>
          <w:ilvl w:val="0"/>
          <w:numId w:val="1"/>
        </w:numPr>
        <w:tabs>
          <w:tab w:val="clear" w:pos="720"/>
        </w:tabs>
        <w:spacing w:beforeLines="120" w:before="288" w:afterLines="120" w:after="288" w:line="360" w:lineRule="auto"/>
        <w:ind w:left="84" w:hanging="567"/>
        <w:jc w:val="both"/>
        <w:rPr>
          <w:rFonts w:ascii="David" w:eastAsia="Times New Roman" w:hAnsi="David" w:cs="David"/>
          <w:sz w:val="26"/>
          <w:szCs w:val="26"/>
          <w:rtl/>
        </w:rPr>
      </w:pPr>
      <w:r>
        <w:rPr>
          <w:rFonts w:ascii="David" w:eastAsia="Times New Roman" w:hAnsi="David" w:cs="David"/>
          <w:sz w:val="26"/>
          <w:szCs w:val="26"/>
          <w:rtl/>
        </w:rPr>
        <w:t>כמפורט בהרחבה בפרק הקודם, תוצאת השומה המכרעת אינה רחוקה מן הנתונים שהציגה הוועדה המקומית</w:t>
      </w:r>
      <w:r w:rsidR="00EF2ED3">
        <w:rPr>
          <w:rFonts w:ascii="David" w:eastAsia="Times New Roman" w:hAnsi="David" w:cs="David" w:hint="cs"/>
          <w:sz w:val="26"/>
          <w:szCs w:val="26"/>
          <w:rtl/>
        </w:rPr>
        <w:t xml:space="preserve"> בשומתה ואף מן הנתונים המיוחסים לאזור שהוצגו בעמדה </w:t>
      </w:r>
      <w:r w:rsidR="00E31C0D">
        <w:rPr>
          <w:rFonts w:ascii="David" w:eastAsia="Times New Roman" w:hAnsi="David" w:cs="David" w:hint="cs"/>
          <w:sz w:val="26"/>
          <w:szCs w:val="26"/>
          <w:rtl/>
        </w:rPr>
        <w:t>המאוחרת</w:t>
      </w:r>
      <w:r w:rsidR="00EF2ED3">
        <w:rPr>
          <w:rFonts w:ascii="David" w:eastAsia="Times New Roman" w:hAnsi="David" w:cs="David" w:hint="cs"/>
          <w:sz w:val="26"/>
          <w:szCs w:val="26"/>
          <w:rtl/>
        </w:rPr>
        <w:t>,</w:t>
      </w:r>
      <w:r>
        <w:rPr>
          <w:rFonts w:ascii="David" w:eastAsia="Times New Roman" w:hAnsi="David" w:cs="David"/>
          <w:sz w:val="26"/>
          <w:szCs w:val="26"/>
          <w:rtl/>
        </w:rPr>
        <w:t xml:space="preserve"> אלא מתיישבת עמם במידה רבה. השווי שקבע השמאי המכריע, בסך של 129,600 ש"ח למקום חניה, כמעט זהה לשווי של 130,000 ש"ח למקום חניה שבו עשתה שמאית הוועדה שימוש שיטתי בשומתה המקורית. הוא אף קרוב לממוצע שלוש עסקאות החניה באזור שהציגה הוועדה המקומית בתגובתה המאוחרת, העומד על 136,187 ש"ח.</w:t>
      </w:r>
    </w:p>
    <w:p w14:paraId="6F47379D" w14:textId="5C2C17F1" w:rsidR="00565EA9" w:rsidRDefault="00565EA9" w:rsidP="00680FE0">
      <w:pPr>
        <w:numPr>
          <w:ilvl w:val="0"/>
          <w:numId w:val="1"/>
        </w:numPr>
        <w:tabs>
          <w:tab w:val="clear" w:pos="720"/>
        </w:tabs>
        <w:spacing w:beforeLines="120" w:before="288" w:afterLines="120" w:after="288" w:line="360" w:lineRule="auto"/>
        <w:ind w:left="84" w:hanging="567"/>
        <w:jc w:val="both"/>
        <w:rPr>
          <w:rFonts w:ascii="David" w:eastAsia="Times New Roman" w:hAnsi="David" w:cs="David"/>
          <w:sz w:val="26"/>
          <w:szCs w:val="26"/>
        </w:rPr>
      </w:pPr>
      <w:r w:rsidRPr="00565EA9">
        <w:rPr>
          <w:rFonts w:ascii="David" w:eastAsia="Times New Roman" w:hAnsi="David" w:cs="David"/>
          <w:sz w:val="26"/>
          <w:szCs w:val="26"/>
          <w:rtl/>
        </w:rPr>
        <w:t>די בנתונים אלה כדי לדחות את הטענה כי השיטה שבה נקט השמאי המכריע הוליכה לתוצאה מנותקת מן השוק או לתוצאה הלוקה בדופי חמור. עם זאת, נידרש גם לטענה המתודולוגית לגופה.</w:t>
      </w:r>
    </w:p>
    <w:p w14:paraId="229F4DE5" w14:textId="77777777" w:rsidR="00B10E47" w:rsidRPr="00565EA9" w:rsidRDefault="00B10E47" w:rsidP="00B10E47">
      <w:pPr>
        <w:spacing w:beforeLines="120" w:before="288" w:afterLines="120" w:after="288" w:line="360" w:lineRule="auto"/>
        <w:ind w:left="84"/>
        <w:jc w:val="both"/>
        <w:rPr>
          <w:rFonts w:ascii="David" w:eastAsia="Times New Roman" w:hAnsi="David" w:cs="David"/>
          <w:sz w:val="26"/>
          <w:szCs w:val="26"/>
          <w:rtl/>
        </w:rPr>
      </w:pPr>
    </w:p>
    <w:p w14:paraId="1A2D70B5" w14:textId="77777777" w:rsidR="00565EA9" w:rsidRPr="00565EA9" w:rsidRDefault="00565EA9" w:rsidP="00680FE0">
      <w:pPr>
        <w:numPr>
          <w:ilvl w:val="0"/>
          <w:numId w:val="1"/>
        </w:numPr>
        <w:tabs>
          <w:tab w:val="clear" w:pos="720"/>
        </w:tabs>
        <w:spacing w:beforeLines="120" w:before="288" w:afterLines="120" w:after="288" w:line="360" w:lineRule="auto"/>
        <w:ind w:left="84" w:hanging="567"/>
        <w:jc w:val="both"/>
        <w:rPr>
          <w:rFonts w:ascii="David" w:eastAsia="Times New Roman" w:hAnsi="David" w:cs="David"/>
          <w:sz w:val="26"/>
          <w:szCs w:val="26"/>
          <w:rtl/>
        </w:rPr>
      </w:pPr>
      <w:r w:rsidRPr="00565EA9">
        <w:rPr>
          <w:rFonts w:ascii="David" w:eastAsia="Times New Roman" w:hAnsi="David" w:cs="David"/>
          <w:sz w:val="26"/>
          <w:szCs w:val="26"/>
          <w:rtl/>
        </w:rPr>
        <w:t xml:space="preserve">נקודת המוצא היא כי גישת ההשוואה היא, ככלל, הגישה השמאית המועדפת, מקום שבו קיימות עסקאות השוואה מהימנות, דומות ורלוונטיות. על בכורתה של גישת ההשוואה עמדנו בהרחבה בערר (תל אביב-יפו) 81077-07-21 </w:t>
      </w:r>
      <w:r w:rsidRPr="00A6430E">
        <w:rPr>
          <w:rFonts w:ascii="David" w:eastAsia="Times New Roman" w:hAnsi="David" w:cs="David"/>
          <w:b/>
          <w:bCs/>
          <w:sz w:val="26"/>
          <w:szCs w:val="26"/>
          <w:rtl/>
        </w:rPr>
        <w:t>הוועדה המקומית לתכנון ולבניה תל אביב נ' אברהם כספי ז"ל</w:t>
      </w:r>
      <w:r w:rsidRPr="00565EA9">
        <w:rPr>
          <w:rFonts w:ascii="David" w:eastAsia="Times New Roman" w:hAnsi="David" w:cs="David"/>
          <w:sz w:val="26"/>
          <w:szCs w:val="26"/>
          <w:rtl/>
        </w:rPr>
        <w:t xml:space="preserve"> (נבו, 19.8.2024). ערעור על החלטה זו נדחה בעמ"נ (ת"א) 24406-11-24 </w:t>
      </w:r>
      <w:r w:rsidRPr="0074470A">
        <w:rPr>
          <w:rFonts w:ascii="David" w:eastAsia="Times New Roman" w:hAnsi="David" w:cs="David"/>
          <w:b/>
          <w:bCs/>
          <w:sz w:val="26"/>
          <w:szCs w:val="26"/>
          <w:rtl/>
        </w:rPr>
        <w:t>ועדה מקומית לתכנון ובניה תל אביב נ' כספי (המנוח) ואח'</w:t>
      </w:r>
      <w:r w:rsidRPr="00565EA9">
        <w:rPr>
          <w:rFonts w:ascii="David" w:eastAsia="Times New Roman" w:hAnsi="David" w:cs="David"/>
          <w:sz w:val="26"/>
          <w:szCs w:val="26"/>
          <w:rtl/>
        </w:rPr>
        <w:t xml:space="preserve"> (נבו, 18.5.2025). ראו גם עמ"נ (ת"א) 18341-09-24 </w:t>
      </w:r>
      <w:r w:rsidRPr="000D41EB">
        <w:rPr>
          <w:rFonts w:ascii="David" w:eastAsia="Times New Roman" w:hAnsi="David" w:cs="David"/>
          <w:b/>
          <w:bCs/>
          <w:sz w:val="26"/>
          <w:szCs w:val="26"/>
          <w:rtl/>
        </w:rPr>
        <w:t>הוועדה המקומית לתכנון ולבניה תל אביב-יפו נ' נועה לב</w:t>
      </w:r>
      <w:r w:rsidRPr="00565EA9">
        <w:rPr>
          <w:rFonts w:ascii="David" w:eastAsia="Times New Roman" w:hAnsi="David" w:cs="David"/>
          <w:sz w:val="26"/>
          <w:szCs w:val="26"/>
          <w:rtl/>
        </w:rPr>
        <w:t xml:space="preserve"> (נבו, 26.6.2025).</w:t>
      </w:r>
    </w:p>
    <w:p w14:paraId="5C498E2B" w14:textId="24036AAA" w:rsidR="00565EA9" w:rsidRPr="00565EA9" w:rsidRDefault="00565EA9" w:rsidP="00680FE0">
      <w:pPr>
        <w:numPr>
          <w:ilvl w:val="0"/>
          <w:numId w:val="1"/>
        </w:numPr>
        <w:tabs>
          <w:tab w:val="clear" w:pos="720"/>
        </w:tabs>
        <w:spacing w:beforeLines="120" w:before="288" w:afterLines="120" w:after="288" w:line="360" w:lineRule="auto"/>
        <w:ind w:left="84" w:hanging="567"/>
        <w:jc w:val="both"/>
        <w:rPr>
          <w:rFonts w:ascii="David" w:eastAsia="Times New Roman" w:hAnsi="David" w:cs="David"/>
          <w:sz w:val="26"/>
          <w:szCs w:val="26"/>
          <w:rtl/>
        </w:rPr>
      </w:pPr>
      <w:r>
        <w:rPr>
          <w:rFonts w:ascii="David" w:eastAsia="Times New Roman" w:hAnsi="David" w:cs="David"/>
          <w:sz w:val="26"/>
          <w:szCs w:val="26"/>
          <w:rtl/>
        </w:rPr>
        <w:t>ואולם, אין ללמוד מן האסמכתאות האמורות כי עצם הצגתה של טבלת עסקאות מכר מחייבת את השמאי המכריע לזנוח כל גישה אחרת. בכורתה של גישת ההשוואה מותנית בקיומן של עסקאות ישירות, רלוונטיות ובנות השוואה, ואינה מוקנית לכל מקבץ עסקאות בלא בחינת מאפייניו ומידת התאמתו לנכס הנישום. הבחנה זו תיושם להלן גם ביחס לעניין נועה לב.</w:t>
      </w:r>
    </w:p>
    <w:p w14:paraId="0CDFED3A" w14:textId="77777777" w:rsidR="00565EA9" w:rsidRPr="00565EA9" w:rsidRDefault="00565EA9" w:rsidP="00680FE0">
      <w:pPr>
        <w:numPr>
          <w:ilvl w:val="0"/>
          <w:numId w:val="1"/>
        </w:numPr>
        <w:tabs>
          <w:tab w:val="clear" w:pos="720"/>
        </w:tabs>
        <w:spacing w:beforeLines="120" w:before="288" w:afterLines="120" w:after="288" w:line="360" w:lineRule="auto"/>
        <w:ind w:left="84" w:hanging="567"/>
        <w:jc w:val="both"/>
        <w:rPr>
          <w:rFonts w:ascii="David" w:eastAsia="Times New Roman" w:hAnsi="David" w:cs="David"/>
          <w:sz w:val="26"/>
          <w:szCs w:val="26"/>
          <w:rtl/>
        </w:rPr>
      </w:pPr>
      <w:r w:rsidRPr="00565EA9">
        <w:rPr>
          <w:rFonts w:ascii="David" w:eastAsia="Times New Roman" w:hAnsi="David" w:cs="David"/>
          <w:sz w:val="26"/>
          <w:szCs w:val="26"/>
          <w:rtl/>
        </w:rPr>
        <w:t>שונים הדברים בענייננו. עסקינן בקביעת שוויו של מקום חניה בפרויקט מעורב של מסחר ותעסוקה. עסקאות החניה שהציגה הוועדה המקומית אינן מתייחסות לחניות באותו פרויקט; ארבע מהן נערכו בחולון ושלוש באזור; ואף לא הוצגו לגביהן נתונים בסיסיים המאפשרים לקבוע כי הן דומות לחניות המתוכננות במגרש 203. מכאן שאין בעצם קיומן כדי להקנות להן עדיפות אוטומטית על פני נתוני שכירות של מקומות חניה.</w:t>
      </w:r>
    </w:p>
    <w:p w14:paraId="059C893D" w14:textId="77777777" w:rsidR="00565EA9" w:rsidRPr="00565EA9" w:rsidRDefault="00565EA9" w:rsidP="00680FE0">
      <w:pPr>
        <w:numPr>
          <w:ilvl w:val="0"/>
          <w:numId w:val="1"/>
        </w:numPr>
        <w:tabs>
          <w:tab w:val="clear" w:pos="720"/>
        </w:tabs>
        <w:spacing w:beforeLines="120" w:before="288" w:afterLines="120" w:after="288" w:line="360" w:lineRule="auto"/>
        <w:ind w:left="84" w:hanging="567"/>
        <w:jc w:val="both"/>
        <w:rPr>
          <w:rFonts w:ascii="David" w:eastAsia="Times New Roman" w:hAnsi="David" w:cs="David"/>
          <w:sz w:val="26"/>
          <w:szCs w:val="26"/>
          <w:rtl/>
        </w:rPr>
      </w:pPr>
      <w:r>
        <w:rPr>
          <w:rFonts w:ascii="David" w:eastAsia="Times New Roman" w:hAnsi="David" w:cs="David"/>
          <w:sz w:val="26"/>
          <w:szCs w:val="26"/>
          <w:rtl/>
        </w:rPr>
        <w:t>התקינה השמאית העדכנית מחזקת מסקנה זו. תקן 2.1 בדבר "יישום גישות השומה בשומות מקרקעין לנכסים בנויים למגורים, תעסוקה, תעשיה ומסחר", שהוא התקן המרכזי כיום בסוגיה זו, אינו רואה בגישת היוון ההכנסות גישה משנית או בלתי מתאימה לנכס עסקי. להפך, בסעיף 5.1 לתקן, שכותרתו "רמת התוקף של גישת היוון ההכנסות", נקבע במפורש:</w:t>
      </w:r>
    </w:p>
    <w:p w14:paraId="60C002BD" w14:textId="77777777" w:rsidR="00565EA9" w:rsidRPr="00FF0423" w:rsidRDefault="00565EA9" w:rsidP="00FF0423">
      <w:pPr>
        <w:spacing w:beforeLines="120" w:before="288" w:afterLines="120" w:after="288" w:line="360" w:lineRule="auto"/>
        <w:ind w:left="793" w:right="284"/>
        <w:jc w:val="both"/>
        <w:rPr>
          <w:rFonts w:ascii="David" w:eastAsia="Times New Roman" w:hAnsi="David" w:cs="David"/>
          <w:b/>
          <w:bCs/>
          <w:rtl/>
        </w:rPr>
      </w:pPr>
      <w:r w:rsidRPr="00FF0423">
        <w:rPr>
          <w:rFonts w:ascii="David" w:eastAsia="Times New Roman" w:hAnsi="David" w:cs="David"/>
          <w:b/>
          <w:bCs/>
          <w:rtl/>
        </w:rPr>
        <w:t>"גישת היוון ההכנסות היא גישה בעלת תוקף גבוה בשומה לנכסים עיסקיים בנויים (ראו טבלה בסעיף 3.1 לעיל)."</w:t>
      </w:r>
    </w:p>
    <w:p w14:paraId="4D1D5F8F" w14:textId="00F1E250" w:rsidR="00565EA9" w:rsidRPr="00565EA9" w:rsidRDefault="00565EA9" w:rsidP="00680FE0">
      <w:pPr>
        <w:numPr>
          <w:ilvl w:val="0"/>
          <w:numId w:val="1"/>
        </w:numPr>
        <w:tabs>
          <w:tab w:val="clear" w:pos="720"/>
        </w:tabs>
        <w:spacing w:beforeLines="120" w:before="288" w:afterLines="120" w:after="288" w:line="360" w:lineRule="auto"/>
        <w:ind w:left="84" w:hanging="567"/>
        <w:jc w:val="both"/>
        <w:rPr>
          <w:rFonts w:ascii="David" w:eastAsia="Times New Roman" w:hAnsi="David" w:cs="David"/>
          <w:sz w:val="26"/>
          <w:szCs w:val="26"/>
          <w:rtl/>
        </w:rPr>
      </w:pPr>
      <w:r>
        <w:rPr>
          <w:rFonts w:ascii="David" w:eastAsia="Times New Roman" w:hAnsi="David" w:cs="David"/>
          <w:sz w:val="26"/>
          <w:szCs w:val="26"/>
          <w:rtl/>
        </w:rPr>
        <w:t>מכאן, שעצם בחירתו של השמאי המכריע בגישת היוון ההכנסות לצורך קביעת שווי מקום חניה המשמש פרויקט מסחרי ומשרדי עולה בקנה אחד עם התקינה השמאית העדכנית, המייחסת לגישה זו תוקף גבוה בשומת נכסים עסקיים בנויים.</w:t>
      </w:r>
    </w:p>
    <w:p w14:paraId="287E2304" w14:textId="2A23AB4E" w:rsidR="00565EA9" w:rsidRPr="00CB40C8" w:rsidRDefault="00565EA9" w:rsidP="00680FE0">
      <w:pPr>
        <w:numPr>
          <w:ilvl w:val="0"/>
          <w:numId w:val="1"/>
        </w:numPr>
        <w:tabs>
          <w:tab w:val="clear" w:pos="720"/>
        </w:tabs>
        <w:spacing w:beforeLines="120" w:before="288" w:afterLines="120" w:after="288" w:line="360" w:lineRule="auto"/>
        <w:ind w:left="84" w:hanging="567"/>
        <w:jc w:val="both"/>
        <w:rPr>
          <w:rFonts w:ascii="David" w:eastAsia="Times New Roman" w:hAnsi="David" w:cs="David"/>
          <w:sz w:val="26"/>
          <w:szCs w:val="26"/>
          <w:rtl/>
        </w:rPr>
      </w:pPr>
      <w:r>
        <w:rPr>
          <w:rFonts w:ascii="David" w:eastAsia="Times New Roman" w:hAnsi="David" w:cs="David"/>
          <w:sz w:val="26"/>
          <w:szCs w:val="26"/>
          <w:rtl/>
        </w:rPr>
        <w:t xml:space="preserve">אמנם מקום חניה אינו מסווג בתקן כקטגוריה עצמאית. על כן אין בתקינה, כשלעצמה, כדי להכריע מראש איזו גישה יש להעדיף בשומת חניה מסוימת. עם זאת, עולה ממנה בבירור </w:t>
      </w:r>
      <w:r>
        <w:rPr>
          <w:rFonts w:ascii="David" w:eastAsia="Times New Roman" w:hAnsi="David" w:cs="David"/>
          <w:sz w:val="26"/>
          <w:szCs w:val="26"/>
          <w:rtl/>
        </w:rPr>
        <w:lastRenderedPageBreak/>
        <w:t>כי כאשר מדובר ברכיב עסקי מניב, אין יסוד לראות בגישת היוון ההכנסות גישה נחותה או בלתי לגיטימית מעצם השימוש בה.</w:t>
      </w:r>
    </w:p>
    <w:p w14:paraId="0A120DF9" w14:textId="1C2DF804" w:rsidR="00565EA9" w:rsidRPr="00565EA9" w:rsidRDefault="00565EA9" w:rsidP="00680FE0">
      <w:pPr>
        <w:numPr>
          <w:ilvl w:val="0"/>
          <w:numId w:val="1"/>
        </w:numPr>
        <w:tabs>
          <w:tab w:val="clear" w:pos="720"/>
        </w:tabs>
        <w:spacing w:beforeLines="120" w:before="288" w:afterLines="120" w:after="288" w:line="360" w:lineRule="auto"/>
        <w:ind w:left="84" w:hanging="567"/>
        <w:jc w:val="both"/>
        <w:rPr>
          <w:rFonts w:ascii="David" w:eastAsia="Times New Roman" w:hAnsi="David" w:cs="David"/>
          <w:sz w:val="26"/>
          <w:szCs w:val="26"/>
          <w:rtl/>
        </w:rPr>
      </w:pPr>
      <w:r>
        <w:rPr>
          <w:rFonts w:ascii="David" w:eastAsia="Times New Roman" w:hAnsi="David" w:cs="David"/>
          <w:sz w:val="26"/>
          <w:szCs w:val="26"/>
          <w:rtl/>
        </w:rPr>
        <w:t xml:space="preserve">מן העבר האחר, תקן 2.1 אינו מסתפק בקיומן של עסקאות מכר כלשהן כדי להעדיף את גישת ההשוואה. התקן דורש, ככלל, לפחות שלוש עסקאות השוואה רלוונטיות, ומעמיד במרכז את מידת הדמיון בין נכס ההשוואה לנכס הנישום. המבחן הכמותי לרמת הדמיון הוא סכום ערכם המוחלט של שיעורי ההתאמה, אשר בעסקת השוואה רלוונטית לא יעלה </w:t>
      </w:r>
      <w:r w:rsidRPr="008F4BE2">
        <w:rPr>
          <w:rFonts w:ascii="David" w:eastAsia="Times New Roman" w:hAnsi="David" w:cs="David"/>
          <w:b/>
          <w:bCs/>
          <w:sz w:val="26"/>
          <w:szCs w:val="26"/>
          <w:rtl/>
        </w:rPr>
        <w:t>על 35%</w:t>
      </w:r>
      <w:r>
        <w:rPr>
          <w:rFonts w:ascii="David" w:eastAsia="Times New Roman" w:hAnsi="David" w:cs="David"/>
          <w:sz w:val="26"/>
          <w:szCs w:val="26"/>
          <w:rtl/>
        </w:rPr>
        <w:t>. דרישות אלה משקפות את העיקרון שלפיו בכורתה של גישת ההשוואה מותנית באיכות העסקאות ובמידת התאמתן לנכס הנישום, ולא בעצם קיומן.</w:t>
      </w:r>
    </w:p>
    <w:p w14:paraId="71AEC1CD" w14:textId="44E58D67" w:rsidR="00565EA9" w:rsidRPr="00565EA9" w:rsidRDefault="00565EA9" w:rsidP="00680FE0">
      <w:pPr>
        <w:numPr>
          <w:ilvl w:val="0"/>
          <w:numId w:val="1"/>
        </w:numPr>
        <w:tabs>
          <w:tab w:val="clear" w:pos="720"/>
        </w:tabs>
        <w:spacing w:beforeLines="120" w:before="288" w:afterLines="120" w:after="288" w:line="360" w:lineRule="auto"/>
        <w:ind w:left="84" w:hanging="567"/>
        <w:jc w:val="both"/>
        <w:rPr>
          <w:rFonts w:ascii="David" w:eastAsia="Times New Roman" w:hAnsi="David" w:cs="David"/>
          <w:sz w:val="26"/>
          <w:szCs w:val="26"/>
          <w:rtl/>
        </w:rPr>
      </w:pPr>
      <w:r>
        <w:rPr>
          <w:rFonts w:ascii="David" w:eastAsia="Times New Roman" w:hAnsi="David" w:cs="David"/>
          <w:sz w:val="26"/>
          <w:szCs w:val="26"/>
          <w:rtl/>
        </w:rPr>
        <w:t>בענייננו לא הוכיחה הוועדה המקומית כי העסקאות שהציגה עומדות בתנאים אלה. כפי שפורט בפרק הקודם, לא הובהר אם החניות שנמכרו הן חניות תת</w:t>
      </w:r>
      <w:r w:rsidR="001541F3">
        <w:rPr>
          <w:rFonts w:ascii="David" w:eastAsia="Times New Roman" w:hAnsi="David" w:cs="David"/>
          <w:sz w:val="26"/>
          <w:szCs w:val="26"/>
          <w:rtl/>
        </w:rPr>
        <w:t>-</w:t>
      </w:r>
      <w:r>
        <w:rPr>
          <w:rFonts w:ascii="David" w:eastAsia="Times New Roman" w:hAnsi="David" w:cs="David"/>
          <w:sz w:val="26"/>
          <w:szCs w:val="26"/>
          <w:rtl/>
        </w:rPr>
        <w:t xml:space="preserve">קרקעיות או עיליות; באיזה מפלס הן מצויות; מהי נגישותן; </w:t>
      </w:r>
      <w:r w:rsidR="004A4D51" w:rsidRPr="004A4D51">
        <w:rPr>
          <w:rFonts w:ascii="David" w:eastAsia="Times New Roman" w:hAnsi="David" w:cs="David"/>
          <w:sz w:val="26"/>
          <w:szCs w:val="26"/>
          <w:rtl/>
        </w:rPr>
        <w:t>מהם תנאי הקרקע והביסוס</w:t>
      </w:r>
      <w:r w:rsidR="00A6430E">
        <w:rPr>
          <w:rFonts w:ascii="David" w:eastAsia="Times New Roman" w:hAnsi="David" w:cs="David" w:hint="cs"/>
          <w:sz w:val="26"/>
          <w:szCs w:val="26"/>
          <w:rtl/>
        </w:rPr>
        <w:t xml:space="preserve">; </w:t>
      </w:r>
      <w:r>
        <w:rPr>
          <w:rFonts w:ascii="David" w:eastAsia="Times New Roman" w:hAnsi="David" w:cs="David"/>
          <w:sz w:val="26"/>
          <w:szCs w:val="26"/>
          <w:rtl/>
        </w:rPr>
        <w:t>אם הן נמכרו בנפרד או בזיקה לנכס עיקרי; מה טיב הזכות שנמכרה; מהם מאפייני החניון והבניין; ומהן ההתאמות הנדרשות בגין מיקום, מועד ותנאי העסקה.</w:t>
      </w:r>
    </w:p>
    <w:p w14:paraId="584DC617" w14:textId="77777777" w:rsidR="00565EA9" w:rsidRPr="00565EA9" w:rsidRDefault="00565EA9" w:rsidP="00680FE0">
      <w:pPr>
        <w:numPr>
          <w:ilvl w:val="0"/>
          <w:numId w:val="1"/>
        </w:numPr>
        <w:tabs>
          <w:tab w:val="clear" w:pos="720"/>
        </w:tabs>
        <w:spacing w:beforeLines="120" w:before="288" w:afterLines="120" w:after="288" w:line="360" w:lineRule="auto"/>
        <w:ind w:left="84" w:hanging="567"/>
        <w:jc w:val="both"/>
        <w:rPr>
          <w:rFonts w:ascii="David" w:eastAsia="Times New Roman" w:hAnsi="David" w:cs="David"/>
          <w:sz w:val="26"/>
          <w:szCs w:val="26"/>
          <w:rtl/>
        </w:rPr>
      </w:pPr>
      <w:r w:rsidRPr="00565EA9">
        <w:rPr>
          <w:rFonts w:ascii="David" w:eastAsia="Times New Roman" w:hAnsi="David" w:cs="David"/>
          <w:sz w:val="26"/>
          <w:szCs w:val="26"/>
          <w:rtl/>
        </w:rPr>
        <w:t>הדברים מקבלים משנה תוקף ביחס לארבע העסקאות מחולון. לא הוצג ניתוח המראה כי רמת המחירים באזור התעסוקה בחולון דומה לזו שבאזור; כי מאפייני הביקוש לחניה זהים; או כי החניונים שבהם בוצעו העסקאות דומים לחניון המתוכנן במגרש 203. הוועדה המקומית הסתפקה בהצגת מחירי העסקאות, בלי לערוך את מלאכת ההשוואה הנדרשת כדי להפוך אותם לנתוני השוואה מהימנים לנכס הנישום.</w:t>
      </w:r>
    </w:p>
    <w:p w14:paraId="3AB53A7F" w14:textId="74589787" w:rsidR="00565EA9" w:rsidRPr="00565EA9" w:rsidRDefault="00565EA9" w:rsidP="00680FE0">
      <w:pPr>
        <w:numPr>
          <w:ilvl w:val="0"/>
          <w:numId w:val="1"/>
        </w:numPr>
        <w:tabs>
          <w:tab w:val="clear" w:pos="720"/>
        </w:tabs>
        <w:spacing w:beforeLines="120" w:before="288" w:afterLines="120" w:after="288" w:line="360" w:lineRule="auto"/>
        <w:ind w:left="84" w:hanging="567"/>
        <w:jc w:val="both"/>
        <w:rPr>
          <w:rFonts w:ascii="David" w:eastAsia="Times New Roman" w:hAnsi="David" w:cs="David"/>
          <w:sz w:val="26"/>
          <w:szCs w:val="26"/>
          <w:rtl/>
        </w:rPr>
      </w:pPr>
      <w:r>
        <w:rPr>
          <w:rFonts w:ascii="David" w:eastAsia="Times New Roman" w:hAnsi="David" w:cs="David"/>
          <w:sz w:val="26"/>
          <w:szCs w:val="26"/>
          <w:rtl/>
        </w:rPr>
        <w:t>לפיכך, כדי להצדיק התערבות בשומה המכרעת לא היה די בטענה הכללית, הנכונה כשלעצמה, כי גישת ההשוואה היא הגישה המועדפת. היה על הוועדה המקומית להראות אחד משניים: כי עסקאות המכר שהציגה דומות ורלוונטיות במידה המקנה להן יתרון ממשי על פני נתוני השכירות; או כי בנתוני היוון ההכנסות שעליהם הסתמך השמאי המכריע נפל פגם קונקרטי</w:t>
      </w:r>
      <w:r w:rsidR="00384C02">
        <w:rPr>
          <w:rFonts w:ascii="David" w:eastAsia="Times New Roman" w:hAnsi="David" w:cs="David" w:hint="cs"/>
          <w:sz w:val="26"/>
          <w:szCs w:val="26"/>
          <w:rtl/>
        </w:rPr>
        <w:t xml:space="preserve"> או סתירה מהותית</w:t>
      </w:r>
      <w:r>
        <w:rPr>
          <w:rFonts w:ascii="David" w:eastAsia="Times New Roman" w:hAnsi="David" w:cs="David"/>
          <w:sz w:val="26"/>
          <w:szCs w:val="26"/>
          <w:rtl/>
        </w:rPr>
        <w:t>.</w:t>
      </w:r>
    </w:p>
    <w:p w14:paraId="5591E151" w14:textId="146ECFEB" w:rsidR="00565EA9" w:rsidRPr="00565EA9" w:rsidRDefault="00565EA9" w:rsidP="00680FE0">
      <w:pPr>
        <w:numPr>
          <w:ilvl w:val="0"/>
          <w:numId w:val="1"/>
        </w:numPr>
        <w:tabs>
          <w:tab w:val="clear" w:pos="720"/>
        </w:tabs>
        <w:spacing w:beforeLines="120" w:before="288" w:afterLines="120" w:after="288" w:line="360" w:lineRule="auto"/>
        <w:ind w:left="84" w:hanging="567"/>
        <w:jc w:val="both"/>
        <w:rPr>
          <w:rFonts w:ascii="David" w:eastAsia="Times New Roman" w:hAnsi="David" w:cs="David"/>
          <w:sz w:val="26"/>
          <w:szCs w:val="26"/>
          <w:rtl/>
        </w:rPr>
      </w:pPr>
      <w:r w:rsidRPr="00565EA9">
        <w:rPr>
          <w:rFonts w:ascii="David" w:eastAsia="Times New Roman" w:hAnsi="David" w:cs="David"/>
          <w:sz w:val="26"/>
          <w:szCs w:val="26"/>
          <w:rtl/>
        </w:rPr>
        <w:t xml:space="preserve">הוועדה המקומית לא </w:t>
      </w:r>
      <w:r w:rsidR="00FF4AED">
        <w:rPr>
          <w:rFonts w:ascii="David" w:eastAsia="Times New Roman" w:hAnsi="David" w:cs="David" w:hint="cs"/>
          <w:sz w:val="26"/>
          <w:szCs w:val="26"/>
          <w:rtl/>
        </w:rPr>
        <w:t xml:space="preserve">הוכיחה אף </w:t>
      </w:r>
      <w:r w:rsidR="00004206">
        <w:rPr>
          <w:rFonts w:ascii="David" w:eastAsia="Times New Roman" w:hAnsi="David" w:cs="David" w:hint="cs"/>
          <w:sz w:val="26"/>
          <w:szCs w:val="26"/>
          <w:rtl/>
        </w:rPr>
        <w:t>א</w:t>
      </w:r>
      <w:r w:rsidR="00FF4AED">
        <w:rPr>
          <w:rFonts w:ascii="David" w:eastAsia="Times New Roman" w:hAnsi="David" w:cs="David" w:hint="cs"/>
          <w:sz w:val="26"/>
          <w:szCs w:val="26"/>
          <w:rtl/>
        </w:rPr>
        <w:t>חת משתי החלופות</w:t>
      </w:r>
      <w:r w:rsidRPr="00565EA9">
        <w:rPr>
          <w:rFonts w:ascii="David" w:eastAsia="Times New Roman" w:hAnsi="David" w:cs="David"/>
          <w:sz w:val="26"/>
          <w:szCs w:val="26"/>
          <w:rtl/>
        </w:rPr>
        <w:t>. היא לא ניתחה את מידת התאמתן של עסקאות המכר לחניות במגרש 203; ומן העבר האחר, לא הציגה ביקורת קונקרטית על דמי השכירות בסך של 540 ש"ח לחודש, על שיעור ההיוון של 5%, או על הנחת השמאי המכריע בדבר הביקוש הקשיח והסיכון הנמוך. לא הוצגו דמי שכירות חלופיים, לא הוצע שיעור היוון אחר ולא נערך תחשיב המראה כי הנתונים שנבחרו מוליכים לתוצאה בלתי סבירה.</w:t>
      </w:r>
    </w:p>
    <w:p w14:paraId="587DCFB1" w14:textId="29CCE226" w:rsidR="00565EA9" w:rsidRPr="00565EA9" w:rsidRDefault="00565EA9" w:rsidP="00680FE0">
      <w:pPr>
        <w:numPr>
          <w:ilvl w:val="0"/>
          <w:numId w:val="1"/>
        </w:numPr>
        <w:tabs>
          <w:tab w:val="clear" w:pos="720"/>
        </w:tabs>
        <w:spacing w:beforeLines="120" w:before="288" w:afterLines="120" w:after="288" w:line="360" w:lineRule="auto"/>
        <w:ind w:left="84" w:hanging="567"/>
        <w:jc w:val="both"/>
        <w:rPr>
          <w:rFonts w:ascii="David" w:eastAsia="Times New Roman" w:hAnsi="David" w:cs="David"/>
          <w:sz w:val="26"/>
          <w:szCs w:val="26"/>
          <w:rtl/>
        </w:rPr>
      </w:pPr>
      <w:r>
        <w:rPr>
          <w:rFonts w:ascii="David" w:eastAsia="Times New Roman" w:hAnsi="David" w:cs="David"/>
          <w:sz w:val="26"/>
          <w:szCs w:val="26"/>
          <w:rtl/>
        </w:rPr>
        <w:t xml:space="preserve">נזכיר כי השמאי המכריע לא אימץ את עמדת שמאי המשיבות באופן אוטומטי. שמאי המשיבות הציעו להוון דמי שכירות בסך 540 ש"ח בשיעור של 6%, ולהעמיד את שווי החניה על 108,000 ש"ח. השמאי המכריע קבע שיעור היוון נמוך יותר, של 5%, בשל הביקוש </w:t>
      </w:r>
      <w:r>
        <w:rPr>
          <w:rFonts w:ascii="David" w:eastAsia="Times New Roman" w:hAnsi="David" w:cs="David"/>
          <w:sz w:val="26"/>
          <w:szCs w:val="26"/>
          <w:rtl/>
        </w:rPr>
        <w:lastRenderedPageBreak/>
        <w:t>הקשיח והסיכון הנמוך. בכך העלה את שווי החניה ל</w:t>
      </w:r>
      <w:r w:rsidR="00CA17E5">
        <w:rPr>
          <w:rFonts w:ascii="David" w:eastAsia="Times New Roman" w:hAnsi="David" w:cs="David" w:hint="cs"/>
          <w:sz w:val="26"/>
          <w:szCs w:val="26"/>
          <w:rtl/>
        </w:rPr>
        <w:t xml:space="preserve"> - </w:t>
      </w:r>
      <w:r>
        <w:rPr>
          <w:rFonts w:ascii="David" w:eastAsia="Times New Roman" w:hAnsi="David" w:cs="David"/>
          <w:sz w:val="26"/>
          <w:szCs w:val="26"/>
          <w:rtl/>
        </w:rPr>
        <w:t>129,600 ש"ח והקטין את העלות העודפת מ</w:t>
      </w:r>
      <w:r w:rsidR="00CA17E5">
        <w:rPr>
          <w:rFonts w:ascii="David" w:eastAsia="Times New Roman" w:hAnsi="David" w:cs="David" w:hint="cs"/>
          <w:sz w:val="26"/>
          <w:szCs w:val="26"/>
          <w:rtl/>
        </w:rPr>
        <w:t xml:space="preserve"> - </w:t>
      </w:r>
      <w:r>
        <w:rPr>
          <w:rFonts w:ascii="David" w:eastAsia="Times New Roman" w:hAnsi="David" w:cs="David"/>
          <w:sz w:val="26"/>
          <w:szCs w:val="26"/>
          <w:rtl/>
        </w:rPr>
        <w:t>43,200 ש"ח ל</w:t>
      </w:r>
      <w:r w:rsidR="00CA17E5">
        <w:rPr>
          <w:rFonts w:ascii="David" w:eastAsia="Times New Roman" w:hAnsi="David" w:cs="David" w:hint="cs"/>
          <w:sz w:val="26"/>
          <w:szCs w:val="26"/>
          <w:rtl/>
        </w:rPr>
        <w:t xml:space="preserve">  - </w:t>
      </w:r>
      <w:r>
        <w:rPr>
          <w:rFonts w:ascii="David" w:eastAsia="Times New Roman" w:hAnsi="David" w:cs="David"/>
          <w:sz w:val="26"/>
          <w:szCs w:val="26"/>
          <w:rtl/>
        </w:rPr>
        <w:t>21,600 ש"ח למקום חניה. דרך הילוך זו מלמדת כי השמאי המכריע בחן את הנתונים באופן עצמאי ולא אימץ את עמדתו של צד כלשהו ככתבה וכלשונה.</w:t>
      </w:r>
    </w:p>
    <w:p w14:paraId="6D95AF63" w14:textId="5EB1FA96" w:rsidR="00565EA9" w:rsidRPr="00565EA9" w:rsidRDefault="00565EA9" w:rsidP="00680FE0">
      <w:pPr>
        <w:numPr>
          <w:ilvl w:val="0"/>
          <w:numId w:val="1"/>
        </w:numPr>
        <w:tabs>
          <w:tab w:val="clear" w:pos="720"/>
        </w:tabs>
        <w:spacing w:beforeLines="120" w:before="288" w:afterLines="120" w:after="288" w:line="360" w:lineRule="auto"/>
        <w:ind w:left="84" w:hanging="567"/>
        <w:jc w:val="both"/>
        <w:rPr>
          <w:rFonts w:ascii="David" w:eastAsia="Times New Roman" w:hAnsi="David" w:cs="David"/>
          <w:sz w:val="26"/>
          <w:szCs w:val="26"/>
          <w:rtl/>
        </w:rPr>
      </w:pPr>
      <w:r>
        <w:rPr>
          <w:rFonts w:ascii="David" w:eastAsia="Times New Roman" w:hAnsi="David" w:cs="David"/>
          <w:sz w:val="26"/>
          <w:szCs w:val="26"/>
          <w:rtl/>
        </w:rPr>
        <w:t xml:space="preserve">בדיון הסביר השמאי קונפורטי כי נתוני השכירות </w:t>
      </w:r>
      <w:r w:rsidR="00C221C4">
        <w:rPr>
          <w:rFonts w:ascii="David" w:eastAsia="Times New Roman" w:hAnsi="David" w:cs="David" w:hint="cs"/>
          <w:sz w:val="26"/>
          <w:szCs w:val="26"/>
          <w:rtl/>
        </w:rPr>
        <w:t>למקומות חניה</w:t>
      </w:r>
      <w:r w:rsidR="00C221C4">
        <w:rPr>
          <w:rFonts w:ascii="David" w:eastAsia="Times New Roman" w:hAnsi="David" w:cs="David"/>
          <w:sz w:val="26"/>
          <w:szCs w:val="26"/>
          <w:rtl/>
        </w:rPr>
        <w:t xml:space="preserve"> </w:t>
      </w:r>
      <w:r>
        <w:rPr>
          <w:rFonts w:ascii="David" w:eastAsia="Times New Roman" w:hAnsi="David" w:cs="David"/>
          <w:sz w:val="26"/>
          <w:szCs w:val="26"/>
          <w:rtl/>
        </w:rPr>
        <w:t>רבים ומבוססים יותר מנתוני המכר. הסבר זה אינו יכול להחליף הנמקה של השמאי המכריע, מקום שבו היא נדרשת. עם זאת, הוא ממחיש כי הבחירה בין הגישות אינה חד</w:t>
      </w:r>
      <w:r w:rsidR="001541F3">
        <w:rPr>
          <w:rFonts w:ascii="David" w:eastAsia="Times New Roman" w:hAnsi="David" w:cs="David"/>
          <w:sz w:val="26"/>
          <w:szCs w:val="26"/>
          <w:rtl/>
        </w:rPr>
        <w:t>-</w:t>
      </w:r>
      <w:r>
        <w:rPr>
          <w:rFonts w:ascii="David" w:eastAsia="Times New Roman" w:hAnsi="David" w:cs="David"/>
          <w:sz w:val="26"/>
          <w:szCs w:val="26"/>
          <w:rtl/>
        </w:rPr>
        <w:t>ערכית וכי ייתכן בסיס מקצועי להעדפת נתוני שכירות בחניה המשמשת פרויקט מסחרי ומשרדי. הוועדה המקומית לא התמודדה עם הסבר זה ולא הציגה נתונים הסותרים אותו.</w:t>
      </w:r>
    </w:p>
    <w:p w14:paraId="22764CFF" w14:textId="0819B59C" w:rsidR="00565EA9" w:rsidRPr="00565EA9" w:rsidRDefault="00565EA9" w:rsidP="00680FE0">
      <w:pPr>
        <w:numPr>
          <w:ilvl w:val="0"/>
          <w:numId w:val="1"/>
        </w:numPr>
        <w:tabs>
          <w:tab w:val="clear" w:pos="720"/>
        </w:tabs>
        <w:spacing w:beforeLines="120" w:before="288" w:afterLines="120" w:after="288" w:line="360" w:lineRule="auto"/>
        <w:ind w:left="84" w:hanging="567"/>
        <w:jc w:val="both"/>
        <w:rPr>
          <w:rFonts w:ascii="David" w:eastAsia="Times New Roman" w:hAnsi="David" w:cs="David"/>
          <w:sz w:val="26"/>
          <w:szCs w:val="26"/>
          <w:rtl/>
        </w:rPr>
      </w:pPr>
      <w:r>
        <w:rPr>
          <w:rFonts w:ascii="David" w:eastAsia="Times New Roman" w:hAnsi="David" w:cs="David"/>
          <w:sz w:val="26"/>
          <w:szCs w:val="26"/>
          <w:rtl/>
        </w:rPr>
        <w:t>אכן, השמאי המכריע לא ערך דיון נפרד ומפורט בכל אחת מעסקאות המכר שהציגה שמאית הוועדה בתגובתה. ואולם, בנסיבות המקרה אין בכך כדי להקים דופי חמור המחייב את השבת השומה. עסקאות המכר לא הוצגו כשהן מלוות בניתוח המאפשר ללמוד על עדיפותן; תוצאת ההיוון קרובה לממוצע העסקאות באזור; והיא כמעט זהה לשווי שבו עשתה הוועדה המקומית עצמה שימוש בשומתה המקורית. בנסיבות אלה, היעדרו של דיון מפורט בכל עסקה אינו הופך את השיטה שנבחרה לבלתי סבירה.</w:t>
      </w:r>
    </w:p>
    <w:p w14:paraId="2F7498FF" w14:textId="5D58C8DC" w:rsidR="00565EA9" w:rsidRPr="00565EA9" w:rsidRDefault="00565EA9" w:rsidP="00680FE0">
      <w:pPr>
        <w:numPr>
          <w:ilvl w:val="0"/>
          <w:numId w:val="1"/>
        </w:numPr>
        <w:tabs>
          <w:tab w:val="clear" w:pos="720"/>
        </w:tabs>
        <w:spacing w:beforeLines="120" w:before="288" w:afterLines="120" w:after="288" w:line="360" w:lineRule="auto"/>
        <w:ind w:left="84" w:hanging="567"/>
        <w:jc w:val="both"/>
        <w:rPr>
          <w:rFonts w:ascii="David" w:eastAsia="Times New Roman" w:hAnsi="David" w:cs="David"/>
          <w:sz w:val="26"/>
          <w:szCs w:val="26"/>
          <w:rtl/>
        </w:rPr>
      </w:pPr>
      <w:r>
        <w:rPr>
          <w:rFonts w:ascii="David" w:eastAsia="Times New Roman" w:hAnsi="David" w:cs="David"/>
          <w:sz w:val="26"/>
          <w:szCs w:val="26"/>
          <w:rtl/>
        </w:rPr>
        <w:t xml:space="preserve">מסקנה זו מתיישבת גם עם עמ"נ (ת"א) 24406-11-24 </w:t>
      </w:r>
      <w:r w:rsidRPr="00192E6C">
        <w:rPr>
          <w:rFonts w:ascii="David" w:hAnsi="David" w:cs="David"/>
          <w:b/>
          <w:bCs/>
          <w:sz w:val="26"/>
          <w:szCs w:val="26"/>
          <w:rtl/>
        </w:rPr>
        <w:t>ועדה מקומית לתכנון ובניה תל אביב נ' כספי (המנוח) ואח'</w:t>
      </w:r>
      <w:r>
        <w:rPr>
          <w:rFonts w:ascii="David" w:eastAsia="Times New Roman" w:hAnsi="David" w:cs="David"/>
          <w:sz w:val="26"/>
          <w:szCs w:val="26"/>
          <w:rtl/>
        </w:rPr>
        <w:t xml:space="preserve"> (נבו, 18.5.2025). </w:t>
      </w:r>
      <w:r w:rsidRPr="00565EA9">
        <w:rPr>
          <w:rFonts w:ascii="David" w:eastAsia="Times New Roman" w:hAnsi="David" w:cs="David"/>
          <w:sz w:val="26"/>
          <w:szCs w:val="26"/>
          <w:rtl/>
        </w:rPr>
        <w:t xml:space="preserve">באותו עניין הובהר כי: </w:t>
      </w:r>
      <w:r w:rsidR="00AA056E">
        <w:rPr>
          <w:rFonts w:ascii="David" w:eastAsia="Times New Roman" w:hAnsi="David" w:cs="David" w:hint="cs"/>
          <w:sz w:val="26"/>
          <w:szCs w:val="26"/>
          <w:rtl/>
        </w:rPr>
        <w:t>"</w:t>
      </w:r>
      <w:r w:rsidRPr="00192E6C">
        <w:rPr>
          <w:rFonts w:ascii="David" w:eastAsia="Times New Roman" w:hAnsi="David" w:cs="David"/>
          <w:b/>
          <w:bCs/>
          <w:sz w:val="26"/>
          <w:szCs w:val="26"/>
          <w:rtl/>
        </w:rPr>
        <w:t>המחלוקת שלפניי, נסובה סביב סוגיית בלעדיות גישה שמאית לחישוב שוויו של נכס, המהווה סוגיה מקצועית מובהקת הנתונה לשיקולו של השמאי המכריע</w:t>
      </w:r>
      <w:r w:rsidRPr="00565EA9">
        <w:rPr>
          <w:rFonts w:ascii="David" w:eastAsia="Times New Roman" w:hAnsi="David" w:cs="David"/>
          <w:sz w:val="26"/>
          <w:szCs w:val="26"/>
          <w:rtl/>
        </w:rPr>
        <w:t>".</w:t>
      </w:r>
      <w:r>
        <w:rPr>
          <w:rFonts w:ascii="David" w:eastAsia="Times New Roman" w:hAnsi="David" w:cs="David"/>
          <w:sz w:val="26"/>
          <w:szCs w:val="26"/>
          <w:rtl/>
        </w:rPr>
        <w:t xml:space="preserve"> אין פירוש הדבר שבחירת השיטה חסינה מביקורת; אולם התערבות מחייבת להצביע על פגם מקצועי קונקרטי, ולא להסתפק בהצגת שיטה חלופית אפשרית.</w:t>
      </w:r>
    </w:p>
    <w:p w14:paraId="271E379E" w14:textId="463F09D8" w:rsidR="00565EA9" w:rsidRDefault="00B36BF1" w:rsidP="00680FE0">
      <w:pPr>
        <w:numPr>
          <w:ilvl w:val="0"/>
          <w:numId w:val="1"/>
        </w:numPr>
        <w:tabs>
          <w:tab w:val="clear" w:pos="720"/>
        </w:tabs>
        <w:spacing w:beforeLines="120" w:before="288" w:afterLines="120" w:after="288" w:line="360" w:lineRule="auto"/>
        <w:ind w:left="84" w:hanging="567"/>
        <w:jc w:val="both"/>
        <w:rPr>
          <w:rFonts w:ascii="David" w:eastAsia="Times New Roman" w:hAnsi="David" w:cs="David"/>
          <w:sz w:val="26"/>
          <w:szCs w:val="26"/>
        </w:rPr>
      </w:pPr>
      <w:r>
        <w:rPr>
          <w:rFonts w:ascii="David" w:eastAsia="Times New Roman" w:hAnsi="David" w:cs="David" w:hint="cs"/>
          <w:sz w:val="26"/>
          <w:szCs w:val="26"/>
          <w:rtl/>
        </w:rPr>
        <w:t>גם עניין נועה לב אינו מוביל לתוצאה אחרת. באותו עניין עמדו לפני השמאי עסקאות בדירות באותו מתחם התחדשות עירונית, ובכלל זה עסקת המימוש שנערכה בדירה הנישומה עצמה. פסק הדין מחזק אפוא את מעמדה של גישת ההשוואה מקום שבו קיימות עסקאות ישירות, רלוונטיות ובנות השוואה ביחס לנכס הנישום; הוא אינו קובע כי כל עסקת מכר, ללא בחינת מאפייניה ומידת התאמתה, גוברת בהכרח על גישת היוון ההכנסות. בענייננו לא הוכח כי עסקאות החניה מחולון ומאזור הן בעלות איכות השוואתית מקבילה.</w:t>
      </w:r>
    </w:p>
    <w:p w14:paraId="7B697344" w14:textId="1777E2B4" w:rsidR="00E33F40" w:rsidRDefault="00E33F40" w:rsidP="00E33F40">
      <w:pPr>
        <w:spacing w:beforeLines="120" w:before="288" w:afterLines="120" w:after="288" w:line="360" w:lineRule="auto"/>
        <w:jc w:val="both"/>
        <w:rPr>
          <w:rFonts w:ascii="David" w:eastAsia="Times New Roman" w:hAnsi="David" w:cs="David"/>
          <w:sz w:val="26"/>
          <w:szCs w:val="26"/>
          <w:rtl/>
        </w:rPr>
      </w:pPr>
    </w:p>
    <w:p w14:paraId="6D40D58D" w14:textId="77777777" w:rsidR="00E33F40" w:rsidRPr="00565EA9" w:rsidRDefault="00E33F40" w:rsidP="00E33F40">
      <w:pPr>
        <w:spacing w:beforeLines="120" w:before="288" w:afterLines="120" w:after="288" w:line="360" w:lineRule="auto"/>
        <w:jc w:val="both"/>
        <w:rPr>
          <w:rFonts w:ascii="David" w:eastAsia="Times New Roman" w:hAnsi="David" w:cs="David"/>
          <w:sz w:val="26"/>
          <w:szCs w:val="26"/>
          <w:rtl/>
        </w:rPr>
      </w:pPr>
    </w:p>
    <w:p w14:paraId="4D487F17" w14:textId="7EF59C21" w:rsidR="00565EA9" w:rsidRPr="00565EA9" w:rsidRDefault="00565EA9" w:rsidP="00680FE0">
      <w:pPr>
        <w:numPr>
          <w:ilvl w:val="0"/>
          <w:numId w:val="1"/>
        </w:numPr>
        <w:tabs>
          <w:tab w:val="clear" w:pos="720"/>
        </w:tabs>
        <w:spacing w:beforeLines="120" w:before="288" w:afterLines="120" w:after="288" w:line="360" w:lineRule="auto"/>
        <w:ind w:left="84" w:hanging="567"/>
        <w:jc w:val="both"/>
        <w:rPr>
          <w:rFonts w:ascii="David" w:eastAsia="Times New Roman" w:hAnsi="David" w:cs="David"/>
          <w:sz w:val="26"/>
          <w:szCs w:val="26"/>
          <w:rtl/>
        </w:rPr>
      </w:pPr>
      <w:r>
        <w:rPr>
          <w:rFonts w:ascii="David" w:eastAsia="Times New Roman" w:hAnsi="David" w:cs="David"/>
          <w:sz w:val="26"/>
          <w:szCs w:val="26"/>
          <w:rtl/>
        </w:rPr>
        <w:lastRenderedPageBreak/>
        <w:t>לבסוף, התוצאה שקבע השמאי המכריע עומדת בביקורת צולבת גם באמצעות נתוני ההשוואה שהציגה הוועדה המקומית: היא קרובה לממוצע העסקאות באזור וחופפת כמעט לחלוטין לשווי של 130,000 ש"ח למקום חניה שבו עשתה שמאית הוועדה שימוש בשומתה המקורית. בכך נשללת הטענה כי השימוש בגישת היוון ההכנסות הוליך לתוצאה תאורטית או מנותקת מן השוק.</w:t>
      </w:r>
    </w:p>
    <w:p w14:paraId="71407543" w14:textId="77777777" w:rsidR="00565EA9" w:rsidRPr="00565EA9" w:rsidRDefault="00565EA9" w:rsidP="00680FE0">
      <w:pPr>
        <w:numPr>
          <w:ilvl w:val="0"/>
          <w:numId w:val="1"/>
        </w:numPr>
        <w:tabs>
          <w:tab w:val="clear" w:pos="720"/>
        </w:tabs>
        <w:spacing w:beforeLines="120" w:before="288" w:afterLines="120" w:after="288" w:line="360" w:lineRule="auto"/>
        <w:ind w:left="84" w:hanging="567"/>
        <w:jc w:val="both"/>
        <w:rPr>
          <w:rFonts w:ascii="David" w:eastAsia="Times New Roman" w:hAnsi="David" w:cs="David"/>
          <w:sz w:val="26"/>
          <w:szCs w:val="26"/>
          <w:rtl/>
        </w:rPr>
      </w:pPr>
      <w:r w:rsidRPr="00565EA9">
        <w:rPr>
          <w:rFonts w:ascii="David" w:eastAsia="Times New Roman" w:hAnsi="David" w:cs="David"/>
          <w:sz w:val="26"/>
          <w:szCs w:val="26"/>
          <w:rtl/>
        </w:rPr>
        <w:t>בנסיבות אלה לא הוכח כי גישת היוון ההכנסות הייתה פחות מהימנה מגישת ההשוואה שהציעה הוועדה המקומית. הוועדה המקומית לא הראתה כי עסקאות המכר שהציגה הן עסקאות השוואה עדיפות, ולא הצביעה על פגם בנתוני ההיוון עצמם. עצם האפשרות לערוך את השומה בדרך אחרת אינה מקימה טעות מהותית או דופי חמור בשומה המכרעת.</w:t>
      </w:r>
    </w:p>
    <w:p w14:paraId="50DF785C" w14:textId="5ED73202" w:rsidR="00565EA9" w:rsidRDefault="00565EA9" w:rsidP="00680FE0">
      <w:pPr>
        <w:numPr>
          <w:ilvl w:val="0"/>
          <w:numId w:val="1"/>
        </w:numPr>
        <w:tabs>
          <w:tab w:val="clear" w:pos="720"/>
        </w:tabs>
        <w:spacing w:beforeLines="120" w:before="288" w:afterLines="120" w:after="288" w:line="360" w:lineRule="auto"/>
        <w:ind w:left="84" w:hanging="567"/>
        <w:jc w:val="both"/>
        <w:rPr>
          <w:rFonts w:ascii="David" w:eastAsia="Times New Roman" w:hAnsi="David" w:cs="David"/>
          <w:sz w:val="26"/>
          <w:szCs w:val="26"/>
        </w:rPr>
      </w:pPr>
      <w:r>
        <w:rPr>
          <w:rFonts w:ascii="David" w:eastAsia="Times New Roman" w:hAnsi="David" w:cs="David"/>
          <w:sz w:val="26"/>
          <w:szCs w:val="26"/>
          <w:rtl/>
        </w:rPr>
        <w:t>לפיכך, טענת הוועדה המקומית ביחס לשיטה השמאית שבה נקבע שוויו של מקום חניה – נדחית. בהתאם, נותרים על כנם שווי החניה והעלות העודפת למקום חניה כפי שנקבעו בשומה המכרעת. העררים בפרק החניות מתקבלים אך ורק ביחס למספר מקומות החניה, באופן המפורט לעיל.</w:t>
      </w:r>
    </w:p>
    <w:p w14:paraId="5D08CBD2" w14:textId="3580237D" w:rsidR="003A2FD9" w:rsidRDefault="003A2FD9" w:rsidP="003A2FD9">
      <w:pPr>
        <w:spacing w:beforeLines="120" w:before="288" w:afterLines="120" w:after="288" w:line="360" w:lineRule="auto"/>
        <w:jc w:val="both"/>
        <w:rPr>
          <w:rFonts w:ascii="David" w:eastAsia="Times New Roman" w:hAnsi="David" w:cs="David"/>
          <w:sz w:val="26"/>
          <w:szCs w:val="26"/>
          <w:rtl/>
        </w:rPr>
      </w:pPr>
    </w:p>
    <w:p w14:paraId="43D7B03F" w14:textId="77777777" w:rsidR="002018C8" w:rsidRPr="004B7D91" w:rsidRDefault="002018C8" w:rsidP="002018C8">
      <w:pPr>
        <w:spacing w:beforeLines="120" w:before="288" w:afterLines="120" w:after="288" w:line="360" w:lineRule="auto"/>
        <w:jc w:val="both"/>
        <w:outlineLvl w:val="1"/>
        <w:rPr>
          <w:rFonts w:ascii="David" w:eastAsia="Times New Roman" w:hAnsi="David" w:cs="David"/>
          <w:b/>
          <w:bCs/>
          <w:sz w:val="28"/>
          <w:szCs w:val="28"/>
          <w:u w:val="single"/>
        </w:rPr>
      </w:pPr>
      <w:r w:rsidRPr="004B7D91">
        <w:rPr>
          <w:rFonts w:ascii="David" w:eastAsia="Times New Roman" w:hAnsi="David" w:cs="David"/>
          <w:b/>
          <w:bCs/>
          <w:sz w:val="28"/>
          <w:szCs w:val="28"/>
          <w:u w:val="single"/>
          <w:rtl/>
        </w:rPr>
        <w:t>עסקאות המכר במקרקעין</w:t>
      </w:r>
    </w:p>
    <w:p w14:paraId="449149DC" w14:textId="6CE74353" w:rsidR="002018C8" w:rsidRPr="007D36AE" w:rsidRDefault="002018C8" w:rsidP="00680FE0">
      <w:pPr>
        <w:numPr>
          <w:ilvl w:val="0"/>
          <w:numId w:val="1"/>
        </w:numPr>
        <w:tabs>
          <w:tab w:val="clear" w:pos="720"/>
        </w:tabs>
        <w:spacing w:beforeLines="120" w:before="288" w:afterLines="120" w:after="288" w:line="360" w:lineRule="auto"/>
        <w:ind w:left="84" w:hanging="567"/>
        <w:jc w:val="both"/>
        <w:rPr>
          <w:rFonts w:ascii="David" w:eastAsia="Times New Roman" w:hAnsi="David" w:cs="David"/>
          <w:sz w:val="26"/>
          <w:szCs w:val="26"/>
          <w:rtl/>
        </w:rPr>
      </w:pPr>
      <w:r>
        <w:rPr>
          <w:rFonts w:ascii="David" w:eastAsia="Times New Roman" w:hAnsi="David" w:cs="David"/>
          <w:sz w:val="26"/>
          <w:szCs w:val="26"/>
          <w:rtl/>
        </w:rPr>
        <w:t>בכתב התשובה ובדיון הפנו המשיבות לעסקאות שנערכו במקרקעין בשנים 2021 ו</w:t>
      </w:r>
      <w:r w:rsidR="001541F3">
        <w:rPr>
          <w:rFonts w:ascii="David" w:eastAsia="Times New Roman" w:hAnsi="David" w:cs="David"/>
          <w:sz w:val="26"/>
          <w:szCs w:val="26"/>
          <w:rtl/>
        </w:rPr>
        <w:t>-</w:t>
      </w:r>
      <w:r>
        <w:rPr>
          <w:rFonts w:ascii="David" w:eastAsia="Times New Roman" w:hAnsi="David" w:cs="David"/>
          <w:sz w:val="26"/>
          <w:szCs w:val="26"/>
          <w:rtl/>
        </w:rPr>
        <w:t>2023, ובפרט לעסקה ביחס למגרש 202, שלטענתן משקפת שווי הקרוב לזה שנקבע בשומה המכרעת.</w:t>
      </w:r>
    </w:p>
    <w:p w14:paraId="14CB691F" w14:textId="77777777" w:rsidR="002018C8" w:rsidRPr="007D36AE" w:rsidRDefault="002018C8" w:rsidP="00680FE0">
      <w:pPr>
        <w:numPr>
          <w:ilvl w:val="0"/>
          <w:numId w:val="1"/>
        </w:numPr>
        <w:tabs>
          <w:tab w:val="clear" w:pos="720"/>
        </w:tabs>
        <w:spacing w:beforeLines="120" w:before="288" w:afterLines="120" w:after="288" w:line="360" w:lineRule="auto"/>
        <w:ind w:left="84" w:hanging="567"/>
        <w:jc w:val="both"/>
        <w:rPr>
          <w:rFonts w:ascii="David" w:eastAsia="Times New Roman" w:hAnsi="David" w:cs="David"/>
          <w:sz w:val="26"/>
          <w:szCs w:val="26"/>
          <w:rtl/>
        </w:rPr>
      </w:pPr>
      <w:r>
        <w:rPr>
          <w:rFonts w:ascii="David" w:eastAsia="Times New Roman" w:hAnsi="David" w:cs="David"/>
          <w:sz w:val="26"/>
          <w:szCs w:val="26"/>
          <w:rtl/>
        </w:rPr>
        <w:t>המשיבות לא הגישו ערר על השומות המכריעות. לפיכך, אין העסקאות עומדות לפנינו כראש תקיפה עצמאי נגד האופן שבו נותחו בשומה המכרעת או נגד המשקל שניתן להן.</w:t>
      </w:r>
    </w:p>
    <w:p w14:paraId="5A8C88D3" w14:textId="77777777" w:rsidR="002018C8" w:rsidRPr="007D36AE" w:rsidRDefault="002018C8" w:rsidP="00680FE0">
      <w:pPr>
        <w:numPr>
          <w:ilvl w:val="0"/>
          <w:numId w:val="1"/>
        </w:numPr>
        <w:tabs>
          <w:tab w:val="clear" w:pos="720"/>
        </w:tabs>
        <w:spacing w:beforeLines="120" w:before="288" w:afterLines="120" w:after="288" w:line="360" w:lineRule="auto"/>
        <w:ind w:left="84" w:hanging="567"/>
        <w:jc w:val="both"/>
        <w:rPr>
          <w:rFonts w:ascii="David" w:eastAsia="Times New Roman" w:hAnsi="David" w:cs="David"/>
          <w:sz w:val="26"/>
          <w:szCs w:val="26"/>
          <w:rtl/>
        </w:rPr>
      </w:pPr>
      <w:r>
        <w:rPr>
          <w:rFonts w:ascii="David" w:eastAsia="Times New Roman" w:hAnsi="David" w:cs="David" w:hint="cs"/>
          <w:sz w:val="26"/>
          <w:szCs w:val="26"/>
          <w:rtl/>
        </w:rPr>
        <w:t>עם זאת, אין מדובר בנתונים שהוצגו לראשונה בערר. שתי העסקאות פורטו בשומה המכרעת, והטענות הנוגעות לניתוח התמורה, למנגנוני התשלום ולמשקל שיש לייחס להן נדונו בהליך שהתנהל לפני השמאי המכריע.</w:t>
      </w:r>
    </w:p>
    <w:p w14:paraId="5C69FA31" w14:textId="6B4D6AF8" w:rsidR="002018C8" w:rsidRDefault="002018C8" w:rsidP="00680FE0">
      <w:pPr>
        <w:numPr>
          <w:ilvl w:val="0"/>
          <w:numId w:val="1"/>
        </w:numPr>
        <w:tabs>
          <w:tab w:val="clear" w:pos="720"/>
        </w:tabs>
        <w:spacing w:beforeLines="120" w:before="288" w:afterLines="120" w:after="288" w:line="360" w:lineRule="auto"/>
        <w:ind w:left="84" w:hanging="567"/>
        <w:jc w:val="both"/>
        <w:rPr>
          <w:rFonts w:ascii="David" w:eastAsia="Times New Roman" w:hAnsi="David" w:cs="David"/>
          <w:sz w:val="26"/>
          <w:szCs w:val="26"/>
        </w:rPr>
      </w:pPr>
      <w:r>
        <w:rPr>
          <w:rFonts w:ascii="David" w:eastAsia="Times New Roman" w:hAnsi="David" w:cs="David"/>
          <w:sz w:val="26"/>
          <w:szCs w:val="26"/>
          <w:rtl/>
        </w:rPr>
        <w:t xml:space="preserve">עסקה במקרקעין הנישומים עצמם עשויה להיות בעלת חשיבות שמאית מיוחדת, שכן היא עשויה לגלם את מכלול מאפייניו הייחודיים של הנכס. על חשיבותה של עסקה בנכס הנישום ועל הצורך לבחון את נסיבותיה עמדנו גם בערר (תל אביב-יפו) 8165-09-21 </w:t>
      </w:r>
      <w:r w:rsidRPr="00196D1F">
        <w:rPr>
          <w:rFonts w:ascii="David" w:eastAsia="Times New Roman" w:hAnsi="David" w:cs="David"/>
          <w:b/>
          <w:bCs/>
          <w:sz w:val="26"/>
          <w:szCs w:val="26"/>
          <w:rtl/>
        </w:rPr>
        <w:t>עזבון המנוח חיים נתן חביב ז"ל ו</w:t>
      </w:r>
      <w:r w:rsidR="001541F3" w:rsidRPr="00196D1F">
        <w:rPr>
          <w:rFonts w:ascii="David" w:eastAsia="Times New Roman" w:hAnsi="David" w:cs="David"/>
          <w:b/>
          <w:bCs/>
          <w:sz w:val="26"/>
          <w:szCs w:val="26"/>
          <w:rtl/>
        </w:rPr>
        <w:t>-</w:t>
      </w:r>
      <w:r w:rsidRPr="00196D1F">
        <w:rPr>
          <w:rFonts w:ascii="David" w:eastAsia="Times New Roman" w:hAnsi="David" w:cs="David"/>
          <w:b/>
          <w:bCs/>
          <w:sz w:val="26"/>
          <w:szCs w:val="26"/>
          <w:rtl/>
        </w:rPr>
        <w:t>14 אחרים נ' הוועדה המקומית לתכנון ובניה בת ים</w:t>
      </w:r>
      <w:r>
        <w:rPr>
          <w:rFonts w:ascii="David" w:eastAsia="Times New Roman" w:hAnsi="David" w:cs="David"/>
          <w:sz w:val="26"/>
          <w:szCs w:val="26"/>
          <w:rtl/>
        </w:rPr>
        <w:t xml:space="preserve"> (נבו).</w:t>
      </w:r>
    </w:p>
    <w:p w14:paraId="140DA9E7" w14:textId="77777777" w:rsidR="00E33F40" w:rsidRPr="007D36AE" w:rsidRDefault="00E33F40" w:rsidP="00E33F40">
      <w:pPr>
        <w:spacing w:beforeLines="120" w:before="288" w:afterLines="120" w:after="288" w:line="360" w:lineRule="auto"/>
        <w:ind w:left="84"/>
        <w:jc w:val="both"/>
        <w:rPr>
          <w:rFonts w:ascii="David" w:eastAsia="Times New Roman" w:hAnsi="David" w:cs="David"/>
          <w:sz w:val="26"/>
          <w:szCs w:val="26"/>
          <w:rtl/>
        </w:rPr>
      </w:pPr>
    </w:p>
    <w:p w14:paraId="68B00716" w14:textId="31A7EB71" w:rsidR="002018C8" w:rsidRPr="007D36AE" w:rsidRDefault="002018C8" w:rsidP="00680FE0">
      <w:pPr>
        <w:numPr>
          <w:ilvl w:val="0"/>
          <w:numId w:val="1"/>
        </w:numPr>
        <w:tabs>
          <w:tab w:val="clear" w:pos="720"/>
        </w:tabs>
        <w:spacing w:beforeLines="120" w:before="288" w:afterLines="120" w:after="288" w:line="360" w:lineRule="auto"/>
        <w:ind w:left="84" w:hanging="567"/>
        <w:jc w:val="both"/>
        <w:rPr>
          <w:rFonts w:ascii="David" w:eastAsia="Times New Roman" w:hAnsi="David" w:cs="David"/>
          <w:sz w:val="26"/>
          <w:szCs w:val="26"/>
          <w:rtl/>
        </w:rPr>
      </w:pPr>
      <w:r>
        <w:rPr>
          <w:rFonts w:ascii="David" w:eastAsia="Times New Roman" w:hAnsi="David" w:cs="David"/>
          <w:sz w:val="26"/>
          <w:szCs w:val="26"/>
          <w:rtl/>
        </w:rPr>
        <w:lastRenderedPageBreak/>
        <w:t>משהעניין מושב לשמאי המכריע לצורך בחינה והבהרה נוספות בשאלת שווי המגורים, הוא רשאי להידרש גם לעסקאות אלה כחלק מן החומר שכבר עמד לפניו. במסגרת הבחינה המחודשת יוכל לשקול</w:t>
      </w:r>
      <w:r w:rsidR="00970C1D">
        <w:rPr>
          <w:rFonts w:ascii="David" w:eastAsia="Times New Roman" w:hAnsi="David" w:cs="David" w:hint="cs"/>
          <w:sz w:val="26"/>
          <w:szCs w:val="26"/>
          <w:rtl/>
        </w:rPr>
        <w:t>, אם יראה בכך צורך,</w:t>
      </w:r>
      <w:r>
        <w:rPr>
          <w:rFonts w:ascii="David" w:eastAsia="Times New Roman" w:hAnsi="David" w:cs="David"/>
          <w:sz w:val="26"/>
          <w:szCs w:val="26"/>
          <w:rtl/>
        </w:rPr>
        <w:t xml:space="preserve"> אם יש </w:t>
      </w:r>
      <w:r w:rsidR="004B1454">
        <w:rPr>
          <w:rFonts w:ascii="David" w:eastAsia="Times New Roman" w:hAnsi="David" w:cs="David" w:hint="cs"/>
          <w:sz w:val="26"/>
          <w:szCs w:val="26"/>
          <w:rtl/>
        </w:rPr>
        <w:t>בעסקאות אלו</w:t>
      </w:r>
      <w:r w:rsidR="004B1454">
        <w:rPr>
          <w:rFonts w:ascii="David" w:eastAsia="Times New Roman" w:hAnsi="David" w:cs="David"/>
          <w:sz w:val="26"/>
          <w:szCs w:val="26"/>
          <w:rtl/>
        </w:rPr>
        <w:t xml:space="preserve"> </w:t>
      </w:r>
      <w:r>
        <w:rPr>
          <w:rFonts w:ascii="David" w:eastAsia="Times New Roman" w:hAnsi="David" w:cs="David"/>
          <w:sz w:val="26"/>
          <w:szCs w:val="26"/>
          <w:rtl/>
        </w:rPr>
        <w:t>כדי לתמוך בתוצאה שאליה יגיע</w:t>
      </w:r>
      <w:r w:rsidR="00A653E3">
        <w:rPr>
          <w:rFonts w:ascii="David" w:eastAsia="Times New Roman" w:hAnsi="David" w:cs="David" w:hint="cs"/>
          <w:sz w:val="26"/>
          <w:szCs w:val="26"/>
          <w:rtl/>
        </w:rPr>
        <w:t xml:space="preserve"> לאחר שישיב על השאלות שהוצגו בפניו</w:t>
      </w:r>
      <w:r>
        <w:rPr>
          <w:rFonts w:ascii="David" w:eastAsia="Times New Roman" w:hAnsi="David" w:cs="David"/>
          <w:sz w:val="26"/>
          <w:szCs w:val="26"/>
          <w:rtl/>
        </w:rPr>
        <w:t xml:space="preserve">, </w:t>
      </w:r>
      <w:r w:rsidR="00A653E3">
        <w:rPr>
          <w:rFonts w:ascii="David" w:eastAsia="Times New Roman" w:hAnsi="David" w:cs="David" w:hint="cs"/>
          <w:sz w:val="26"/>
          <w:szCs w:val="26"/>
          <w:rtl/>
        </w:rPr>
        <w:t>ו</w:t>
      </w:r>
      <w:r>
        <w:rPr>
          <w:rFonts w:ascii="David" w:eastAsia="Times New Roman" w:hAnsi="David" w:cs="David"/>
          <w:sz w:val="26"/>
          <w:szCs w:val="26"/>
          <w:rtl/>
        </w:rPr>
        <w:t>לשמש אמת מידה לבחינת סבירותה או לסייע בהנמקתה. אין בכך כדי להתיר הגשת ראיות חדשות, הרחבת חזית או העלאת עילת תקיפה עצמאית מטעם המשיבות.</w:t>
      </w:r>
    </w:p>
    <w:p w14:paraId="36BA839C" w14:textId="049DBCBD" w:rsidR="002018C8" w:rsidRPr="0031585F" w:rsidRDefault="005340CB" w:rsidP="00680FE0">
      <w:pPr>
        <w:numPr>
          <w:ilvl w:val="0"/>
          <w:numId w:val="1"/>
        </w:numPr>
        <w:tabs>
          <w:tab w:val="clear" w:pos="720"/>
        </w:tabs>
        <w:spacing w:beforeLines="120" w:before="288" w:afterLines="120" w:after="288" w:line="360" w:lineRule="auto"/>
        <w:ind w:left="84" w:hanging="567"/>
        <w:jc w:val="both"/>
        <w:rPr>
          <w:rFonts w:ascii="David" w:eastAsia="Times New Roman" w:hAnsi="David" w:cs="David"/>
          <w:sz w:val="26"/>
          <w:szCs w:val="26"/>
          <w:rtl/>
        </w:rPr>
      </w:pPr>
      <w:r>
        <w:rPr>
          <w:rFonts w:ascii="David" w:eastAsia="Times New Roman" w:hAnsi="David" w:cs="David" w:hint="cs"/>
          <w:sz w:val="26"/>
          <w:szCs w:val="26"/>
          <w:rtl/>
        </w:rPr>
        <w:t xml:space="preserve">בשולי פרק זה נציין, כי </w:t>
      </w:r>
      <w:r w:rsidR="002018C8">
        <w:rPr>
          <w:rFonts w:ascii="David" w:eastAsia="Times New Roman" w:hAnsi="David" w:cs="David"/>
          <w:sz w:val="26"/>
          <w:szCs w:val="26"/>
          <w:rtl/>
        </w:rPr>
        <w:t xml:space="preserve">אין אנו נדרשים בשלב זה למשמעות האופרטיבית שתהא לכך אם הבחינה המחודשת תוביל לתוצאה נמוכה מזו שנקבעה בשומה המכרעת. שאלה זו, ככל שתתעורר בפועל, תיבחן לאחר קבלת הבהרותיו של השמאי המכריע. מובהר כי אין בהחלטה זו משום הארכת מועד להגשת ערר מטעם המשיבות או היתר להעלות טענות תקיפה שלא הועלו במועד. השוו: ערר (ת"א) 86029-05-24 </w:t>
      </w:r>
      <w:r w:rsidR="002018C8" w:rsidRPr="00196D1F">
        <w:rPr>
          <w:rFonts w:ascii="David" w:eastAsia="Times New Roman" w:hAnsi="David" w:cs="David"/>
          <w:b/>
          <w:bCs/>
          <w:sz w:val="26"/>
          <w:szCs w:val="26"/>
          <w:rtl/>
        </w:rPr>
        <w:t>מבני גזית 2000 בע"מ נ' הוועדה המקומית לתכנון ובניה תל אביב</w:t>
      </w:r>
      <w:r w:rsidR="002018C8">
        <w:rPr>
          <w:rFonts w:ascii="David" w:eastAsia="Times New Roman" w:hAnsi="David" w:cs="David"/>
          <w:sz w:val="26"/>
          <w:szCs w:val="26"/>
          <w:rtl/>
        </w:rPr>
        <w:t xml:space="preserve"> (נבו, 23.7.2025).</w:t>
      </w:r>
    </w:p>
    <w:p w14:paraId="6E58B72C" w14:textId="27C1B382" w:rsidR="00EA141E" w:rsidRPr="00F546A4" w:rsidRDefault="00EA141E" w:rsidP="00EA141E">
      <w:pPr>
        <w:spacing w:beforeLines="120" w:before="288" w:afterLines="120" w:after="288" w:line="360" w:lineRule="auto"/>
        <w:ind w:left="-58"/>
        <w:jc w:val="both"/>
        <w:rPr>
          <w:rFonts w:ascii="David" w:eastAsia="Times New Roman" w:hAnsi="David" w:cs="David"/>
          <w:b/>
          <w:bCs/>
          <w:sz w:val="30"/>
          <w:szCs w:val="30"/>
          <w:u w:val="single"/>
        </w:rPr>
      </w:pPr>
      <w:r w:rsidRPr="00F546A4">
        <w:rPr>
          <w:rFonts w:ascii="David" w:eastAsia="Times New Roman" w:hAnsi="David" w:cs="David" w:hint="cs"/>
          <w:b/>
          <w:bCs/>
          <w:sz w:val="30"/>
          <w:szCs w:val="30"/>
          <w:u w:val="single"/>
          <w:rtl/>
        </w:rPr>
        <w:t>הוראות לשמאי המכריע</w:t>
      </w:r>
    </w:p>
    <w:p w14:paraId="646FA91A" w14:textId="77777777" w:rsidR="000C619B" w:rsidRDefault="00EA141E" w:rsidP="00680FE0">
      <w:pPr>
        <w:numPr>
          <w:ilvl w:val="0"/>
          <w:numId w:val="1"/>
        </w:numPr>
        <w:tabs>
          <w:tab w:val="clear" w:pos="720"/>
        </w:tabs>
        <w:spacing w:beforeLines="120" w:before="288" w:afterLines="120" w:after="288" w:line="360" w:lineRule="auto"/>
        <w:ind w:left="84" w:hanging="567"/>
        <w:jc w:val="both"/>
        <w:rPr>
          <w:rFonts w:ascii="David" w:eastAsia="Times New Roman" w:hAnsi="David" w:cs="David"/>
          <w:sz w:val="26"/>
          <w:szCs w:val="26"/>
        </w:rPr>
      </w:pPr>
      <w:r>
        <w:rPr>
          <w:rFonts w:ascii="David" w:eastAsia="Times New Roman" w:hAnsi="David" w:cs="David"/>
          <w:sz w:val="26"/>
          <w:szCs w:val="26"/>
          <w:rtl/>
        </w:rPr>
        <w:t xml:space="preserve">השומות מוחזרות לשמאי המכריע אך ורק לצורך הבהרה ובדיקה נוספת בסוגיית שווי זכויות המגורים ובסוגיית המרחק מכביש 1, וכן לצורך שילוב התיקון המחייב במספר מקומות החניה. </w:t>
      </w:r>
    </w:p>
    <w:p w14:paraId="5F35162F" w14:textId="21D4A19D" w:rsidR="00EA141E" w:rsidRPr="00EA141E" w:rsidRDefault="00EA141E" w:rsidP="00680FE0">
      <w:pPr>
        <w:numPr>
          <w:ilvl w:val="0"/>
          <w:numId w:val="1"/>
        </w:numPr>
        <w:tabs>
          <w:tab w:val="clear" w:pos="720"/>
        </w:tabs>
        <w:spacing w:beforeLines="120" w:before="288" w:afterLines="120" w:after="288" w:line="360" w:lineRule="auto"/>
        <w:ind w:left="84" w:hanging="567"/>
        <w:jc w:val="both"/>
        <w:rPr>
          <w:rFonts w:ascii="David" w:eastAsia="Times New Roman" w:hAnsi="David" w:cs="David"/>
          <w:sz w:val="26"/>
          <w:szCs w:val="26"/>
          <w:rtl/>
        </w:rPr>
      </w:pPr>
      <w:r>
        <w:rPr>
          <w:rFonts w:ascii="David" w:eastAsia="Times New Roman" w:hAnsi="David" w:cs="David"/>
          <w:sz w:val="26"/>
          <w:szCs w:val="26"/>
          <w:rtl/>
        </w:rPr>
        <w:t xml:space="preserve">בתוך 14 ימים ממועד המצאת החלטה זו יעבירו הצדדים לשמאי המכריע את ההחלטה, את פרוטוקול הדיון, את כתבי הטענות </w:t>
      </w:r>
      <w:r w:rsidR="00BB4E36">
        <w:rPr>
          <w:rFonts w:ascii="David" w:eastAsia="Times New Roman" w:hAnsi="David" w:cs="David" w:hint="cs"/>
          <w:sz w:val="26"/>
          <w:szCs w:val="26"/>
          <w:rtl/>
        </w:rPr>
        <w:t xml:space="preserve">בהליך זה </w:t>
      </w:r>
      <w:r>
        <w:rPr>
          <w:rFonts w:ascii="David" w:eastAsia="Times New Roman" w:hAnsi="David" w:cs="David"/>
          <w:sz w:val="26"/>
          <w:szCs w:val="26"/>
          <w:rtl/>
        </w:rPr>
        <w:t>ואת החומר שהוגש בהליך המקורי לפניו.</w:t>
      </w:r>
    </w:p>
    <w:p w14:paraId="45416DBC" w14:textId="73E31495" w:rsidR="00EA141E" w:rsidRPr="00EA141E" w:rsidRDefault="00EA141E" w:rsidP="00680FE0">
      <w:pPr>
        <w:numPr>
          <w:ilvl w:val="0"/>
          <w:numId w:val="1"/>
        </w:numPr>
        <w:tabs>
          <w:tab w:val="clear" w:pos="720"/>
        </w:tabs>
        <w:spacing w:beforeLines="120" w:before="288" w:afterLines="120" w:after="288" w:line="360" w:lineRule="auto"/>
        <w:ind w:left="84" w:hanging="567"/>
        <w:jc w:val="both"/>
        <w:rPr>
          <w:rFonts w:ascii="David" w:eastAsia="Times New Roman" w:hAnsi="David" w:cs="David"/>
          <w:sz w:val="26"/>
          <w:szCs w:val="26"/>
          <w:rtl/>
        </w:rPr>
      </w:pPr>
      <w:r w:rsidRPr="00EA141E">
        <w:rPr>
          <w:rFonts w:ascii="David" w:eastAsia="Times New Roman" w:hAnsi="David" w:cs="David"/>
          <w:sz w:val="26"/>
          <w:szCs w:val="26"/>
          <w:rtl/>
        </w:rPr>
        <w:t>ככל שיסבור השמאי המכריע כי נדרשות השלמות טיעון מצומצמות, שאלות הבהרה או דיון נוסף לצורך מילוי ההוראות שלעיל, יקבע את סדרי הדין בהתאם לשיקול דעתו. אין בכך כדי לאפשר הרחבת חזית, הגשת ראיות חדשות או פתיחה מחדש של סוגיות שהוכרעו בהחלטה זו.</w:t>
      </w:r>
      <w:r>
        <w:rPr>
          <w:rFonts w:ascii="David" w:eastAsia="Times New Roman" w:hAnsi="David" w:cs="David" w:hint="cs"/>
          <w:sz w:val="26"/>
          <w:szCs w:val="26"/>
          <w:rtl/>
        </w:rPr>
        <w:t xml:space="preserve"> </w:t>
      </w:r>
    </w:p>
    <w:p w14:paraId="10AC33C7" w14:textId="190AD0A1" w:rsidR="00EA141E" w:rsidRPr="00EA141E" w:rsidRDefault="00440235" w:rsidP="00680FE0">
      <w:pPr>
        <w:numPr>
          <w:ilvl w:val="0"/>
          <w:numId w:val="1"/>
        </w:numPr>
        <w:tabs>
          <w:tab w:val="clear" w:pos="720"/>
        </w:tabs>
        <w:spacing w:beforeLines="120" w:before="288" w:afterLines="120" w:after="288" w:line="360" w:lineRule="auto"/>
        <w:ind w:left="84" w:hanging="567"/>
        <w:jc w:val="both"/>
        <w:rPr>
          <w:rFonts w:ascii="David" w:eastAsia="Times New Roman" w:hAnsi="David" w:cs="David"/>
          <w:sz w:val="26"/>
          <w:szCs w:val="26"/>
          <w:rtl/>
        </w:rPr>
      </w:pPr>
      <w:r>
        <w:rPr>
          <w:rFonts w:ascii="David" w:eastAsia="Times New Roman" w:hAnsi="David" w:cs="David" w:hint="cs"/>
          <w:sz w:val="26"/>
          <w:szCs w:val="26"/>
          <w:rtl/>
        </w:rPr>
        <w:t>במסמך ההב</w:t>
      </w:r>
      <w:r w:rsidR="00EF6D55">
        <w:rPr>
          <w:rFonts w:ascii="David" w:eastAsia="Times New Roman" w:hAnsi="David" w:cs="David" w:hint="cs"/>
          <w:sz w:val="26"/>
          <w:szCs w:val="26"/>
          <w:rtl/>
        </w:rPr>
        <w:t>ה</w:t>
      </w:r>
      <w:r>
        <w:rPr>
          <w:rFonts w:ascii="David" w:eastAsia="Times New Roman" w:hAnsi="David" w:cs="David" w:hint="cs"/>
          <w:sz w:val="26"/>
          <w:szCs w:val="26"/>
          <w:rtl/>
        </w:rPr>
        <w:t>רות או ב</w:t>
      </w:r>
      <w:r w:rsidR="00EA141E">
        <w:rPr>
          <w:rFonts w:ascii="David" w:eastAsia="Times New Roman" w:hAnsi="David" w:cs="David"/>
          <w:sz w:val="26"/>
          <w:szCs w:val="26"/>
          <w:rtl/>
        </w:rPr>
        <w:t>שומה המתוקנת, ככל שיהיה בה צורך, יפרטו בנפרד את הבדיקה ואת התיקונים שנערכו בעקבות כל אחת מן ההוראות שלעיל, ויציגו באופן ברור את השפעתם על שווי המקרקעין, על ההשבחה ועל היטל ההשבחה.</w:t>
      </w:r>
    </w:p>
    <w:p w14:paraId="287D0586" w14:textId="2B05E5D6" w:rsidR="00733ECD" w:rsidRDefault="00EA141E" w:rsidP="00680FE0">
      <w:pPr>
        <w:numPr>
          <w:ilvl w:val="0"/>
          <w:numId w:val="1"/>
        </w:numPr>
        <w:tabs>
          <w:tab w:val="clear" w:pos="720"/>
        </w:tabs>
        <w:spacing w:beforeLines="120" w:before="288" w:afterLines="120" w:after="288" w:line="360" w:lineRule="auto"/>
        <w:ind w:left="84" w:hanging="567"/>
        <w:jc w:val="both"/>
        <w:rPr>
          <w:rFonts w:ascii="David" w:eastAsia="Times New Roman" w:hAnsi="David" w:cs="David"/>
          <w:sz w:val="26"/>
          <w:szCs w:val="26"/>
        </w:rPr>
      </w:pPr>
      <w:r>
        <w:rPr>
          <w:rFonts w:ascii="David" w:eastAsia="Times New Roman" w:hAnsi="David" w:cs="David"/>
          <w:sz w:val="26"/>
          <w:szCs w:val="26"/>
          <w:rtl/>
        </w:rPr>
        <w:t xml:space="preserve">הצדדים יהיו רשאים </w:t>
      </w:r>
      <w:r>
        <w:rPr>
          <w:rFonts w:ascii="David" w:eastAsia="Times New Roman" w:hAnsi="David" w:cs="David" w:hint="cs"/>
          <w:sz w:val="26"/>
          <w:szCs w:val="26"/>
          <w:rtl/>
        </w:rPr>
        <w:t>להגיש השגה</w:t>
      </w:r>
      <w:r w:rsidR="00DC1C52">
        <w:rPr>
          <w:rFonts w:ascii="David" w:eastAsia="Times New Roman" w:hAnsi="David" w:cs="David" w:hint="cs"/>
          <w:sz w:val="26"/>
          <w:szCs w:val="26"/>
          <w:rtl/>
        </w:rPr>
        <w:t xml:space="preserve"> </w:t>
      </w:r>
      <w:r w:rsidR="00DC1C52">
        <w:rPr>
          <w:rFonts w:ascii="David" w:eastAsia="Times New Roman" w:hAnsi="David" w:cs="David"/>
          <w:sz w:val="26"/>
          <w:szCs w:val="26"/>
          <w:rtl/>
        </w:rPr>
        <w:t>ביחס לשומה המתוקנת או למסמך ההבהרות</w:t>
      </w:r>
      <w:r>
        <w:rPr>
          <w:rFonts w:ascii="David" w:eastAsia="Times New Roman" w:hAnsi="David" w:cs="David" w:hint="cs"/>
          <w:sz w:val="26"/>
          <w:szCs w:val="26"/>
          <w:rtl/>
        </w:rPr>
        <w:t xml:space="preserve"> בתוך 45 יום</w:t>
      </w:r>
      <w:r w:rsidR="00101109">
        <w:rPr>
          <w:rFonts w:ascii="David" w:eastAsia="Times New Roman" w:hAnsi="David" w:cs="David" w:hint="cs"/>
          <w:sz w:val="26"/>
          <w:szCs w:val="26"/>
          <w:rtl/>
        </w:rPr>
        <w:t xml:space="preserve"> ממועד</w:t>
      </w:r>
      <w:r>
        <w:rPr>
          <w:rFonts w:ascii="David" w:eastAsia="Times New Roman" w:hAnsi="David" w:cs="David" w:hint="cs"/>
          <w:sz w:val="26"/>
          <w:szCs w:val="26"/>
          <w:rtl/>
        </w:rPr>
        <w:t xml:space="preserve"> המצאת התייחסות השמאי המכריע,</w:t>
      </w:r>
      <w:r w:rsidR="00DC1C52">
        <w:rPr>
          <w:rFonts w:ascii="David" w:eastAsia="Times New Roman" w:hAnsi="David" w:cs="David" w:hint="cs"/>
          <w:sz w:val="26"/>
          <w:szCs w:val="26"/>
          <w:rtl/>
        </w:rPr>
        <w:t xml:space="preserve"> ו</w:t>
      </w:r>
      <w:r>
        <w:rPr>
          <w:rFonts w:ascii="David" w:eastAsia="Times New Roman" w:hAnsi="David" w:cs="David"/>
          <w:sz w:val="26"/>
          <w:szCs w:val="26"/>
          <w:rtl/>
        </w:rPr>
        <w:t>לפעול בהתאם להוראות הדין.</w:t>
      </w:r>
      <w:r w:rsidR="00733ECD">
        <w:rPr>
          <w:rFonts w:ascii="David" w:eastAsia="Times New Roman" w:hAnsi="David" w:cs="David" w:hint="cs"/>
          <w:sz w:val="26"/>
          <w:szCs w:val="26"/>
          <w:rtl/>
        </w:rPr>
        <w:t xml:space="preserve"> </w:t>
      </w:r>
    </w:p>
    <w:p w14:paraId="4D104ECE" w14:textId="547C1FC2" w:rsidR="00EA141E" w:rsidRDefault="00EA141E" w:rsidP="00680FE0">
      <w:pPr>
        <w:numPr>
          <w:ilvl w:val="0"/>
          <w:numId w:val="1"/>
        </w:numPr>
        <w:tabs>
          <w:tab w:val="clear" w:pos="720"/>
        </w:tabs>
        <w:spacing w:beforeLines="120" w:before="288" w:afterLines="120" w:after="288" w:line="360" w:lineRule="auto"/>
        <w:ind w:left="84" w:hanging="567"/>
        <w:jc w:val="both"/>
        <w:rPr>
          <w:rFonts w:ascii="David" w:eastAsia="Times New Roman" w:hAnsi="David" w:cs="David"/>
          <w:sz w:val="26"/>
          <w:szCs w:val="26"/>
        </w:rPr>
      </w:pPr>
      <w:r>
        <w:rPr>
          <w:rFonts w:ascii="David" w:eastAsia="Times New Roman" w:hAnsi="David" w:cs="David"/>
          <w:sz w:val="26"/>
          <w:szCs w:val="26"/>
          <w:rtl/>
        </w:rPr>
        <w:t>מובהר כי אין בהשבת הדיון לשמאי המכריע כדי לפתוח מחדש קביעות שנקבעו בהחלטה זו, אלא רק טענות הנוגעות לאופן יישומן ולהכרעות החדשות שיינתנו בסוגיות שהושבו.</w:t>
      </w:r>
    </w:p>
    <w:p w14:paraId="0CA88242" w14:textId="32D024F1" w:rsidR="00DA32C9" w:rsidRPr="003D5EE8" w:rsidRDefault="00DA32C9" w:rsidP="006E6D59">
      <w:pPr>
        <w:spacing w:beforeLines="120" w:before="288" w:afterLines="120" w:after="288" w:line="360" w:lineRule="auto"/>
        <w:jc w:val="both"/>
        <w:rPr>
          <w:rFonts w:ascii="David" w:eastAsia="Times New Roman" w:hAnsi="David" w:cs="David"/>
          <w:b/>
          <w:bCs/>
          <w:sz w:val="30"/>
          <w:szCs w:val="30"/>
          <w:u w:val="single"/>
        </w:rPr>
      </w:pPr>
      <w:r w:rsidRPr="003D5EE8">
        <w:rPr>
          <w:rFonts w:ascii="David" w:eastAsia="Times New Roman" w:hAnsi="David" w:cs="David"/>
          <w:b/>
          <w:bCs/>
          <w:sz w:val="30"/>
          <w:szCs w:val="30"/>
          <w:u w:val="single"/>
          <w:rtl/>
        </w:rPr>
        <w:lastRenderedPageBreak/>
        <w:t>הוצאות</w:t>
      </w:r>
      <w:r w:rsidR="003D5EE8" w:rsidRPr="003D5EE8">
        <w:rPr>
          <w:rFonts w:ascii="David" w:eastAsia="Times New Roman" w:hAnsi="David" w:cs="David" w:hint="cs"/>
          <w:b/>
          <w:bCs/>
          <w:sz w:val="30"/>
          <w:szCs w:val="30"/>
          <w:u w:val="single"/>
          <w:rtl/>
        </w:rPr>
        <w:t xml:space="preserve"> וסוף דבר</w:t>
      </w:r>
    </w:p>
    <w:p w14:paraId="7E0B6702" w14:textId="44BC9AC6" w:rsidR="00B43A8E" w:rsidRPr="00B43A8E" w:rsidRDefault="00E71DA8" w:rsidP="00B43A8E">
      <w:pPr>
        <w:numPr>
          <w:ilvl w:val="0"/>
          <w:numId w:val="1"/>
        </w:numPr>
        <w:tabs>
          <w:tab w:val="clear" w:pos="720"/>
        </w:tabs>
        <w:spacing w:beforeLines="120" w:before="288" w:afterLines="120" w:after="288" w:line="360" w:lineRule="auto"/>
        <w:ind w:left="84" w:hanging="567"/>
        <w:jc w:val="both"/>
        <w:rPr>
          <w:rFonts w:ascii="David" w:eastAsia="Times New Roman" w:hAnsi="David" w:cs="David"/>
          <w:sz w:val="26"/>
          <w:szCs w:val="26"/>
          <w:rtl/>
        </w:rPr>
      </w:pPr>
      <w:r w:rsidRPr="00E71DA8">
        <w:rPr>
          <w:rFonts w:ascii="David" w:eastAsia="Times New Roman" w:hAnsi="David" w:cs="David"/>
          <w:sz w:val="26"/>
          <w:szCs w:val="26"/>
          <w:rtl/>
        </w:rPr>
        <w:t>תוצאת העררים מעורבת. במכלול הדברים מרבית טענותיה של הוועדה המקומית נדחו; טענתה בדבר מספר מקומות החניה התקבלה</w:t>
      </w:r>
      <w:r w:rsidR="00805C92">
        <w:rPr>
          <w:rFonts w:ascii="David" w:eastAsia="Times New Roman" w:hAnsi="David" w:cs="David" w:hint="cs"/>
          <w:sz w:val="26"/>
          <w:szCs w:val="26"/>
          <w:rtl/>
        </w:rPr>
        <w:t xml:space="preserve"> בהסכמה</w:t>
      </w:r>
      <w:r w:rsidRPr="00E71DA8">
        <w:rPr>
          <w:rFonts w:ascii="David" w:eastAsia="Times New Roman" w:hAnsi="David" w:cs="David"/>
          <w:sz w:val="26"/>
          <w:szCs w:val="26"/>
          <w:rtl/>
        </w:rPr>
        <w:t>; ובעניין שווי המגורים נדרשת הבהרה נוספת (כמו גם, הרבה למעלה מן הצורך, בעניין המרחק מהכביש)</w:t>
      </w:r>
      <w:r w:rsidR="00B43A8E" w:rsidRPr="00B43A8E">
        <w:rPr>
          <w:rFonts w:ascii="David" w:eastAsia="Times New Roman" w:hAnsi="David" w:cs="David"/>
          <w:sz w:val="26"/>
          <w:szCs w:val="26"/>
          <w:rtl/>
        </w:rPr>
        <w:t>.</w:t>
      </w:r>
    </w:p>
    <w:p w14:paraId="167BAC3E" w14:textId="77777777" w:rsidR="00B43A8E" w:rsidRPr="00B43A8E" w:rsidRDefault="00B43A8E" w:rsidP="00B43A8E">
      <w:pPr>
        <w:numPr>
          <w:ilvl w:val="0"/>
          <w:numId w:val="1"/>
        </w:numPr>
        <w:tabs>
          <w:tab w:val="clear" w:pos="720"/>
        </w:tabs>
        <w:spacing w:beforeLines="120" w:before="288" w:afterLines="120" w:after="288" w:line="360" w:lineRule="auto"/>
        <w:ind w:left="84" w:hanging="567"/>
        <w:jc w:val="both"/>
        <w:rPr>
          <w:rFonts w:ascii="David" w:eastAsia="Times New Roman" w:hAnsi="David" w:cs="David"/>
          <w:sz w:val="26"/>
          <w:szCs w:val="26"/>
          <w:rtl/>
        </w:rPr>
      </w:pPr>
      <w:r w:rsidRPr="00B43A8E">
        <w:rPr>
          <w:rFonts w:ascii="David" w:eastAsia="Times New Roman" w:hAnsi="David" w:cs="David"/>
          <w:sz w:val="26"/>
          <w:szCs w:val="26"/>
          <w:rtl/>
        </w:rPr>
        <w:t>לחובת הוועדה המקומית יש להביא גם את אופן הצגת טענותיה בעניין שווי החניה, כפי שפורט בהרחבה לעיל.</w:t>
      </w:r>
    </w:p>
    <w:p w14:paraId="218B8B62" w14:textId="48F01C56" w:rsidR="00B43A8E" w:rsidRPr="00B43A8E" w:rsidRDefault="00B43A8E" w:rsidP="00B43A8E">
      <w:pPr>
        <w:numPr>
          <w:ilvl w:val="0"/>
          <w:numId w:val="1"/>
        </w:numPr>
        <w:tabs>
          <w:tab w:val="clear" w:pos="720"/>
        </w:tabs>
        <w:spacing w:beforeLines="120" w:before="288" w:afterLines="120" w:after="288" w:line="360" w:lineRule="auto"/>
        <w:ind w:left="84" w:hanging="567"/>
        <w:jc w:val="both"/>
        <w:rPr>
          <w:rFonts w:ascii="David" w:eastAsia="Times New Roman" w:hAnsi="David" w:cs="David"/>
          <w:sz w:val="26"/>
          <w:szCs w:val="26"/>
          <w:rtl/>
        </w:rPr>
      </w:pPr>
      <w:r w:rsidRPr="00B43A8E">
        <w:rPr>
          <w:rFonts w:ascii="David" w:eastAsia="Times New Roman" w:hAnsi="David" w:cs="David"/>
          <w:sz w:val="26"/>
          <w:szCs w:val="26"/>
          <w:rtl/>
        </w:rPr>
        <w:t xml:space="preserve">מנגד, יש לזקוף לזכות המשיבות את התנהלותן בסוגיית מספר מקומות החניה: משנוכחו כי נפלה טעות בתחשיב שערך </w:t>
      </w:r>
      <w:r w:rsidR="00BC12BA">
        <w:rPr>
          <w:rFonts w:ascii="David" w:eastAsia="Times New Roman" w:hAnsi="David" w:cs="David" w:hint="cs"/>
          <w:sz w:val="26"/>
          <w:szCs w:val="26"/>
          <w:rtl/>
        </w:rPr>
        <w:t>השמאי המכריע</w:t>
      </w:r>
      <w:r w:rsidRPr="00B43A8E">
        <w:rPr>
          <w:rFonts w:ascii="David" w:eastAsia="Times New Roman" w:hAnsi="David" w:cs="David"/>
          <w:sz w:val="26"/>
          <w:szCs w:val="26"/>
          <w:rtl/>
        </w:rPr>
        <w:t>, לא ביקשו להיאחז בה חרף התוצאה הכספית הנוחה להן, אלא ויתרו על הטענה במפורש כבר במהלך הדיון - התנהלות התורמת לייעול הדיון וההולמת בעל דין בהליך שתכליתו בירור ההשבחה וגביית מס אמת.</w:t>
      </w:r>
    </w:p>
    <w:p w14:paraId="016F05AC" w14:textId="2F676D74" w:rsidR="00B43A8E" w:rsidRPr="00B43A8E" w:rsidRDefault="00B43A8E" w:rsidP="00B43A8E">
      <w:pPr>
        <w:numPr>
          <w:ilvl w:val="0"/>
          <w:numId w:val="1"/>
        </w:numPr>
        <w:tabs>
          <w:tab w:val="clear" w:pos="720"/>
        </w:tabs>
        <w:spacing w:beforeLines="120" w:before="288" w:afterLines="120" w:after="288" w:line="360" w:lineRule="auto"/>
        <w:ind w:left="84" w:hanging="567"/>
        <w:jc w:val="both"/>
        <w:rPr>
          <w:rFonts w:ascii="David" w:eastAsia="Times New Roman" w:hAnsi="David" w:cs="David"/>
          <w:sz w:val="26"/>
          <w:szCs w:val="26"/>
          <w:rtl/>
        </w:rPr>
      </w:pPr>
      <w:r w:rsidRPr="00B43A8E">
        <w:rPr>
          <w:rFonts w:ascii="David" w:eastAsia="Times New Roman" w:hAnsi="David" w:cs="David"/>
          <w:sz w:val="26"/>
          <w:szCs w:val="26"/>
          <w:rtl/>
        </w:rPr>
        <w:t xml:space="preserve">יחד עם זאת, אין להתעלם מכך שסוגיית מספר מקומות החניה הוכרעה לגופה לטובת הוועדה המקומית. אלא שמשעה שמדובר בטעות אריתמטית ברורה שהודו בה המשיבות בעצמן, כך שלא נדרשה הכרעה מקצועית או משפטית מורכבת - </w:t>
      </w:r>
      <w:r w:rsidR="00297DE6" w:rsidRPr="00297DE6">
        <w:rPr>
          <w:rFonts w:ascii="David" w:eastAsia="Times New Roman" w:hAnsi="David" w:cs="David"/>
          <w:sz w:val="26"/>
          <w:szCs w:val="26"/>
          <w:rtl/>
        </w:rPr>
        <w:t>אין בכך כדי לשנות את מסקנתנו באשר להוצאות, בהינתן יתר הטענות שהעלתה הוועדה המקומית ונדחו, וכלל התנהלותה בהליך זה</w:t>
      </w:r>
      <w:r w:rsidRPr="00B43A8E">
        <w:rPr>
          <w:rFonts w:ascii="David" w:eastAsia="Times New Roman" w:hAnsi="David" w:cs="David"/>
          <w:sz w:val="26"/>
          <w:szCs w:val="26"/>
          <w:rtl/>
        </w:rPr>
        <w:t>.</w:t>
      </w:r>
    </w:p>
    <w:p w14:paraId="1B394D83" w14:textId="322F420A" w:rsidR="00B43A8E" w:rsidRPr="00B43A8E" w:rsidRDefault="00B43A8E" w:rsidP="00B43A8E">
      <w:pPr>
        <w:numPr>
          <w:ilvl w:val="0"/>
          <w:numId w:val="1"/>
        </w:numPr>
        <w:tabs>
          <w:tab w:val="clear" w:pos="720"/>
        </w:tabs>
        <w:spacing w:beforeLines="120" w:before="288" w:afterLines="120" w:after="288" w:line="360" w:lineRule="auto"/>
        <w:ind w:left="84" w:hanging="567"/>
        <w:jc w:val="both"/>
        <w:rPr>
          <w:rFonts w:ascii="David" w:eastAsia="Times New Roman" w:hAnsi="David" w:cs="David"/>
          <w:sz w:val="26"/>
          <w:szCs w:val="26"/>
          <w:rtl/>
        </w:rPr>
      </w:pPr>
      <w:r w:rsidRPr="00B43A8E">
        <w:rPr>
          <w:rFonts w:ascii="David" w:eastAsia="Times New Roman" w:hAnsi="David" w:cs="David"/>
          <w:sz w:val="26"/>
          <w:szCs w:val="26"/>
          <w:rtl/>
        </w:rPr>
        <w:t xml:space="preserve">בשקלול מכלול השיקולים, ובהתאם לגובה השומה המכרעת, מצאנו לחייב את הוועדה המקומית בהוצאות המשיבות בסך כולל של 12,000 ש"ח, בשלב זה. </w:t>
      </w:r>
    </w:p>
    <w:p w14:paraId="005F4CA6" w14:textId="6D817D8D" w:rsidR="00B43A8E" w:rsidRPr="00B43A8E" w:rsidRDefault="00B43A8E" w:rsidP="00B43A8E">
      <w:pPr>
        <w:numPr>
          <w:ilvl w:val="0"/>
          <w:numId w:val="1"/>
        </w:numPr>
        <w:tabs>
          <w:tab w:val="clear" w:pos="720"/>
        </w:tabs>
        <w:spacing w:beforeLines="120" w:before="288" w:afterLines="120" w:after="288" w:line="360" w:lineRule="auto"/>
        <w:ind w:left="84" w:hanging="567"/>
        <w:jc w:val="both"/>
        <w:rPr>
          <w:rFonts w:ascii="David" w:eastAsia="Times New Roman" w:hAnsi="David" w:cs="David"/>
          <w:sz w:val="26"/>
          <w:szCs w:val="26"/>
          <w:rtl/>
        </w:rPr>
      </w:pPr>
      <w:r w:rsidRPr="00B43A8E">
        <w:rPr>
          <w:rFonts w:ascii="David" w:eastAsia="Times New Roman" w:hAnsi="David" w:cs="David"/>
          <w:sz w:val="26"/>
          <w:szCs w:val="26"/>
          <w:rtl/>
        </w:rPr>
        <w:t xml:space="preserve">שאלת ההוצאות ביחס לסוגיות שהושבו תידון, ככל </w:t>
      </w:r>
      <w:r w:rsidR="004C20D3">
        <w:rPr>
          <w:rFonts w:ascii="David" w:eastAsia="Times New Roman" w:hAnsi="David" w:cs="David" w:hint="cs"/>
          <w:sz w:val="26"/>
          <w:szCs w:val="26"/>
          <w:rtl/>
        </w:rPr>
        <w:t>שנדרש ל</w:t>
      </w:r>
      <w:r w:rsidR="00934689">
        <w:rPr>
          <w:rFonts w:ascii="David" w:eastAsia="Times New Roman" w:hAnsi="David" w:cs="David" w:hint="cs"/>
          <w:sz w:val="26"/>
          <w:szCs w:val="26"/>
          <w:rtl/>
        </w:rPr>
        <w:t>טענות נוספות</w:t>
      </w:r>
      <w:r w:rsidRPr="00B43A8E">
        <w:rPr>
          <w:rFonts w:ascii="David" w:eastAsia="Times New Roman" w:hAnsi="David" w:cs="David"/>
          <w:sz w:val="26"/>
          <w:szCs w:val="26"/>
          <w:rtl/>
        </w:rPr>
        <w:t>, לאחר קבלת התייחסותו של השמאי המכריע.</w:t>
      </w:r>
    </w:p>
    <w:p w14:paraId="630C21CE" w14:textId="77777777" w:rsidR="00B43A8E" w:rsidRPr="00B43A8E" w:rsidRDefault="00B43A8E" w:rsidP="00B43A8E">
      <w:pPr>
        <w:numPr>
          <w:ilvl w:val="0"/>
          <w:numId w:val="1"/>
        </w:numPr>
        <w:tabs>
          <w:tab w:val="clear" w:pos="720"/>
        </w:tabs>
        <w:spacing w:beforeLines="120" w:before="288" w:afterLines="120" w:after="288" w:line="360" w:lineRule="auto"/>
        <w:ind w:left="84" w:hanging="567"/>
        <w:jc w:val="both"/>
        <w:rPr>
          <w:rFonts w:ascii="David" w:eastAsia="Times New Roman" w:hAnsi="David" w:cs="David"/>
          <w:sz w:val="26"/>
          <w:szCs w:val="26"/>
          <w:rtl/>
        </w:rPr>
      </w:pPr>
      <w:r w:rsidRPr="00B43A8E">
        <w:rPr>
          <w:rFonts w:ascii="David" w:eastAsia="Times New Roman" w:hAnsi="David" w:cs="David"/>
          <w:sz w:val="26"/>
          <w:szCs w:val="26"/>
          <w:rtl/>
        </w:rPr>
        <w:t>הסכום ישולם למשיבות בתוך 30 ימים ממועד המצאת החלטה זו, שאם לא כן יישא הפרשי הצמדה וריבית כדין עד לתשלום בפועל.</w:t>
      </w:r>
    </w:p>
    <w:p w14:paraId="6379C572" w14:textId="4920956B" w:rsidR="00B43A8E" w:rsidRDefault="00B43A8E" w:rsidP="00B43A8E">
      <w:pPr>
        <w:numPr>
          <w:ilvl w:val="0"/>
          <w:numId w:val="1"/>
        </w:numPr>
        <w:tabs>
          <w:tab w:val="clear" w:pos="720"/>
        </w:tabs>
        <w:spacing w:beforeLines="120" w:before="288" w:afterLines="120" w:after="288" w:line="360" w:lineRule="auto"/>
        <w:ind w:left="84" w:hanging="567"/>
        <w:jc w:val="both"/>
        <w:rPr>
          <w:rFonts w:ascii="David" w:eastAsia="Times New Roman" w:hAnsi="David" w:cs="David"/>
          <w:sz w:val="26"/>
          <w:szCs w:val="26"/>
        </w:rPr>
      </w:pPr>
      <w:r w:rsidRPr="00B43A8E">
        <w:rPr>
          <w:rFonts w:ascii="David" w:eastAsia="Times New Roman" w:hAnsi="David" w:cs="David"/>
          <w:sz w:val="26"/>
          <w:szCs w:val="26"/>
          <w:rtl/>
        </w:rPr>
        <w:t>ההחלטה ניתנה פה אחד.</w:t>
      </w:r>
    </w:p>
    <w:p w14:paraId="11921A07" w14:textId="77777777" w:rsidR="00B10E47" w:rsidRDefault="00B10E47" w:rsidP="00B10E47">
      <w:pPr>
        <w:rPr>
          <w:rFonts w:ascii="David" w:hAnsi="David" w:cs="David"/>
          <w:b/>
          <w:bCs/>
          <w:sz w:val="28"/>
          <w:szCs w:val="28"/>
          <w:rtl/>
        </w:rPr>
      </w:pPr>
      <w:bookmarkStart w:id="1" w:name="_Hlk234742856"/>
      <w:bookmarkStart w:id="2" w:name="_Hlk228271233"/>
      <w:r w:rsidRPr="00746CBE">
        <w:rPr>
          <w:rFonts w:ascii="David" w:hAnsi="David" w:cs="David"/>
          <w:b/>
          <w:bCs/>
          <w:sz w:val="28"/>
          <w:szCs w:val="28"/>
          <w:rtl/>
        </w:rPr>
        <w:t xml:space="preserve">ההחלטה ניתנה ביום </w:t>
      </w:r>
      <w:r>
        <w:rPr>
          <w:rFonts w:ascii="David" w:hAnsi="David" w:cs="David" w:hint="cs"/>
          <w:b/>
          <w:bCs/>
          <w:sz w:val="28"/>
          <w:szCs w:val="28"/>
          <w:rtl/>
        </w:rPr>
        <w:t xml:space="preserve">ראשון י"ט באב </w:t>
      </w:r>
      <w:r w:rsidRPr="00746CBE">
        <w:rPr>
          <w:rFonts w:ascii="David" w:hAnsi="David" w:cs="David"/>
          <w:b/>
          <w:bCs/>
          <w:sz w:val="28"/>
          <w:szCs w:val="28"/>
          <w:rtl/>
        </w:rPr>
        <w:t xml:space="preserve">תשפ"ו, </w:t>
      </w:r>
      <w:r>
        <w:rPr>
          <w:rFonts w:ascii="David" w:hAnsi="David" w:cs="David" w:hint="cs"/>
          <w:b/>
          <w:bCs/>
          <w:sz w:val="28"/>
          <w:szCs w:val="28"/>
          <w:rtl/>
        </w:rPr>
        <w:t>02/08</w:t>
      </w:r>
      <w:r w:rsidRPr="00746CBE">
        <w:rPr>
          <w:rFonts w:ascii="David" w:hAnsi="David" w:cs="David"/>
          <w:b/>
          <w:bCs/>
          <w:sz w:val="28"/>
          <w:szCs w:val="28"/>
          <w:rtl/>
        </w:rPr>
        <w:t>/2026</w:t>
      </w:r>
    </w:p>
    <w:bookmarkEnd w:id="1"/>
    <w:p w14:paraId="2CFD3970" w14:textId="5AD04A06" w:rsidR="00B10E47" w:rsidRDefault="00B10E47" w:rsidP="00B10E47">
      <w:pPr>
        <w:rPr>
          <w:rtl/>
        </w:rPr>
      </w:pPr>
    </w:p>
    <w:p w14:paraId="03B4B235" w14:textId="77777777" w:rsidR="00B10E47" w:rsidRDefault="00B10E47" w:rsidP="00B10E47">
      <w:pPr>
        <w:rPr>
          <w:rtl/>
        </w:rPr>
      </w:pPr>
    </w:p>
    <w:p w14:paraId="09914EB0" w14:textId="77777777" w:rsidR="00B10E47" w:rsidRPr="000700A7" w:rsidRDefault="00B10E47" w:rsidP="00B10E47">
      <w:pPr>
        <w:pStyle w:val="a4"/>
        <w:spacing w:line="360" w:lineRule="auto"/>
        <w:ind w:left="360"/>
        <w:jc w:val="both"/>
        <w:rPr>
          <w:rtl/>
        </w:rPr>
      </w:pPr>
      <w:bookmarkStart w:id="3" w:name="_Hlk220405860"/>
      <w:r w:rsidRPr="000700A7">
        <w:rPr>
          <w:rtl/>
        </w:rPr>
        <w:t>____________________</w:t>
      </w:r>
      <w:r w:rsidRPr="000700A7">
        <w:rPr>
          <w:rtl/>
        </w:rPr>
        <w:tab/>
      </w:r>
      <w:r w:rsidRPr="000700A7">
        <w:rPr>
          <w:rtl/>
        </w:rPr>
        <w:tab/>
      </w:r>
      <w:r w:rsidRPr="000700A7">
        <w:rPr>
          <w:rtl/>
        </w:rPr>
        <w:tab/>
      </w:r>
      <w:r w:rsidRPr="000700A7">
        <w:rPr>
          <w:rtl/>
        </w:rPr>
        <w:tab/>
      </w:r>
      <w:r>
        <w:rPr>
          <w:rFonts w:hint="cs"/>
          <w:rtl/>
        </w:rPr>
        <w:t xml:space="preserve">   </w:t>
      </w:r>
      <w:r w:rsidRPr="000700A7">
        <w:rPr>
          <w:rtl/>
        </w:rPr>
        <w:t>____________________</w:t>
      </w:r>
    </w:p>
    <w:p w14:paraId="268476FA" w14:textId="77777777" w:rsidR="00B10E47" w:rsidRPr="00893DA0" w:rsidRDefault="00B10E47" w:rsidP="00B10E47">
      <w:pPr>
        <w:pStyle w:val="a4"/>
        <w:spacing w:line="360" w:lineRule="auto"/>
        <w:ind w:left="360"/>
        <w:jc w:val="both"/>
        <w:rPr>
          <w:rFonts w:ascii="David" w:hAnsi="David" w:cs="David"/>
          <w:b/>
          <w:bCs/>
          <w:sz w:val="24"/>
          <w:szCs w:val="24"/>
          <w:rtl/>
        </w:rPr>
      </w:pPr>
      <w:r w:rsidRPr="00893DA0">
        <w:rPr>
          <w:rFonts w:hint="cs"/>
          <w:b/>
          <w:bCs/>
          <w:rtl/>
        </w:rPr>
        <w:t xml:space="preserve">     </w:t>
      </w:r>
      <w:r w:rsidRPr="00893DA0">
        <w:rPr>
          <w:rFonts w:ascii="David" w:hAnsi="David" w:cs="David" w:hint="cs"/>
          <w:b/>
          <w:bCs/>
          <w:sz w:val="24"/>
          <w:szCs w:val="24"/>
          <w:rtl/>
        </w:rPr>
        <w:t xml:space="preserve">שחר דדון, עו"ד </w:t>
      </w:r>
      <w:r w:rsidRPr="00893DA0">
        <w:rPr>
          <w:rFonts w:ascii="David" w:hAnsi="David" w:cs="David"/>
          <w:b/>
          <w:bCs/>
          <w:sz w:val="24"/>
          <w:szCs w:val="24"/>
          <w:rtl/>
        </w:rPr>
        <w:tab/>
      </w:r>
      <w:r w:rsidRPr="00893DA0">
        <w:rPr>
          <w:rFonts w:ascii="David" w:hAnsi="David" w:cs="David"/>
          <w:b/>
          <w:bCs/>
          <w:sz w:val="24"/>
          <w:szCs w:val="24"/>
          <w:rtl/>
        </w:rPr>
        <w:tab/>
      </w:r>
      <w:r w:rsidRPr="00893DA0">
        <w:rPr>
          <w:rFonts w:ascii="David" w:hAnsi="David" w:cs="David"/>
          <w:b/>
          <w:bCs/>
          <w:sz w:val="24"/>
          <w:szCs w:val="24"/>
          <w:rtl/>
        </w:rPr>
        <w:tab/>
      </w:r>
      <w:r w:rsidRPr="00893DA0">
        <w:rPr>
          <w:rFonts w:ascii="David" w:hAnsi="David" w:cs="David" w:hint="cs"/>
          <w:b/>
          <w:bCs/>
          <w:sz w:val="24"/>
          <w:szCs w:val="24"/>
          <w:rtl/>
        </w:rPr>
        <w:t xml:space="preserve">                                </w:t>
      </w:r>
      <w:r>
        <w:rPr>
          <w:rFonts w:ascii="David" w:hAnsi="David" w:cs="David" w:hint="cs"/>
          <w:b/>
          <w:bCs/>
          <w:sz w:val="24"/>
          <w:szCs w:val="24"/>
          <w:rtl/>
        </w:rPr>
        <w:t xml:space="preserve"> </w:t>
      </w:r>
      <w:r w:rsidRPr="00893DA0">
        <w:rPr>
          <w:rFonts w:ascii="David" w:hAnsi="David" w:cs="David" w:hint="cs"/>
          <w:b/>
          <w:bCs/>
          <w:sz w:val="24"/>
          <w:szCs w:val="24"/>
          <w:rtl/>
        </w:rPr>
        <w:t xml:space="preserve"> </w:t>
      </w:r>
      <w:r>
        <w:rPr>
          <w:rFonts w:ascii="David" w:hAnsi="David" w:cs="David" w:hint="cs"/>
          <w:b/>
          <w:bCs/>
          <w:sz w:val="24"/>
          <w:szCs w:val="24"/>
          <w:rtl/>
        </w:rPr>
        <w:t xml:space="preserve">     </w:t>
      </w:r>
      <w:r w:rsidRPr="00893DA0">
        <w:rPr>
          <w:rFonts w:ascii="David" w:hAnsi="David" w:cs="David" w:hint="cs"/>
          <w:b/>
          <w:bCs/>
          <w:sz w:val="24"/>
          <w:szCs w:val="24"/>
          <w:rtl/>
        </w:rPr>
        <w:t xml:space="preserve"> הלל גלקופ</w:t>
      </w:r>
      <w:r w:rsidRPr="00893DA0">
        <w:rPr>
          <w:rFonts w:ascii="David" w:hAnsi="David" w:cs="David"/>
          <w:b/>
          <w:bCs/>
          <w:sz w:val="24"/>
          <w:szCs w:val="24"/>
          <w:rtl/>
        </w:rPr>
        <w:t>, עו"ד</w:t>
      </w:r>
    </w:p>
    <w:p w14:paraId="42D521C6" w14:textId="77777777" w:rsidR="00B10E47" w:rsidRPr="00893DA0" w:rsidRDefault="00B10E47" w:rsidP="00B10E47">
      <w:pPr>
        <w:pStyle w:val="a4"/>
        <w:spacing w:line="360" w:lineRule="auto"/>
        <w:ind w:left="360"/>
        <w:jc w:val="both"/>
        <w:rPr>
          <w:rFonts w:ascii="David" w:hAnsi="David" w:cs="David"/>
          <w:b/>
          <w:bCs/>
          <w:sz w:val="24"/>
          <w:szCs w:val="24"/>
          <w:rtl/>
        </w:rPr>
      </w:pPr>
      <w:r w:rsidRPr="00893DA0">
        <w:rPr>
          <w:rFonts w:ascii="David" w:hAnsi="David" w:cs="David" w:hint="cs"/>
          <w:b/>
          <w:bCs/>
          <w:sz w:val="24"/>
          <w:szCs w:val="24"/>
          <w:rtl/>
        </w:rPr>
        <w:t xml:space="preserve">      </w:t>
      </w:r>
      <w:r w:rsidRPr="00893DA0">
        <w:rPr>
          <w:rFonts w:ascii="David" w:hAnsi="David" w:cs="David"/>
          <w:b/>
          <w:bCs/>
          <w:sz w:val="24"/>
          <w:szCs w:val="24"/>
          <w:rtl/>
        </w:rPr>
        <w:t>מזכיר</w:t>
      </w:r>
      <w:r w:rsidRPr="00893DA0">
        <w:rPr>
          <w:rFonts w:ascii="David" w:hAnsi="David" w:cs="David" w:hint="cs"/>
          <w:b/>
          <w:bCs/>
          <w:sz w:val="24"/>
          <w:szCs w:val="24"/>
          <w:rtl/>
        </w:rPr>
        <w:t>ת</w:t>
      </w:r>
      <w:r w:rsidRPr="00893DA0">
        <w:rPr>
          <w:rFonts w:ascii="David" w:hAnsi="David" w:cs="David"/>
          <w:b/>
          <w:bCs/>
          <w:sz w:val="24"/>
          <w:szCs w:val="24"/>
          <w:rtl/>
        </w:rPr>
        <w:t xml:space="preserve"> ועדת ערר</w:t>
      </w:r>
      <w:r w:rsidRPr="00893DA0">
        <w:rPr>
          <w:rFonts w:ascii="David" w:hAnsi="David" w:cs="David"/>
          <w:b/>
          <w:bCs/>
          <w:sz w:val="24"/>
          <w:szCs w:val="24"/>
          <w:rtl/>
        </w:rPr>
        <w:tab/>
      </w:r>
      <w:r w:rsidRPr="00893DA0">
        <w:rPr>
          <w:rFonts w:ascii="David" w:hAnsi="David" w:cs="David"/>
          <w:b/>
          <w:bCs/>
          <w:sz w:val="24"/>
          <w:szCs w:val="24"/>
          <w:rtl/>
        </w:rPr>
        <w:tab/>
      </w:r>
      <w:r w:rsidRPr="00893DA0">
        <w:rPr>
          <w:rFonts w:ascii="David" w:hAnsi="David" w:cs="David"/>
          <w:b/>
          <w:bCs/>
          <w:sz w:val="24"/>
          <w:szCs w:val="24"/>
          <w:rtl/>
        </w:rPr>
        <w:tab/>
      </w:r>
      <w:r w:rsidRPr="00893DA0">
        <w:rPr>
          <w:rFonts w:ascii="David" w:hAnsi="David" w:cs="David" w:hint="cs"/>
          <w:b/>
          <w:bCs/>
          <w:sz w:val="24"/>
          <w:szCs w:val="24"/>
          <w:rtl/>
        </w:rPr>
        <w:t xml:space="preserve">           </w:t>
      </w:r>
      <w:r w:rsidRPr="00893DA0">
        <w:rPr>
          <w:rFonts w:ascii="David" w:hAnsi="David" w:cs="David"/>
          <w:b/>
          <w:bCs/>
          <w:sz w:val="24"/>
          <w:szCs w:val="24"/>
          <w:rtl/>
        </w:rPr>
        <w:tab/>
      </w:r>
      <w:r w:rsidRPr="00893DA0">
        <w:rPr>
          <w:rFonts w:ascii="David" w:hAnsi="David" w:cs="David"/>
          <w:b/>
          <w:bCs/>
          <w:sz w:val="24"/>
          <w:szCs w:val="24"/>
          <w:rtl/>
        </w:rPr>
        <w:tab/>
        <w:t>יו"ר ועדת ערר</w:t>
      </w:r>
    </w:p>
    <w:p w14:paraId="6AFC0373" w14:textId="3870CF5F" w:rsidR="00134D3F" w:rsidRPr="00B10E47" w:rsidRDefault="00B10E47" w:rsidP="00B10E47">
      <w:pPr>
        <w:pStyle w:val="a4"/>
        <w:spacing w:line="360" w:lineRule="auto"/>
        <w:ind w:left="360"/>
        <w:jc w:val="both"/>
        <w:rPr>
          <w:rFonts w:ascii="David" w:hAnsi="David" w:cs="David"/>
          <w:b/>
          <w:bCs/>
          <w:sz w:val="24"/>
          <w:szCs w:val="24"/>
        </w:rPr>
      </w:pPr>
      <w:r w:rsidRPr="00893DA0">
        <w:rPr>
          <w:rFonts w:ascii="David" w:hAnsi="David" w:cs="David" w:hint="cs"/>
          <w:b/>
          <w:bCs/>
          <w:sz w:val="24"/>
          <w:szCs w:val="24"/>
          <w:rtl/>
        </w:rPr>
        <w:t xml:space="preserve">      </w:t>
      </w:r>
      <w:r w:rsidRPr="00893DA0">
        <w:rPr>
          <w:rFonts w:ascii="David" w:hAnsi="David" w:cs="David"/>
          <w:b/>
          <w:bCs/>
          <w:sz w:val="24"/>
          <w:szCs w:val="24"/>
          <w:rtl/>
        </w:rPr>
        <w:t>מחוז תל אביב</w:t>
      </w:r>
      <w:r w:rsidRPr="00893DA0">
        <w:rPr>
          <w:rFonts w:ascii="David" w:hAnsi="David" w:cs="David"/>
          <w:b/>
          <w:bCs/>
          <w:sz w:val="24"/>
          <w:szCs w:val="24"/>
          <w:rtl/>
        </w:rPr>
        <w:tab/>
      </w:r>
      <w:r w:rsidRPr="00893DA0">
        <w:rPr>
          <w:rFonts w:ascii="David" w:hAnsi="David" w:cs="David"/>
          <w:b/>
          <w:bCs/>
          <w:sz w:val="24"/>
          <w:szCs w:val="24"/>
          <w:rtl/>
        </w:rPr>
        <w:tab/>
      </w:r>
      <w:r w:rsidRPr="00893DA0">
        <w:rPr>
          <w:rFonts w:ascii="David" w:hAnsi="David" w:cs="David"/>
          <w:b/>
          <w:bCs/>
          <w:sz w:val="24"/>
          <w:szCs w:val="24"/>
          <w:rtl/>
        </w:rPr>
        <w:tab/>
      </w:r>
      <w:r w:rsidRPr="00893DA0">
        <w:rPr>
          <w:rFonts w:ascii="David" w:hAnsi="David" w:cs="David"/>
          <w:b/>
          <w:bCs/>
          <w:sz w:val="24"/>
          <w:szCs w:val="24"/>
          <w:rtl/>
        </w:rPr>
        <w:tab/>
      </w:r>
      <w:r w:rsidRPr="00893DA0">
        <w:rPr>
          <w:rFonts w:ascii="David" w:hAnsi="David" w:cs="David"/>
          <w:b/>
          <w:bCs/>
          <w:sz w:val="24"/>
          <w:szCs w:val="24"/>
          <w:rtl/>
        </w:rPr>
        <w:tab/>
      </w:r>
      <w:r w:rsidRPr="00893DA0">
        <w:rPr>
          <w:rFonts w:ascii="David" w:hAnsi="David" w:cs="David"/>
          <w:b/>
          <w:bCs/>
          <w:sz w:val="24"/>
          <w:szCs w:val="24"/>
          <w:rtl/>
        </w:rPr>
        <w:tab/>
        <w:t>מחוז תל אבי</w:t>
      </w:r>
      <w:r w:rsidRPr="00893DA0">
        <w:rPr>
          <w:rFonts w:ascii="David" w:hAnsi="David" w:cs="David" w:hint="cs"/>
          <w:b/>
          <w:bCs/>
          <w:sz w:val="24"/>
          <w:szCs w:val="24"/>
          <w:rtl/>
        </w:rPr>
        <w:t>ב</w:t>
      </w:r>
      <w:bookmarkEnd w:id="2"/>
      <w:bookmarkEnd w:id="3"/>
    </w:p>
    <w:sectPr w:rsidR="00134D3F" w:rsidRPr="00B10E47" w:rsidSect="000628AD">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avid">
    <w:panose1 w:val="020E0502060401010101"/>
    <w:charset w:val="00"/>
    <w:family w:val="swiss"/>
    <w:pitch w:val="variable"/>
    <w:sig w:usb0="00000803" w:usb1="00000000" w:usb2="00000000" w:usb3="00000000" w:csb0="0000002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F5FDE"/>
    <w:multiLevelType w:val="multilevel"/>
    <w:tmpl w:val="12383556"/>
    <w:lvl w:ilvl="0">
      <w:start w:val="2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5233F55"/>
    <w:multiLevelType w:val="multilevel"/>
    <w:tmpl w:val="D4E85D12"/>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61E4F9D"/>
    <w:multiLevelType w:val="multilevel"/>
    <w:tmpl w:val="09C4DEDE"/>
    <w:lvl w:ilvl="0">
      <w:start w:val="2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9AE7BF1"/>
    <w:multiLevelType w:val="multilevel"/>
    <w:tmpl w:val="40321D44"/>
    <w:lvl w:ilvl="0">
      <w:start w:val="2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0C63197"/>
    <w:multiLevelType w:val="multilevel"/>
    <w:tmpl w:val="5F48E44C"/>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44303EF"/>
    <w:multiLevelType w:val="multilevel"/>
    <w:tmpl w:val="40126E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FC733B3"/>
    <w:multiLevelType w:val="multilevel"/>
    <w:tmpl w:val="53009440"/>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9756F28"/>
    <w:multiLevelType w:val="multilevel"/>
    <w:tmpl w:val="54A6E548"/>
    <w:lvl w:ilvl="0">
      <w:start w:val="2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9A76A61"/>
    <w:multiLevelType w:val="multilevel"/>
    <w:tmpl w:val="C660FEEA"/>
    <w:lvl w:ilvl="0">
      <w:start w:val="2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77B7D9D"/>
    <w:multiLevelType w:val="multilevel"/>
    <w:tmpl w:val="7AC67212"/>
    <w:lvl w:ilvl="0">
      <w:start w:val="3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77E6C5B"/>
    <w:multiLevelType w:val="multilevel"/>
    <w:tmpl w:val="5C70C1DE"/>
    <w:lvl w:ilvl="0">
      <w:start w:val="2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80F36CB"/>
    <w:multiLevelType w:val="multilevel"/>
    <w:tmpl w:val="981C18E4"/>
    <w:lvl w:ilvl="0">
      <w:start w:val="2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D7719B7"/>
    <w:multiLevelType w:val="multilevel"/>
    <w:tmpl w:val="4A6A3C5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14162EA"/>
    <w:multiLevelType w:val="multilevel"/>
    <w:tmpl w:val="C7CEB78E"/>
    <w:lvl w:ilvl="0">
      <w:start w:val="3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57645555"/>
    <w:multiLevelType w:val="multilevel"/>
    <w:tmpl w:val="AD6CA35A"/>
    <w:lvl w:ilvl="0">
      <w:start w:val="3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5795375C"/>
    <w:multiLevelType w:val="multilevel"/>
    <w:tmpl w:val="FB4673D0"/>
    <w:lvl w:ilvl="0">
      <w:start w:val="2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5C4634A7"/>
    <w:multiLevelType w:val="multilevel"/>
    <w:tmpl w:val="35E6497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21C20E4"/>
    <w:multiLevelType w:val="multilevel"/>
    <w:tmpl w:val="238E5C7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2F522CF"/>
    <w:multiLevelType w:val="multilevel"/>
    <w:tmpl w:val="0D7244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4D75624"/>
    <w:multiLevelType w:val="multilevel"/>
    <w:tmpl w:val="F8848CA6"/>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65A42256"/>
    <w:multiLevelType w:val="multilevel"/>
    <w:tmpl w:val="077A5328"/>
    <w:lvl w:ilvl="0">
      <w:start w:val="2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68777AF5"/>
    <w:multiLevelType w:val="multilevel"/>
    <w:tmpl w:val="B17A20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6EDE010B"/>
    <w:multiLevelType w:val="multilevel"/>
    <w:tmpl w:val="58308C94"/>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72BB528A"/>
    <w:multiLevelType w:val="multilevel"/>
    <w:tmpl w:val="70A2992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75FC259A"/>
    <w:multiLevelType w:val="multilevel"/>
    <w:tmpl w:val="60BA20FE"/>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8"/>
  </w:num>
  <w:num w:numId="2">
    <w:abstractNumId w:val="17"/>
  </w:num>
  <w:num w:numId="3">
    <w:abstractNumId w:val="24"/>
  </w:num>
  <w:num w:numId="4">
    <w:abstractNumId w:val="1"/>
  </w:num>
  <w:num w:numId="5">
    <w:abstractNumId w:val="3"/>
  </w:num>
  <w:num w:numId="6">
    <w:abstractNumId w:val="2"/>
  </w:num>
  <w:num w:numId="7">
    <w:abstractNumId w:val="15"/>
  </w:num>
  <w:num w:numId="8">
    <w:abstractNumId w:val="10"/>
  </w:num>
  <w:num w:numId="9">
    <w:abstractNumId w:val="0"/>
  </w:num>
  <w:num w:numId="10">
    <w:abstractNumId w:val="13"/>
  </w:num>
  <w:num w:numId="11">
    <w:abstractNumId w:val="21"/>
  </w:num>
  <w:num w:numId="12">
    <w:abstractNumId w:val="23"/>
  </w:num>
  <w:num w:numId="13">
    <w:abstractNumId w:val="6"/>
  </w:num>
  <w:num w:numId="14">
    <w:abstractNumId w:val="5"/>
  </w:num>
  <w:num w:numId="15">
    <w:abstractNumId w:val="12"/>
  </w:num>
  <w:num w:numId="16">
    <w:abstractNumId w:val="16"/>
  </w:num>
  <w:num w:numId="17">
    <w:abstractNumId w:val="19"/>
  </w:num>
  <w:num w:numId="18">
    <w:abstractNumId w:val="4"/>
  </w:num>
  <w:num w:numId="19">
    <w:abstractNumId w:val="22"/>
  </w:num>
  <w:num w:numId="20">
    <w:abstractNumId w:val="8"/>
  </w:num>
  <w:num w:numId="21">
    <w:abstractNumId w:val="20"/>
  </w:num>
  <w:num w:numId="22">
    <w:abstractNumId w:val="11"/>
  </w:num>
  <w:num w:numId="23">
    <w:abstractNumId w:val="7"/>
  </w:num>
  <w:num w:numId="24">
    <w:abstractNumId w:val="9"/>
  </w:num>
  <w:num w:numId="2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72C4"/>
    <w:rsid w:val="00004206"/>
    <w:rsid w:val="00011E34"/>
    <w:rsid w:val="00012620"/>
    <w:rsid w:val="000168E5"/>
    <w:rsid w:val="000169D8"/>
    <w:rsid w:val="00024195"/>
    <w:rsid w:val="0002420E"/>
    <w:rsid w:val="0002503B"/>
    <w:rsid w:val="0003157C"/>
    <w:rsid w:val="000373BA"/>
    <w:rsid w:val="0004325C"/>
    <w:rsid w:val="000434CE"/>
    <w:rsid w:val="0004519A"/>
    <w:rsid w:val="00047FE8"/>
    <w:rsid w:val="0005336C"/>
    <w:rsid w:val="000545DA"/>
    <w:rsid w:val="00057356"/>
    <w:rsid w:val="00061CA2"/>
    <w:rsid w:val="000628AD"/>
    <w:rsid w:val="00064683"/>
    <w:rsid w:val="0006522A"/>
    <w:rsid w:val="00065C38"/>
    <w:rsid w:val="0006653C"/>
    <w:rsid w:val="00067241"/>
    <w:rsid w:val="0007267F"/>
    <w:rsid w:val="00072890"/>
    <w:rsid w:val="0007684A"/>
    <w:rsid w:val="0007720C"/>
    <w:rsid w:val="00082038"/>
    <w:rsid w:val="000862CB"/>
    <w:rsid w:val="00086FF7"/>
    <w:rsid w:val="00090D31"/>
    <w:rsid w:val="00094D80"/>
    <w:rsid w:val="000973B6"/>
    <w:rsid w:val="000A1BCD"/>
    <w:rsid w:val="000A1D6D"/>
    <w:rsid w:val="000B1B63"/>
    <w:rsid w:val="000B5DD0"/>
    <w:rsid w:val="000B7644"/>
    <w:rsid w:val="000C0593"/>
    <w:rsid w:val="000C0CB0"/>
    <w:rsid w:val="000C5010"/>
    <w:rsid w:val="000C50AF"/>
    <w:rsid w:val="000C619B"/>
    <w:rsid w:val="000D053D"/>
    <w:rsid w:val="000D26F6"/>
    <w:rsid w:val="000D3616"/>
    <w:rsid w:val="000D41EB"/>
    <w:rsid w:val="000D48F5"/>
    <w:rsid w:val="000D5247"/>
    <w:rsid w:val="000D5FBD"/>
    <w:rsid w:val="000E1126"/>
    <w:rsid w:val="000E3FE2"/>
    <w:rsid w:val="000F3443"/>
    <w:rsid w:val="000F4CDE"/>
    <w:rsid w:val="00101109"/>
    <w:rsid w:val="0010291F"/>
    <w:rsid w:val="001061E9"/>
    <w:rsid w:val="001105BA"/>
    <w:rsid w:val="001116E8"/>
    <w:rsid w:val="001210F1"/>
    <w:rsid w:val="00121B7B"/>
    <w:rsid w:val="00121C35"/>
    <w:rsid w:val="001227E6"/>
    <w:rsid w:val="00126A04"/>
    <w:rsid w:val="0013051C"/>
    <w:rsid w:val="00134D3F"/>
    <w:rsid w:val="0013562E"/>
    <w:rsid w:val="00136E8C"/>
    <w:rsid w:val="0014046F"/>
    <w:rsid w:val="001407A9"/>
    <w:rsid w:val="00141123"/>
    <w:rsid w:val="0014160B"/>
    <w:rsid w:val="00141C66"/>
    <w:rsid w:val="00143E7C"/>
    <w:rsid w:val="00144D2A"/>
    <w:rsid w:val="001519D1"/>
    <w:rsid w:val="00153EB3"/>
    <w:rsid w:val="001541F3"/>
    <w:rsid w:val="00155F0C"/>
    <w:rsid w:val="00157D20"/>
    <w:rsid w:val="00162F3A"/>
    <w:rsid w:val="0016394E"/>
    <w:rsid w:val="001655BC"/>
    <w:rsid w:val="00171001"/>
    <w:rsid w:val="001722CA"/>
    <w:rsid w:val="001859A5"/>
    <w:rsid w:val="00192E6C"/>
    <w:rsid w:val="00194134"/>
    <w:rsid w:val="00195F4F"/>
    <w:rsid w:val="00196D1F"/>
    <w:rsid w:val="001A1F50"/>
    <w:rsid w:val="001B72A0"/>
    <w:rsid w:val="001C0900"/>
    <w:rsid w:val="001C6510"/>
    <w:rsid w:val="001E04F9"/>
    <w:rsid w:val="001E0773"/>
    <w:rsid w:val="001E34ED"/>
    <w:rsid w:val="001E69EF"/>
    <w:rsid w:val="001F0854"/>
    <w:rsid w:val="001F4B1C"/>
    <w:rsid w:val="001F575D"/>
    <w:rsid w:val="001F72C9"/>
    <w:rsid w:val="001F7B27"/>
    <w:rsid w:val="00201867"/>
    <w:rsid w:val="002018C8"/>
    <w:rsid w:val="0020566B"/>
    <w:rsid w:val="00206D0F"/>
    <w:rsid w:val="00207373"/>
    <w:rsid w:val="00213BDB"/>
    <w:rsid w:val="0021591D"/>
    <w:rsid w:val="002250AE"/>
    <w:rsid w:val="002261A6"/>
    <w:rsid w:val="00227155"/>
    <w:rsid w:val="002348D3"/>
    <w:rsid w:val="00237227"/>
    <w:rsid w:val="0023724D"/>
    <w:rsid w:val="002409CF"/>
    <w:rsid w:val="002439D1"/>
    <w:rsid w:val="002443A4"/>
    <w:rsid w:val="0024602D"/>
    <w:rsid w:val="002501F3"/>
    <w:rsid w:val="00251B23"/>
    <w:rsid w:val="00254148"/>
    <w:rsid w:val="00261385"/>
    <w:rsid w:val="0026404D"/>
    <w:rsid w:val="00265425"/>
    <w:rsid w:val="0026574C"/>
    <w:rsid w:val="0027139A"/>
    <w:rsid w:val="0027339C"/>
    <w:rsid w:val="002737C1"/>
    <w:rsid w:val="00276B36"/>
    <w:rsid w:val="00283809"/>
    <w:rsid w:val="0028624F"/>
    <w:rsid w:val="00286CA4"/>
    <w:rsid w:val="00291A36"/>
    <w:rsid w:val="00292A5B"/>
    <w:rsid w:val="00292BCA"/>
    <w:rsid w:val="00295E93"/>
    <w:rsid w:val="00297DE6"/>
    <w:rsid w:val="002B0C06"/>
    <w:rsid w:val="002B20BC"/>
    <w:rsid w:val="002B3CD8"/>
    <w:rsid w:val="002B6536"/>
    <w:rsid w:val="002C5977"/>
    <w:rsid w:val="002C6881"/>
    <w:rsid w:val="002C6B0F"/>
    <w:rsid w:val="002D0731"/>
    <w:rsid w:val="002D099C"/>
    <w:rsid w:val="002E3A1D"/>
    <w:rsid w:val="002E60B0"/>
    <w:rsid w:val="002E695C"/>
    <w:rsid w:val="002F0513"/>
    <w:rsid w:val="002F0D45"/>
    <w:rsid w:val="002F75D5"/>
    <w:rsid w:val="0030591A"/>
    <w:rsid w:val="003071AF"/>
    <w:rsid w:val="00310E17"/>
    <w:rsid w:val="00313841"/>
    <w:rsid w:val="0031399B"/>
    <w:rsid w:val="0031479F"/>
    <w:rsid w:val="0031585F"/>
    <w:rsid w:val="00317FAE"/>
    <w:rsid w:val="00321AAD"/>
    <w:rsid w:val="00325019"/>
    <w:rsid w:val="00326790"/>
    <w:rsid w:val="003353C9"/>
    <w:rsid w:val="00336596"/>
    <w:rsid w:val="00342209"/>
    <w:rsid w:val="00343120"/>
    <w:rsid w:val="0035384C"/>
    <w:rsid w:val="00354793"/>
    <w:rsid w:val="00356692"/>
    <w:rsid w:val="00356E5F"/>
    <w:rsid w:val="00361381"/>
    <w:rsid w:val="00364592"/>
    <w:rsid w:val="00370CF2"/>
    <w:rsid w:val="00375820"/>
    <w:rsid w:val="00377B20"/>
    <w:rsid w:val="00384992"/>
    <w:rsid w:val="00384C02"/>
    <w:rsid w:val="0039758F"/>
    <w:rsid w:val="003A281E"/>
    <w:rsid w:val="003A2FD9"/>
    <w:rsid w:val="003A7DC7"/>
    <w:rsid w:val="003B1013"/>
    <w:rsid w:val="003B4CBE"/>
    <w:rsid w:val="003B5CBB"/>
    <w:rsid w:val="003C03BC"/>
    <w:rsid w:val="003C17F8"/>
    <w:rsid w:val="003C32CB"/>
    <w:rsid w:val="003C44FD"/>
    <w:rsid w:val="003C52D4"/>
    <w:rsid w:val="003C6F90"/>
    <w:rsid w:val="003C7BD3"/>
    <w:rsid w:val="003C7CDD"/>
    <w:rsid w:val="003D2664"/>
    <w:rsid w:val="003D32E3"/>
    <w:rsid w:val="003D5EE8"/>
    <w:rsid w:val="003D7A74"/>
    <w:rsid w:val="003E3509"/>
    <w:rsid w:val="003E4F9E"/>
    <w:rsid w:val="003F10FC"/>
    <w:rsid w:val="00400F8B"/>
    <w:rsid w:val="004017AB"/>
    <w:rsid w:val="00410484"/>
    <w:rsid w:val="00411AA5"/>
    <w:rsid w:val="00414DD4"/>
    <w:rsid w:val="00414F44"/>
    <w:rsid w:val="00415134"/>
    <w:rsid w:val="004203B3"/>
    <w:rsid w:val="00421763"/>
    <w:rsid w:val="00421BDF"/>
    <w:rsid w:val="004225FC"/>
    <w:rsid w:val="0042727E"/>
    <w:rsid w:val="00427406"/>
    <w:rsid w:val="0042780F"/>
    <w:rsid w:val="00431020"/>
    <w:rsid w:val="00433068"/>
    <w:rsid w:val="00440235"/>
    <w:rsid w:val="0044254F"/>
    <w:rsid w:val="00442D09"/>
    <w:rsid w:val="004442F7"/>
    <w:rsid w:val="004464B4"/>
    <w:rsid w:val="00447256"/>
    <w:rsid w:val="004510E1"/>
    <w:rsid w:val="0045284A"/>
    <w:rsid w:val="00455FD8"/>
    <w:rsid w:val="0045697B"/>
    <w:rsid w:val="004632BE"/>
    <w:rsid w:val="004645C0"/>
    <w:rsid w:val="00467B1A"/>
    <w:rsid w:val="00471F1C"/>
    <w:rsid w:val="00474723"/>
    <w:rsid w:val="00475B8B"/>
    <w:rsid w:val="00484A8A"/>
    <w:rsid w:val="00491284"/>
    <w:rsid w:val="004940AC"/>
    <w:rsid w:val="00494C9F"/>
    <w:rsid w:val="00495E29"/>
    <w:rsid w:val="00496EFC"/>
    <w:rsid w:val="004A05D1"/>
    <w:rsid w:val="004A0808"/>
    <w:rsid w:val="004A17BB"/>
    <w:rsid w:val="004A3035"/>
    <w:rsid w:val="004A4D51"/>
    <w:rsid w:val="004B1454"/>
    <w:rsid w:val="004B4222"/>
    <w:rsid w:val="004B47C1"/>
    <w:rsid w:val="004B75BE"/>
    <w:rsid w:val="004B7D91"/>
    <w:rsid w:val="004C20D3"/>
    <w:rsid w:val="004C2E0D"/>
    <w:rsid w:val="004C48CB"/>
    <w:rsid w:val="004C7478"/>
    <w:rsid w:val="004C7F7D"/>
    <w:rsid w:val="004D1E65"/>
    <w:rsid w:val="004D3739"/>
    <w:rsid w:val="004D3C8F"/>
    <w:rsid w:val="004D5A00"/>
    <w:rsid w:val="004E151C"/>
    <w:rsid w:val="004E6C5A"/>
    <w:rsid w:val="004E790B"/>
    <w:rsid w:val="004F0AEE"/>
    <w:rsid w:val="004F5012"/>
    <w:rsid w:val="004F790B"/>
    <w:rsid w:val="00504039"/>
    <w:rsid w:val="00507AC7"/>
    <w:rsid w:val="00515757"/>
    <w:rsid w:val="00525E22"/>
    <w:rsid w:val="00526605"/>
    <w:rsid w:val="005311C1"/>
    <w:rsid w:val="0053282D"/>
    <w:rsid w:val="005340CB"/>
    <w:rsid w:val="00534118"/>
    <w:rsid w:val="00535266"/>
    <w:rsid w:val="00540A16"/>
    <w:rsid w:val="005421E3"/>
    <w:rsid w:val="00542A27"/>
    <w:rsid w:val="00550687"/>
    <w:rsid w:val="0055693B"/>
    <w:rsid w:val="00563BC2"/>
    <w:rsid w:val="00565EA9"/>
    <w:rsid w:val="00567903"/>
    <w:rsid w:val="0057153B"/>
    <w:rsid w:val="00571B6C"/>
    <w:rsid w:val="005749C5"/>
    <w:rsid w:val="00592E1C"/>
    <w:rsid w:val="00595503"/>
    <w:rsid w:val="005972DB"/>
    <w:rsid w:val="005A2470"/>
    <w:rsid w:val="005A35F0"/>
    <w:rsid w:val="005A65D1"/>
    <w:rsid w:val="005B2E8D"/>
    <w:rsid w:val="005B3007"/>
    <w:rsid w:val="005B376B"/>
    <w:rsid w:val="005C07EB"/>
    <w:rsid w:val="005D0CCF"/>
    <w:rsid w:val="005D69CE"/>
    <w:rsid w:val="005E0205"/>
    <w:rsid w:val="005E0B61"/>
    <w:rsid w:val="005E429B"/>
    <w:rsid w:val="005E4E8A"/>
    <w:rsid w:val="005F0C98"/>
    <w:rsid w:val="005F6EB1"/>
    <w:rsid w:val="00600174"/>
    <w:rsid w:val="00602938"/>
    <w:rsid w:val="00611959"/>
    <w:rsid w:val="006149EF"/>
    <w:rsid w:val="00626641"/>
    <w:rsid w:val="0063100F"/>
    <w:rsid w:val="00632C48"/>
    <w:rsid w:val="00634BA4"/>
    <w:rsid w:val="00635F41"/>
    <w:rsid w:val="00637412"/>
    <w:rsid w:val="00643668"/>
    <w:rsid w:val="00643A27"/>
    <w:rsid w:val="006462A2"/>
    <w:rsid w:val="00652400"/>
    <w:rsid w:val="0065383B"/>
    <w:rsid w:val="00654D2B"/>
    <w:rsid w:val="00655668"/>
    <w:rsid w:val="00655EBD"/>
    <w:rsid w:val="006563EC"/>
    <w:rsid w:val="00670BBB"/>
    <w:rsid w:val="00677483"/>
    <w:rsid w:val="00680FE0"/>
    <w:rsid w:val="0068507D"/>
    <w:rsid w:val="00687F5A"/>
    <w:rsid w:val="00691563"/>
    <w:rsid w:val="0069266A"/>
    <w:rsid w:val="006929E3"/>
    <w:rsid w:val="00693480"/>
    <w:rsid w:val="0069496D"/>
    <w:rsid w:val="00694DF2"/>
    <w:rsid w:val="00697280"/>
    <w:rsid w:val="006978A7"/>
    <w:rsid w:val="006A72C4"/>
    <w:rsid w:val="006A7F82"/>
    <w:rsid w:val="006B0374"/>
    <w:rsid w:val="006B0C56"/>
    <w:rsid w:val="006B1213"/>
    <w:rsid w:val="006B3AF5"/>
    <w:rsid w:val="006B4D6D"/>
    <w:rsid w:val="006B5CAA"/>
    <w:rsid w:val="006B5EF4"/>
    <w:rsid w:val="006B6297"/>
    <w:rsid w:val="006C022E"/>
    <w:rsid w:val="006C35DC"/>
    <w:rsid w:val="006C3A0F"/>
    <w:rsid w:val="006C3ECD"/>
    <w:rsid w:val="006C53C1"/>
    <w:rsid w:val="006C7168"/>
    <w:rsid w:val="006C7B4F"/>
    <w:rsid w:val="006C7D25"/>
    <w:rsid w:val="006D396C"/>
    <w:rsid w:val="006D5BDC"/>
    <w:rsid w:val="006D7563"/>
    <w:rsid w:val="006E6D59"/>
    <w:rsid w:val="006F1A64"/>
    <w:rsid w:val="006F7FAD"/>
    <w:rsid w:val="007019B9"/>
    <w:rsid w:val="00703B73"/>
    <w:rsid w:val="00706C9A"/>
    <w:rsid w:val="00712D08"/>
    <w:rsid w:val="00713824"/>
    <w:rsid w:val="00714610"/>
    <w:rsid w:val="00715E0D"/>
    <w:rsid w:val="0071701F"/>
    <w:rsid w:val="00717A68"/>
    <w:rsid w:val="00722C74"/>
    <w:rsid w:val="00733ECD"/>
    <w:rsid w:val="00734A2A"/>
    <w:rsid w:val="00743A17"/>
    <w:rsid w:val="0074470A"/>
    <w:rsid w:val="00744A7E"/>
    <w:rsid w:val="00744AAC"/>
    <w:rsid w:val="00747165"/>
    <w:rsid w:val="00764A87"/>
    <w:rsid w:val="00766607"/>
    <w:rsid w:val="007671CE"/>
    <w:rsid w:val="007701DE"/>
    <w:rsid w:val="00773E35"/>
    <w:rsid w:val="00774658"/>
    <w:rsid w:val="0077486B"/>
    <w:rsid w:val="0078062C"/>
    <w:rsid w:val="00783204"/>
    <w:rsid w:val="00784BF7"/>
    <w:rsid w:val="0078729F"/>
    <w:rsid w:val="00791455"/>
    <w:rsid w:val="00794628"/>
    <w:rsid w:val="007A038E"/>
    <w:rsid w:val="007A3AEF"/>
    <w:rsid w:val="007A5C14"/>
    <w:rsid w:val="007B2FFC"/>
    <w:rsid w:val="007B33B5"/>
    <w:rsid w:val="007B4CAD"/>
    <w:rsid w:val="007C37C5"/>
    <w:rsid w:val="007C420B"/>
    <w:rsid w:val="007C7147"/>
    <w:rsid w:val="007D13B0"/>
    <w:rsid w:val="007D1D6E"/>
    <w:rsid w:val="007D36AE"/>
    <w:rsid w:val="007D4203"/>
    <w:rsid w:val="007E0700"/>
    <w:rsid w:val="007F2949"/>
    <w:rsid w:val="007F2B6A"/>
    <w:rsid w:val="007F3D9E"/>
    <w:rsid w:val="007F66C2"/>
    <w:rsid w:val="008012FC"/>
    <w:rsid w:val="00805C92"/>
    <w:rsid w:val="00807A11"/>
    <w:rsid w:val="00807CC4"/>
    <w:rsid w:val="00812137"/>
    <w:rsid w:val="00813780"/>
    <w:rsid w:val="008152AF"/>
    <w:rsid w:val="00820FBD"/>
    <w:rsid w:val="0082217F"/>
    <w:rsid w:val="00822379"/>
    <w:rsid w:val="008226BB"/>
    <w:rsid w:val="008228F3"/>
    <w:rsid w:val="00823B3D"/>
    <w:rsid w:val="00824104"/>
    <w:rsid w:val="00837B2B"/>
    <w:rsid w:val="00841599"/>
    <w:rsid w:val="00846865"/>
    <w:rsid w:val="00850C5F"/>
    <w:rsid w:val="00853990"/>
    <w:rsid w:val="00853F78"/>
    <w:rsid w:val="008570CB"/>
    <w:rsid w:val="008635A9"/>
    <w:rsid w:val="00870358"/>
    <w:rsid w:val="00872A5A"/>
    <w:rsid w:val="008768A0"/>
    <w:rsid w:val="00876A77"/>
    <w:rsid w:val="008822EE"/>
    <w:rsid w:val="00884319"/>
    <w:rsid w:val="008856CD"/>
    <w:rsid w:val="0088625C"/>
    <w:rsid w:val="0088634E"/>
    <w:rsid w:val="008863EC"/>
    <w:rsid w:val="008864B0"/>
    <w:rsid w:val="0088688E"/>
    <w:rsid w:val="00890DCC"/>
    <w:rsid w:val="008971F5"/>
    <w:rsid w:val="008A02A2"/>
    <w:rsid w:val="008A34D5"/>
    <w:rsid w:val="008A3F96"/>
    <w:rsid w:val="008B2B51"/>
    <w:rsid w:val="008C1548"/>
    <w:rsid w:val="008C4BE1"/>
    <w:rsid w:val="008D1D64"/>
    <w:rsid w:val="008D427A"/>
    <w:rsid w:val="008E02C7"/>
    <w:rsid w:val="008E63CB"/>
    <w:rsid w:val="008F2315"/>
    <w:rsid w:val="008F4BE2"/>
    <w:rsid w:val="008F4E9E"/>
    <w:rsid w:val="008F68AB"/>
    <w:rsid w:val="0090431B"/>
    <w:rsid w:val="00905C9D"/>
    <w:rsid w:val="009068C8"/>
    <w:rsid w:val="00912266"/>
    <w:rsid w:val="00913D7A"/>
    <w:rsid w:val="00915C4E"/>
    <w:rsid w:val="00917447"/>
    <w:rsid w:val="00917625"/>
    <w:rsid w:val="00920076"/>
    <w:rsid w:val="009211F4"/>
    <w:rsid w:val="00925B9A"/>
    <w:rsid w:val="00927A5F"/>
    <w:rsid w:val="00934689"/>
    <w:rsid w:val="0093491A"/>
    <w:rsid w:val="00936FE9"/>
    <w:rsid w:val="00940162"/>
    <w:rsid w:val="00946340"/>
    <w:rsid w:val="00954E2F"/>
    <w:rsid w:val="00955A06"/>
    <w:rsid w:val="0095709F"/>
    <w:rsid w:val="00961D62"/>
    <w:rsid w:val="0096316E"/>
    <w:rsid w:val="009655D4"/>
    <w:rsid w:val="00967CA1"/>
    <w:rsid w:val="00970C1D"/>
    <w:rsid w:val="0097184E"/>
    <w:rsid w:val="00972E9C"/>
    <w:rsid w:val="00973276"/>
    <w:rsid w:val="009824C8"/>
    <w:rsid w:val="009827E4"/>
    <w:rsid w:val="00990885"/>
    <w:rsid w:val="00995314"/>
    <w:rsid w:val="009954FF"/>
    <w:rsid w:val="00995BD9"/>
    <w:rsid w:val="009A52D9"/>
    <w:rsid w:val="009A61EF"/>
    <w:rsid w:val="009A7B7C"/>
    <w:rsid w:val="009B53E1"/>
    <w:rsid w:val="009C2D1E"/>
    <w:rsid w:val="009C443C"/>
    <w:rsid w:val="009D0143"/>
    <w:rsid w:val="009D5839"/>
    <w:rsid w:val="009D78F9"/>
    <w:rsid w:val="009E16A0"/>
    <w:rsid w:val="009E1C23"/>
    <w:rsid w:val="009E27D6"/>
    <w:rsid w:val="009E594C"/>
    <w:rsid w:val="009F068B"/>
    <w:rsid w:val="009F0F65"/>
    <w:rsid w:val="009F1CB7"/>
    <w:rsid w:val="009F5C76"/>
    <w:rsid w:val="009F69BC"/>
    <w:rsid w:val="00A10803"/>
    <w:rsid w:val="00A17E42"/>
    <w:rsid w:val="00A225E6"/>
    <w:rsid w:val="00A2449A"/>
    <w:rsid w:val="00A25B07"/>
    <w:rsid w:val="00A2632C"/>
    <w:rsid w:val="00A33B2A"/>
    <w:rsid w:val="00A36E5B"/>
    <w:rsid w:val="00A4182B"/>
    <w:rsid w:val="00A42B48"/>
    <w:rsid w:val="00A42D4F"/>
    <w:rsid w:val="00A432CA"/>
    <w:rsid w:val="00A43616"/>
    <w:rsid w:val="00A44749"/>
    <w:rsid w:val="00A44C28"/>
    <w:rsid w:val="00A46EB0"/>
    <w:rsid w:val="00A472C2"/>
    <w:rsid w:val="00A5528A"/>
    <w:rsid w:val="00A57BC9"/>
    <w:rsid w:val="00A62B00"/>
    <w:rsid w:val="00A63B8A"/>
    <w:rsid w:val="00A6430E"/>
    <w:rsid w:val="00A64AAE"/>
    <w:rsid w:val="00A653E3"/>
    <w:rsid w:val="00A6712A"/>
    <w:rsid w:val="00A711E0"/>
    <w:rsid w:val="00A73197"/>
    <w:rsid w:val="00A7463C"/>
    <w:rsid w:val="00A77E60"/>
    <w:rsid w:val="00A80CAB"/>
    <w:rsid w:val="00A96719"/>
    <w:rsid w:val="00AA0286"/>
    <w:rsid w:val="00AA056E"/>
    <w:rsid w:val="00AA32C5"/>
    <w:rsid w:val="00AA3835"/>
    <w:rsid w:val="00AA38A4"/>
    <w:rsid w:val="00AA716E"/>
    <w:rsid w:val="00AB424A"/>
    <w:rsid w:val="00AB50F8"/>
    <w:rsid w:val="00AB60ED"/>
    <w:rsid w:val="00AC3F1C"/>
    <w:rsid w:val="00AD2F2A"/>
    <w:rsid w:val="00AD3BBB"/>
    <w:rsid w:val="00AD3D36"/>
    <w:rsid w:val="00AD6A84"/>
    <w:rsid w:val="00AE2E76"/>
    <w:rsid w:val="00AE433B"/>
    <w:rsid w:val="00AE491E"/>
    <w:rsid w:val="00AE52F0"/>
    <w:rsid w:val="00AE5432"/>
    <w:rsid w:val="00AF10E5"/>
    <w:rsid w:val="00AF55F0"/>
    <w:rsid w:val="00AF7B29"/>
    <w:rsid w:val="00B040B0"/>
    <w:rsid w:val="00B05959"/>
    <w:rsid w:val="00B0597E"/>
    <w:rsid w:val="00B06718"/>
    <w:rsid w:val="00B06CC5"/>
    <w:rsid w:val="00B075E4"/>
    <w:rsid w:val="00B10B53"/>
    <w:rsid w:val="00B10E47"/>
    <w:rsid w:val="00B12056"/>
    <w:rsid w:val="00B14D34"/>
    <w:rsid w:val="00B150E7"/>
    <w:rsid w:val="00B15C4C"/>
    <w:rsid w:val="00B178FC"/>
    <w:rsid w:val="00B209C2"/>
    <w:rsid w:val="00B2665D"/>
    <w:rsid w:val="00B306AB"/>
    <w:rsid w:val="00B33ED4"/>
    <w:rsid w:val="00B36BF1"/>
    <w:rsid w:val="00B43A8E"/>
    <w:rsid w:val="00B47BF1"/>
    <w:rsid w:val="00B52B5B"/>
    <w:rsid w:val="00B555ED"/>
    <w:rsid w:val="00B62AF4"/>
    <w:rsid w:val="00B6383C"/>
    <w:rsid w:val="00B65BF5"/>
    <w:rsid w:val="00B73251"/>
    <w:rsid w:val="00B743B9"/>
    <w:rsid w:val="00B75086"/>
    <w:rsid w:val="00B80494"/>
    <w:rsid w:val="00B85A7D"/>
    <w:rsid w:val="00B872EC"/>
    <w:rsid w:val="00B9063C"/>
    <w:rsid w:val="00B931E2"/>
    <w:rsid w:val="00BA32E7"/>
    <w:rsid w:val="00BA52DC"/>
    <w:rsid w:val="00BB0331"/>
    <w:rsid w:val="00BB1E4A"/>
    <w:rsid w:val="00BB4E36"/>
    <w:rsid w:val="00BB5CB8"/>
    <w:rsid w:val="00BC0070"/>
    <w:rsid w:val="00BC12BA"/>
    <w:rsid w:val="00BC219A"/>
    <w:rsid w:val="00BC615C"/>
    <w:rsid w:val="00BD0F25"/>
    <w:rsid w:val="00BD797C"/>
    <w:rsid w:val="00BE7DE6"/>
    <w:rsid w:val="00BF2DE9"/>
    <w:rsid w:val="00BF31A8"/>
    <w:rsid w:val="00BF42B4"/>
    <w:rsid w:val="00BF4908"/>
    <w:rsid w:val="00BF6C1E"/>
    <w:rsid w:val="00C01B7A"/>
    <w:rsid w:val="00C02034"/>
    <w:rsid w:val="00C020F6"/>
    <w:rsid w:val="00C0268E"/>
    <w:rsid w:val="00C03110"/>
    <w:rsid w:val="00C03F6B"/>
    <w:rsid w:val="00C060EC"/>
    <w:rsid w:val="00C0754A"/>
    <w:rsid w:val="00C12098"/>
    <w:rsid w:val="00C1228F"/>
    <w:rsid w:val="00C2011B"/>
    <w:rsid w:val="00C221C4"/>
    <w:rsid w:val="00C2306C"/>
    <w:rsid w:val="00C231A6"/>
    <w:rsid w:val="00C24AF3"/>
    <w:rsid w:val="00C27AFB"/>
    <w:rsid w:val="00C27BD0"/>
    <w:rsid w:val="00C27C98"/>
    <w:rsid w:val="00C308A7"/>
    <w:rsid w:val="00C32D20"/>
    <w:rsid w:val="00C32EB6"/>
    <w:rsid w:val="00C34120"/>
    <w:rsid w:val="00C34F07"/>
    <w:rsid w:val="00C355B4"/>
    <w:rsid w:val="00C36901"/>
    <w:rsid w:val="00C441FA"/>
    <w:rsid w:val="00C50FFD"/>
    <w:rsid w:val="00C53E5F"/>
    <w:rsid w:val="00C609D4"/>
    <w:rsid w:val="00C61E22"/>
    <w:rsid w:val="00C76652"/>
    <w:rsid w:val="00C81EA2"/>
    <w:rsid w:val="00C83B79"/>
    <w:rsid w:val="00C87CBF"/>
    <w:rsid w:val="00C908D8"/>
    <w:rsid w:val="00C917BB"/>
    <w:rsid w:val="00C920D5"/>
    <w:rsid w:val="00C92A41"/>
    <w:rsid w:val="00C95D4C"/>
    <w:rsid w:val="00C9645A"/>
    <w:rsid w:val="00CA17E5"/>
    <w:rsid w:val="00CA18FF"/>
    <w:rsid w:val="00CA30D8"/>
    <w:rsid w:val="00CA6A1B"/>
    <w:rsid w:val="00CB11B7"/>
    <w:rsid w:val="00CB2FAE"/>
    <w:rsid w:val="00CB40C8"/>
    <w:rsid w:val="00CB7AFC"/>
    <w:rsid w:val="00CC1FBC"/>
    <w:rsid w:val="00CC2A55"/>
    <w:rsid w:val="00CC4512"/>
    <w:rsid w:val="00CC5746"/>
    <w:rsid w:val="00CD2934"/>
    <w:rsid w:val="00CD33DF"/>
    <w:rsid w:val="00CD42A3"/>
    <w:rsid w:val="00CE4A79"/>
    <w:rsid w:val="00CE5AAD"/>
    <w:rsid w:val="00CF08E9"/>
    <w:rsid w:val="00CF2BA6"/>
    <w:rsid w:val="00CF505F"/>
    <w:rsid w:val="00D026C5"/>
    <w:rsid w:val="00D0364F"/>
    <w:rsid w:val="00D059D3"/>
    <w:rsid w:val="00D167D4"/>
    <w:rsid w:val="00D230F9"/>
    <w:rsid w:val="00D319A4"/>
    <w:rsid w:val="00D32C18"/>
    <w:rsid w:val="00D366CC"/>
    <w:rsid w:val="00D41EBC"/>
    <w:rsid w:val="00D45701"/>
    <w:rsid w:val="00D46E11"/>
    <w:rsid w:val="00D508D1"/>
    <w:rsid w:val="00D55228"/>
    <w:rsid w:val="00D560CA"/>
    <w:rsid w:val="00D578D5"/>
    <w:rsid w:val="00D60114"/>
    <w:rsid w:val="00D607E6"/>
    <w:rsid w:val="00D62C60"/>
    <w:rsid w:val="00D67368"/>
    <w:rsid w:val="00D72586"/>
    <w:rsid w:val="00D738AC"/>
    <w:rsid w:val="00D75422"/>
    <w:rsid w:val="00D80F1D"/>
    <w:rsid w:val="00D81254"/>
    <w:rsid w:val="00D84082"/>
    <w:rsid w:val="00D84ACF"/>
    <w:rsid w:val="00D91508"/>
    <w:rsid w:val="00D91789"/>
    <w:rsid w:val="00D95325"/>
    <w:rsid w:val="00D9626D"/>
    <w:rsid w:val="00DA07D3"/>
    <w:rsid w:val="00DA32BC"/>
    <w:rsid w:val="00DA32C9"/>
    <w:rsid w:val="00DB0BD1"/>
    <w:rsid w:val="00DB24A2"/>
    <w:rsid w:val="00DB3AE2"/>
    <w:rsid w:val="00DB63C6"/>
    <w:rsid w:val="00DC0DD3"/>
    <w:rsid w:val="00DC0EAF"/>
    <w:rsid w:val="00DC1C52"/>
    <w:rsid w:val="00DC2253"/>
    <w:rsid w:val="00DD019D"/>
    <w:rsid w:val="00DE4D05"/>
    <w:rsid w:val="00DE6B40"/>
    <w:rsid w:val="00DF0355"/>
    <w:rsid w:val="00DF0498"/>
    <w:rsid w:val="00DF1A55"/>
    <w:rsid w:val="00DF2AEF"/>
    <w:rsid w:val="00DF4F59"/>
    <w:rsid w:val="00DF6148"/>
    <w:rsid w:val="00E018D7"/>
    <w:rsid w:val="00E038AD"/>
    <w:rsid w:val="00E04181"/>
    <w:rsid w:val="00E06F82"/>
    <w:rsid w:val="00E2328B"/>
    <w:rsid w:val="00E31C0D"/>
    <w:rsid w:val="00E33F40"/>
    <w:rsid w:val="00E34B88"/>
    <w:rsid w:val="00E36867"/>
    <w:rsid w:val="00E47BA6"/>
    <w:rsid w:val="00E510CE"/>
    <w:rsid w:val="00E52274"/>
    <w:rsid w:val="00E52374"/>
    <w:rsid w:val="00E575E3"/>
    <w:rsid w:val="00E6091D"/>
    <w:rsid w:val="00E70490"/>
    <w:rsid w:val="00E71DA8"/>
    <w:rsid w:val="00E7215C"/>
    <w:rsid w:val="00E73AA8"/>
    <w:rsid w:val="00E756F1"/>
    <w:rsid w:val="00E77B26"/>
    <w:rsid w:val="00E81375"/>
    <w:rsid w:val="00E83795"/>
    <w:rsid w:val="00E84F55"/>
    <w:rsid w:val="00E91A41"/>
    <w:rsid w:val="00E9578F"/>
    <w:rsid w:val="00E95F04"/>
    <w:rsid w:val="00EA0B30"/>
    <w:rsid w:val="00EA0F45"/>
    <w:rsid w:val="00EA141E"/>
    <w:rsid w:val="00EA1610"/>
    <w:rsid w:val="00EA1836"/>
    <w:rsid w:val="00EA31B7"/>
    <w:rsid w:val="00EA457C"/>
    <w:rsid w:val="00EA4AC8"/>
    <w:rsid w:val="00EA53B2"/>
    <w:rsid w:val="00EA7F37"/>
    <w:rsid w:val="00EB27DF"/>
    <w:rsid w:val="00EB5D86"/>
    <w:rsid w:val="00EC1272"/>
    <w:rsid w:val="00EC1678"/>
    <w:rsid w:val="00EC181A"/>
    <w:rsid w:val="00EC2156"/>
    <w:rsid w:val="00EC267C"/>
    <w:rsid w:val="00EC547F"/>
    <w:rsid w:val="00EC6E99"/>
    <w:rsid w:val="00EC775C"/>
    <w:rsid w:val="00ED76DF"/>
    <w:rsid w:val="00ED7A96"/>
    <w:rsid w:val="00EE6D43"/>
    <w:rsid w:val="00EE7BB5"/>
    <w:rsid w:val="00EE7C5B"/>
    <w:rsid w:val="00EF0BD4"/>
    <w:rsid w:val="00EF2ED3"/>
    <w:rsid w:val="00EF31ED"/>
    <w:rsid w:val="00EF6D55"/>
    <w:rsid w:val="00F00510"/>
    <w:rsid w:val="00F005A1"/>
    <w:rsid w:val="00F0428C"/>
    <w:rsid w:val="00F053BA"/>
    <w:rsid w:val="00F10C5E"/>
    <w:rsid w:val="00F1153A"/>
    <w:rsid w:val="00F13AB8"/>
    <w:rsid w:val="00F154BD"/>
    <w:rsid w:val="00F1768A"/>
    <w:rsid w:val="00F20357"/>
    <w:rsid w:val="00F31FD9"/>
    <w:rsid w:val="00F321D7"/>
    <w:rsid w:val="00F351AC"/>
    <w:rsid w:val="00F5116E"/>
    <w:rsid w:val="00F5293A"/>
    <w:rsid w:val="00F546A4"/>
    <w:rsid w:val="00F54F21"/>
    <w:rsid w:val="00F56F85"/>
    <w:rsid w:val="00F62E18"/>
    <w:rsid w:val="00F70751"/>
    <w:rsid w:val="00F70BD8"/>
    <w:rsid w:val="00F70F69"/>
    <w:rsid w:val="00F70F84"/>
    <w:rsid w:val="00F71831"/>
    <w:rsid w:val="00F723B5"/>
    <w:rsid w:val="00F728C4"/>
    <w:rsid w:val="00F8137F"/>
    <w:rsid w:val="00F81F24"/>
    <w:rsid w:val="00F83B4B"/>
    <w:rsid w:val="00F84AA3"/>
    <w:rsid w:val="00F91AD5"/>
    <w:rsid w:val="00F92684"/>
    <w:rsid w:val="00F9302C"/>
    <w:rsid w:val="00F9369B"/>
    <w:rsid w:val="00FA13D9"/>
    <w:rsid w:val="00FA401C"/>
    <w:rsid w:val="00FA5986"/>
    <w:rsid w:val="00FA702F"/>
    <w:rsid w:val="00FB071C"/>
    <w:rsid w:val="00FB12B2"/>
    <w:rsid w:val="00FB15A1"/>
    <w:rsid w:val="00FC0059"/>
    <w:rsid w:val="00FC2E7A"/>
    <w:rsid w:val="00FC5D8A"/>
    <w:rsid w:val="00FC71EA"/>
    <w:rsid w:val="00FD1DDD"/>
    <w:rsid w:val="00FD5A34"/>
    <w:rsid w:val="00FE1D6F"/>
    <w:rsid w:val="00FE1DB2"/>
    <w:rsid w:val="00FE3838"/>
    <w:rsid w:val="00FE5E6B"/>
    <w:rsid w:val="00FE714A"/>
    <w:rsid w:val="00FF0423"/>
    <w:rsid w:val="00FF22BD"/>
    <w:rsid w:val="00FF3BBF"/>
    <w:rsid w:val="00FF4AED"/>
    <w:rsid w:val="00FF7405"/>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00F3F6"/>
  <w15:chartTrackingRefBased/>
  <w15:docId w15:val="{3C983A05-52C8-4BBD-A110-4C8D0CE15F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style>
  <w:style w:type="paragraph" w:styleId="1">
    <w:name w:val="heading 1"/>
    <w:basedOn w:val="a"/>
    <w:link w:val="10"/>
    <w:uiPriority w:val="9"/>
    <w:qFormat/>
    <w:rsid w:val="0069496D"/>
    <w:pPr>
      <w:bidi w:val="0"/>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link w:val="20"/>
    <w:uiPriority w:val="9"/>
    <w:qFormat/>
    <w:rsid w:val="0069496D"/>
    <w:pPr>
      <w:bidi w:val="0"/>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next w:val="a"/>
    <w:link w:val="30"/>
    <w:uiPriority w:val="9"/>
    <w:semiHidden/>
    <w:unhideWhenUsed/>
    <w:qFormat/>
    <w:rsid w:val="006B0C56"/>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4">
    <w:name w:val="heading 4"/>
    <w:basedOn w:val="a"/>
    <w:next w:val="a"/>
    <w:link w:val="40"/>
    <w:uiPriority w:val="9"/>
    <w:semiHidden/>
    <w:unhideWhenUsed/>
    <w:qFormat/>
    <w:rsid w:val="00DA32C9"/>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5">
    <w:name w:val="heading 5"/>
    <w:basedOn w:val="a"/>
    <w:next w:val="a"/>
    <w:link w:val="50"/>
    <w:uiPriority w:val="9"/>
    <w:semiHidden/>
    <w:unhideWhenUsed/>
    <w:qFormat/>
    <w:rsid w:val="00F70F84"/>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uiPriority w:val="9"/>
    <w:rsid w:val="0069496D"/>
    <w:rPr>
      <w:rFonts w:ascii="Times New Roman" w:eastAsia="Times New Roman" w:hAnsi="Times New Roman" w:cs="Times New Roman"/>
      <w:b/>
      <w:bCs/>
      <w:kern w:val="36"/>
      <w:sz w:val="48"/>
      <w:szCs w:val="48"/>
    </w:rPr>
  </w:style>
  <w:style w:type="character" w:customStyle="1" w:styleId="20">
    <w:name w:val="כותרת 2 תו"/>
    <w:basedOn w:val="a0"/>
    <w:link w:val="2"/>
    <w:uiPriority w:val="9"/>
    <w:rsid w:val="0069496D"/>
    <w:rPr>
      <w:rFonts w:ascii="Times New Roman" w:eastAsia="Times New Roman" w:hAnsi="Times New Roman" w:cs="Times New Roman"/>
      <w:b/>
      <w:bCs/>
      <w:sz w:val="36"/>
      <w:szCs w:val="36"/>
    </w:rPr>
  </w:style>
  <w:style w:type="paragraph" w:styleId="NormalWeb">
    <w:name w:val="Normal (Web)"/>
    <w:basedOn w:val="a"/>
    <w:uiPriority w:val="99"/>
    <w:semiHidden/>
    <w:unhideWhenUsed/>
    <w:rsid w:val="0069496D"/>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a3">
    <w:name w:val="Strong"/>
    <w:basedOn w:val="a0"/>
    <w:uiPriority w:val="22"/>
    <w:qFormat/>
    <w:rsid w:val="0069496D"/>
    <w:rPr>
      <w:b/>
      <w:bCs/>
    </w:rPr>
  </w:style>
  <w:style w:type="paragraph" w:customStyle="1" w:styleId="11">
    <w:name w:val="1"/>
    <w:basedOn w:val="a"/>
    <w:rsid w:val="007F66C2"/>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30">
    <w:name w:val="כותרת 3 תו"/>
    <w:basedOn w:val="a0"/>
    <w:link w:val="3"/>
    <w:uiPriority w:val="9"/>
    <w:semiHidden/>
    <w:rsid w:val="006B0C56"/>
    <w:rPr>
      <w:rFonts w:asciiTheme="majorHAnsi" w:eastAsiaTheme="majorEastAsia" w:hAnsiTheme="majorHAnsi" w:cstheme="majorBidi"/>
      <w:color w:val="1F3763" w:themeColor="accent1" w:themeShade="7F"/>
      <w:sz w:val="24"/>
      <w:szCs w:val="24"/>
    </w:rPr>
  </w:style>
  <w:style w:type="character" w:customStyle="1" w:styleId="40">
    <w:name w:val="כותרת 4 תו"/>
    <w:basedOn w:val="a0"/>
    <w:link w:val="4"/>
    <w:uiPriority w:val="9"/>
    <w:semiHidden/>
    <w:rsid w:val="00DA32C9"/>
    <w:rPr>
      <w:rFonts w:asciiTheme="majorHAnsi" w:eastAsiaTheme="majorEastAsia" w:hAnsiTheme="majorHAnsi" w:cstheme="majorBidi"/>
      <w:i/>
      <w:iCs/>
      <w:color w:val="2F5496" w:themeColor="accent1" w:themeShade="BF"/>
    </w:rPr>
  </w:style>
  <w:style w:type="paragraph" w:styleId="a4">
    <w:name w:val="List Paragraph"/>
    <w:basedOn w:val="a"/>
    <w:uiPriority w:val="34"/>
    <w:qFormat/>
    <w:rsid w:val="006D396C"/>
    <w:pPr>
      <w:ind w:left="720"/>
      <w:contextualSpacing/>
    </w:pPr>
  </w:style>
  <w:style w:type="character" w:customStyle="1" w:styleId="50">
    <w:name w:val="כותרת 5 תו"/>
    <w:basedOn w:val="a0"/>
    <w:link w:val="5"/>
    <w:uiPriority w:val="9"/>
    <w:semiHidden/>
    <w:rsid w:val="00F70F84"/>
    <w:rPr>
      <w:rFonts w:asciiTheme="majorHAnsi" w:eastAsiaTheme="majorEastAsia" w:hAnsiTheme="majorHAnsi" w:cstheme="majorBidi"/>
      <w:color w:val="2F5496" w:themeColor="accent1" w:themeShade="BF"/>
    </w:rPr>
  </w:style>
  <w:style w:type="paragraph" w:styleId="a5">
    <w:name w:val="Revision"/>
    <w:hidden/>
    <w:uiPriority w:val="99"/>
    <w:semiHidden/>
    <w:rsid w:val="000545DA"/>
    <w:pPr>
      <w:spacing w:after="0" w:line="240" w:lineRule="auto"/>
    </w:pPr>
  </w:style>
  <w:style w:type="paragraph" w:customStyle="1" w:styleId="pdq2pgselectionanchorcontainer">
    <w:name w:val="pdq2pg_selectionanchorcontainer"/>
    <w:basedOn w:val="a"/>
    <w:rsid w:val="00712D08"/>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2">
    <w:name w:val="רגיל1"/>
    <w:rsid w:val="00B10E47"/>
    <w:pPr>
      <w:spacing w:after="0" w:line="240" w:lineRule="auto"/>
    </w:pPr>
    <w:rPr>
      <w:rFonts w:ascii="Times New Roman" w:eastAsia="Times New Roman" w:hAnsi="Times New Roman" w:cs="David"/>
      <w:sz w:val="28"/>
      <w:szCs w:val="28"/>
    </w:rPr>
  </w:style>
  <w:style w:type="paragraph" w:customStyle="1" w:styleId="21">
    <w:name w:val="כותרת 21"/>
    <w:basedOn w:val="a"/>
    <w:next w:val="12"/>
    <w:rsid w:val="00B10E47"/>
    <w:pPr>
      <w:keepNext/>
      <w:bidi w:val="0"/>
      <w:spacing w:before="100" w:beforeAutospacing="1" w:after="100" w:afterAutospacing="1" w:line="360" w:lineRule="auto"/>
      <w:ind w:left="-58" w:right="-58" w:hanging="11"/>
      <w:outlineLvl w:val="1"/>
    </w:pPr>
    <w:rPr>
      <w:rFonts w:ascii="Times New Roman" w:eastAsia="Times New Roman" w:hAnsi="Times New Roman" w:cs="David"/>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087211">
      <w:bodyDiv w:val="1"/>
      <w:marLeft w:val="0"/>
      <w:marRight w:val="0"/>
      <w:marTop w:val="0"/>
      <w:marBottom w:val="0"/>
      <w:divBdr>
        <w:top w:val="none" w:sz="0" w:space="0" w:color="auto"/>
        <w:left w:val="none" w:sz="0" w:space="0" w:color="auto"/>
        <w:bottom w:val="none" w:sz="0" w:space="0" w:color="auto"/>
        <w:right w:val="none" w:sz="0" w:space="0" w:color="auto"/>
      </w:divBdr>
    </w:div>
    <w:div w:id="95104294">
      <w:bodyDiv w:val="1"/>
      <w:marLeft w:val="0"/>
      <w:marRight w:val="0"/>
      <w:marTop w:val="0"/>
      <w:marBottom w:val="0"/>
      <w:divBdr>
        <w:top w:val="none" w:sz="0" w:space="0" w:color="auto"/>
        <w:left w:val="none" w:sz="0" w:space="0" w:color="auto"/>
        <w:bottom w:val="none" w:sz="0" w:space="0" w:color="auto"/>
        <w:right w:val="none" w:sz="0" w:space="0" w:color="auto"/>
      </w:divBdr>
    </w:div>
    <w:div w:id="267736674">
      <w:bodyDiv w:val="1"/>
      <w:marLeft w:val="0"/>
      <w:marRight w:val="0"/>
      <w:marTop w:val="0"/>
      <w:marBottom w:val="0"/>
      <w:divBdr>
        <w:top w:val="none" w:sz="0" w:space="0" w:color="auto"/>
        <w:left w:val="none" w:sz="0" w:space="0" w:color="auto"/>
        <w:bottom w:val="none" w:sz="0" w:space="0" w:color="auto"/>
        <w:right w:val="none" w:sz="0" w:space="0" w:color="auto"/>
      </w:divBdr>
    </w:div>
    <w:div w:id="304361944">
      <w:bodyDiv w:val="1"/>
      <w:marLeft w:val="0"/>
      <w:marRight w:val="0"/>
      <w:marTop w:val="0"/>
      <w:marBottom w:val="0"/>
      <w:divBdr>
        <w:top w:val="none" w:sz="0" w:space="0" w:color="auto"/>
        <w:left w:val="none" w:sz="0" w:space="0" w:color="auto"/>
        <w:bottom w:val="none" w:sz="0" w:space="0" w:color="auto"/>
        <w:right w:val="none" w:sz="0" w:space="0" w:color="auto"/>
      </w:divBdr>
    </w:div>
    <w:div w:id="394476321">
      <w:bodyDiv w:val="1"/>
      <w:marLeft w:val="0"/>
      <w:marRight w:val="0"/>
      <w:marTop w:val="0"/>
      <w:marBottom w:val="0"/>
      <w:divBdr>
        <w:top w:val="none" w:sz="0" w:space="0" w:color="auto"/>
        <w:left w:val="none" w:sz="0" w:space="0" w:color="auto"/>
        <w:bottom w:val="none" w:sz="0" w:space="0" w:color="auto"/>
        <w:right w:val="none" w:sz="0" w:space="0" w:color="auto"/>
      </w:divBdr>
    </w:div>
    <w:div w:id="470251440">
      <w:bodyDiv w:val="1"/>
      <w:marLeft w:val="0"/>
      <w:marRight w:val="0"/>
      <w:marTop w:val="0"/>
      <w:marBottom w:val="0"/>
      <w:divBdr>
        <w:top w:val="none" w:sz="0" w:space="0" w:color="auto"/>
        <w:left w:val="none" w:sz="0" w:space="0" w:color="auto"/>
        <w:bottom w:val="none" w:sz="0" w:space="0" w:color="auto"/>
        <w:right w:val="none" w:sz="0" w:space="0" w:color="auto"/>
      </w:divBdr>
    </w:div>
    <w:div w:id="561256183">
      <w:bodyDiv w:val="1"/>
      <w:marLeft w:val="0"/>
      <w:marRight w:val="0"/>
      <w:marTop w:val="0"/>
      <w:marBottom w:val="0"/>
      <w:divBdr>
        <w:top w:val="none" w:sz="0" w:space="0" w:color="auto"/>
        <w:left w:val="none" w:sz="0" w:space="0" w:color="auto"/>
        <w:bottom w:val="none" w:sz="0" w:space="0" w:color="auto"/>
        <w:right w:val="none" w:sz="0" w:space="0" w:color="auto"/>
      </w:divBdr>
    </w:div>
    <w:div w:id="566259793">
      <w:bodyDiv w:val="1"/>
      <w:marLeft w:val="0"/>
      <w:marRight w:val="0"/>
      <w:marTop w:val="0"/>
      <w:marBottom w:val="0"/>
      <w:divBdr>
        <w:top w:val="none" w:sz="0" w:space="0" w:color="auto"/>
        <w:left w:val="none" w:sz="0" w:space="0" w:color="auto"/>
        <w:bottom w:val="none" w:sz="0" w:space="0" w:color="auto"/>
        <w:right w:val="none" w:sz="0" w:space="0" w:color="auto"/>
      </w:divBdr>
      <w:divsChild>
        <w:div w:id="1034428263">
          <w:blockQuote w:val="1"/>
          <w:marLeft w:val="720"/>
          <w:marRight w:val="720"/>
          <w:marTop w:val="100"/>
          <w:marBottom w:val="100"/>
          <w:divBdr>
            <w:top w:val="none" w:sz="0" w:space="0" w:color="auto"/>
            <w:left w:val="none" w:sz="0" w:space="0" w:color="auto"/>
            <w:bottom w:val="none" w:sz="0" w:space="0" w:color="auto"/>
            <w:right w:val="none" w:sz="0" w:space="0" w:color="auto"/>
          </w:divBdr>
        </w:div>
        <w:div w:id="832064664">
          <w:blockQuote w:val="1"/>
          <w:marLeft w:val="720"/>
          <w:marRight w:val="720"/>
          <w:marTop w:val="100"/>
          <w:marBottom w:val="100"/>
          <w:divBdr>
            <w:top w:val="none" w:sz="0" w:space="0" w:color="auto"/>
            <w:left w:val="none" w:sz="0" w:space="0" w:color="auto"/>
            <w:bottom w:val="none" w:sz="0" w:space="0" w:color="auto"/>
            <w:right w:val="none" w:sz="0" w:space="0" w:color="auto"/>
          </w:divBdr>
        </w:div>
        <w:div w:id="209804349">
          <w:blockQuote w:val="1"/>
          <w:marLeft w:val="720"/>
          <w:marRight w:val="720"/>
          <w:marTop w:val="100"/>
          <w:marBottom w:val="100"/>
          <w:divBdr>
            <w:top w:val="none" w:sz="0" w:space="0" w:color="auto"/>
            <w:left w:val="none" w:sz="0" w:space="0" w:color="auto"/>
            <w:bottom w:val="none" w:sz="0" w:space="0" w:color="auto"/>
            <w:right w:val="none" w:sz="0" w:space="0" w:color="auto"/>
          </w:divBdr>
        </w:div>
        <w:div w:id="103153754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03458191">
      <w:bodyDiv w:val="1"/>
      <w:marLeft w:val="0"/>
      <w:marRight w:val="0"/>
      <w:marTop w:val="0"/>
      <w:marBottom w:val="0"/>
      <w:divBdr>
        <w:top w:val="none" w:sz="0" w:space="0" w:color="auto"/>
        <w:left w:val="none" w:sz="0" w:space="0" w:color="auto"/>
        <w:bottom w:val="none" w:sz="0" w:space="0" w:color="auto"/>
        <w:right w:val="none" w:sz="0" w:space="0" w:color="auto"/>
      </w:divBdr>
      <w:divsChild>
        <w:div w:id="1005983835">
          <w:blockQuote w:val="1"/>
          <w:marLeft w:val="720"/>
          <w:marRight w:val="720"/>
          <w:marTop w:val="100"/>
          <w:marBottom w:val="100"/>
          <w:divBdr>
            <w:top w:val="none" w:sz="0" w:space="0" w:color="auto"/>
            <w:left w:val="none" w:sz="0" w:space="0" w:color="auto"/>
            <w:bottom w:val="none" w:sz="0" w:space="0" w:color="auto"/>
            <w:right w:val="none" w:sz="0" w:space="0" w:color="auto"/>
          </w:divBdr>
        </w:div>
        <w:div w:id="2083209907">
          <w:blockQuote w:val="1"/>
          <w:marLeft w:val="720"/>
          <w:marRight w:val="720"/>
          <w:marTop w:val="100"/>
          <w:marBottom w:val="100"/>
          <w:divBdr>
            <w:top w:val="none" w:sz="0" w:space="0" w:color="auto"/>
            <w:left w:val="none" w:sz="0" w:space="0" w:color="auto"/>
            <w:bottom w:val="none" w:sz="0" w:space="0" w:color="auto"/>
            <w:right w:val="none" w:sz="0" w:space="0" w:color="auto"/>
          </w:divBdr>
        </w:div>
        <w:div w:id="46435130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39263363">
      <w:bodyDiv w:val="1"/>
      <w:marLeft w:val="0"/>
      <w:marRight w:val="0"/>
      <w:marTop w:val="0"/>
      <w:marBottom w:val="0"/>
      <w:divBdr>
        <w:top w:val="none" w:sz="0" w:space="0" w:color="auto"/>
        <w:left w:val="none" w:sz="0" w:space="0" w:color="auto"/>
        <w:bottom w:val="none" w:sz="0" w:space="0" w:color="auto"/>
        <w:right w:val="none" w:sz="0" w:space="0" w:color="auto"/>
      </w:divBdr>
    </w:div>
    <w:div w:id="680087945">
      <w:bodyDiv w:val="1"/>
      <w:marLeft w:val="0"/>
      <w:marRight w:val="0"/>
      <w:marTop w:val="0"/>
      <w:marBottom w:val="0"/>
      <w:divBdr>
        <w:top w:val="none" w:sz="0" w:space="0" w:color="auto"/>
        <w:left w:val="none" w:sz="0" w:space="0" w:color="auto"/>
        <w:bottom w:val="none" w:sz="0" w:space="0" w:color="auto"/>
        <w:right w:val="none" w:sz="0" w:space="0" w:color="auto"/>
      </w:divBdr>
    </w:div>
    <w:div w:id="709260479">
      <w:bodyDiv w:val="1"/>
      <w:marLeft w:val="0"/>
      <w:marRight w:val="0"/>
      <w:marTop w:val="0"/>
      <w:marBottom w:val="0"/>
      <w:divBdr>
        <w:top w:val="none" w:sz="0" w:space="0" w:color="auto"/>
        <w:left w:val="none" w:sz="0" w:space="0" w:color="auto"/>
        <w:bottom w:val="none" w:sz="0" w:space="0" w:color="auto"/>
        <w:right w:val="none" w:sz="0" w:space="0" w:color="auto"/>
      </w:divBdr>
      <w:divsChild>
        <w:div w:id="768082851">
          <w:blockQuote w:val="1"/>
          <w:marLeft w:val="720"/>
          <w:marRight w:val="720"/>
          <w:marTop w:val="100"/>
          <w:marBottom w:val="100"/>
          <w:divBdr>
            <w:top w:val="none" w:sz="0" w:space="0" w:color="auto"/>
            <w:left w:val="none" w:sz="0" w:space="0" w:color="auto"/>
            <w:bottom w:val="none" w:sz="0" w:space="0" w:color="auto"/>
            <w:right w:val="none" w:sz="0" w:space="0" w:color="auto"/>
          </w:divBdr>
        </w:div>
        <w:div w:id="225143123">
          <w:blockQuote w:val="1"/>
          <w:marLeft w:val="720"/>
          <w:marRight w:val="720"/>
          <w:marTop w:val="100"/>
          <w:marBottom w:val="100"/>
          <w:divBdr>
            <w:top w:val="none" w:sz="0" w:space="0" w:color="auto"/>
            <w:left w:val="none" w:sz="0" w:space="0" w:color="auto"/>
            <w:bottom w:val="none" w:sz="0" w:space="0" w:color="auto"/>
            <w:right w:val="none" w:sz="0" w:space="0" w:color="auto"/>
          </w:divBdr>
        </w:div>
        <w:div w:id="971137934">
          <w:blockQuote w:val="1"/>
          <w:marLeft w:val="720"/>
          <w:marRight w:val="720"/>
          <w:marTop w:val="100"/>
          <w:marBottom w:val="100"/>
          <w:divBdr>
            <w:top w:val="none" w:sz="0" w:space="0" w:color="auto"/>
            <w:left w:val="none" w:sz="0" w:space="0" w:color="auto"/>
            <w:bottom w:val="none" w:sz="0" w:space="0" w:color="auto"/>
            <w:right w:val="none" w:sz="0" w:space="0" w:color="auto"/>
          </w:divBdr>
        </w:div>
        <w:div w:id="154810640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67240475">
      <w:bodyDiv w:val="1"/>
      <w:marLeft w:val="0"/>
      <w:marRight w:val="0"/>
      <w:marTop w:val="0"/>
      <w:marBottom w:val="0"/>
      <w:divBdr>
        <w:top w:val="none" w:sz="0" w:space="0" w:color="auto"/>
        <w:left w:val="none" w:sz="0" w:space="0" w:color="auto"/>
        <w:bottom w:val="none" w:sz="0" w:space="0" w:color="auto"/>
        <w:right w:val="none" w:sz="0" w:space="0" w:color="auto"/>
      </w:divBdr>
    </w:div>
    <w:div w:id="805469829">
      <w:bodyDiv w:val="1"/>
      <w:marLeft w:val="0"/>
      <w:marRight w:val="0"/>
      <w:marTop w:val="0"/>
      <w:marBottom w:val="0"/>
      <w:divBdr>
        <w:top w:val="none" w:sz="0" w:space="0" w:color="auto"/>
        <w:left w:val="none" w:sz="0" w:space="0" w:color="auto"/>
        <w:bottom w:val="none" w:sz="0" w:space="0" w:color="auto"/>
        <w:right w:val="none" w:sz="0" w:space="0" w:color="auto"/>
      </w:divBdr>
    </w:div>
    <w:div w:id="826703859">
      <w:bodyDiv w:val="1"/>
      <w:marLeft w:val="0"/>
      <w:marRight w:val="0"/>
      <w:marTop w:val="0"/>
      <w:marBottom w:val="0"/>
      <w:divBdr>
        <w:top w:val="none" w:sz="0" w:space="0" w:color="auto"/>
        <w:left w:val="none" w:sz="0" w:space="0" w:color="auto"/>
        <w:bottom w:val="none" w:sz="0" w:space="0" w:color="auto"/>
        <w:right w:val="none" w:sz="0" w:space="0" w:color="auto"/>
      </w:divBdr>
    </w:div>
    <w:div w:id="828326329">
      <w:bodyDiv w:val="1"/>
      <w:marLeft w:val="0"/>
      <w:marRight w:val="0"/>
      <w:marTop w:val="0"/>
      <w:marBottom w:val="0"/>
      <w:divBdr>
        <w:top w:val="none" w:sz="0" w:space="0" w:color="auto"/>
        <w:left w:val="none" w:sz="0" w:space="0" w:color="auto"/>
        <w:bottom w:val="none" w:sz="0" w:space="0" w:color="auto"/>
        <w:right w:val="none" w:sz="0" w:space="0" w:color="auto"/>
      </w:divBdr>
    </w:div>
    <w:div w:id="1015576937">
      <w:bodyDiv w:val="1"/>
      <w:marLeft w:val="0"/>
      <w:marRight w:val="0"/>
      <w:marTop w:val="0"/>
      <w:marBottom w:val="0"/>
      <w:divBdr>
        <w:top w:val="none" w:sz="0" w:space="0" w:color="auto"/>
        <w:left w:val="none" w:sz="0" w:space="0" w:color="auto"/>
        <w:bottom w:val="none" w:sz="0" w:space="0" w:color="auto"/>
        <w:right w:val="none" w:sz="0" w:space="0" w:color="auto"/>
      </w:divBdr>
      <w:divsChild>
        <w:div w:id="1771585692">
          <w:blockQuote w:val="1"/>
          <w:marLeft w:val="720"/>
          <w:marRight w:val="720"/>
          <w:marTop w:val="100"/>
          <w:marBottom w:val="100"/>
          <w:divBdr>
            <w:top w:val="none" w:sz="0" w:space="0" w:color="auto"/>
            <w:left w:val="none" w:sz="0" w:space="0" w:color="auto"/>
            <w:bottom w:val="none" w:sz="0" w:space="0" w:color="auto"/>
            <w:right w:val="none" w:sz="0" w:space="0" w:color="auto"/>
          </w:divBdr>
        </w:div>
        <w:div w:id="855581149">
          <w:blockQuote w:val="1"/>
          <w:marLeft w:val="720"/>
          <w:marRight w:val="720"/>
          <w:marTop w:val="100"/>
          <w:marBottom w:val="100"/>
          <w:divBdr>
            <w:top w:val="none" w:sz="0" w:space="0" w:color="auto"/>
            <w:left w:val="none" w:sz="0" w:space="0" w:color="auto"/>
            <w:bottom w:val="none" w:sz="0" w:space="0" w:color="auto"/>
            <w:right w:val="none" w:sz="0" w:space="0" w:color="auto"/>
          </w:divBdr>
        </w:div>
        <w:div w:id="762839612">
          <w:blockQuote w:val="1"/>
          <w:marLeft w:val="720"/>
          <w:marRight w:val="720"/>
          <w:marTop w:val="100"/>
          <w:marBottom w:val="100"/>
          <w:divBdr>
            <w:top w:val="none" w:sz="0" w:space="0" w:color="auto"/>
            <w:left w:val="none" w:sz="0" w:space="0" w:color="auto"/>
            <w:bottom w:val="none" w:sz="0" w:space="0" w:color="auto"/>
            <w:right w:val="none" w:sz="0" w:space="0" w:color="auto"/>
          </w:divBdr>
        </w:div>
        <w:div w:id="109127164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94402714">
      <w:bodyDiv w:val="1"/>
      <w:marLeft w:val="0"/>
      <w:marRight w:val="0"/>
      <w:marTop w:val="0"/>
      <w:marBottom w:val="0"/>
      <w:divBdr>
        <w:top w:val="none" w:sz="0" w:space="0" w:color="auto"/>
        <w:left w:val="none" w:sz="0" w:space="0" w:color="auto"/>
        <w:bottom w:val="none" w:sz="0" w:space="0" w:color="auto"/>
        <w:right w:val="none" w:sz="0" w:space="0" w:color="auto"/>
      </w:divBdr>
    </w:div>
    <w:div w:id="1182402634">
      <w:bodyDiv w:val="1"/>
      <w:marLeft w:val="0"/>
      <w:marRight w:val="0"/>
      <w:marTop w:val="0"/>
      <w:marBottom w:val="0"/>
      <w:divBdr>
        <w:top w:val="none" w:sz="0" w:space="0" w:color="auto"/>
        <w:left w:val="none" w:sz="0" w:space="0" w:color="auto"/>
        <w:bottom w:val="none" w:sz="0" w:space="0" w:color="auto"/>
        <w:right w:val="none" w:sz="0" w:space="0" w:color="auto"/>
      </w:divBdr>
    </w:div>
    <w:div w:id="1188328670">
      <w:bodyDiv w:val="1"/>
      <w:marLeft w:val="0"/>
      <w:marRight w:val="0"/>
      <w:marTop w:val="0"/>
      <w:marBottom w:val="0"/>
      <w:divBdr>
        <w:top w:val="none" w:sz="0" w:space="0" w:color="auto"/>
        <w:left w:val="none" w:sz="0" w:space="0" w:color="auto"/>
        <w:bottom w:val="none" w:sz="0" w:space="0" w:color="auto"/>
        <w:right w:val="none" w:sz="0" w:space="0" w:color="auto"/>
      </w:divBdr>
    </w:div>
    <w:div w:id="1283345263">
      <w:bodyDiv w:val="1"/>
      <w:marLeft w:val="0"/>
      <w:marRight w:val="0"/>
      <w:marTop w:val="0"/>
      <w:marBottom w:val="0"/>
      <w:divBdr>
        <w:top w:val="none" w:sz="0" w:space="0" w:color="auto"/>
        <w:left w:val="none" w:sz="0" w:space="0" w:color="auto"/>
        <w:bottom w:val="none" w:sz="0" w:space="0" w:color="auto"/>
        <w:right w:val="none" w:sz="0" w:space="0" w:color="auto"/>
      </w:divBdr>
    </w:div>
    <w:div w:id="1317607240">
      <w:bodyDiv w:val="1"/>
      <w:marLeft w:val="0"/>
      <w:marRight w:val="0"/>
      <w:marTop w:val="0"/>
      <w:marBottom w:val="0"/>
      <w:divBdr>
        <w:top w:val="none" w:sz="0" w:space="0" w:color="auto"/>
        <w:left w:val="none" w:sz="0" w:space="0" w:color="auto"/>
        <w:bottom w:val="none" w:sz="0" w:space="0" w:color="auto"/>
        <w:right w:val="none" w:sz="0" w:space="0" w:color="auto"/>
      </w:divBdr>
    </w:div>
    <w:div w:id="1366710780">
      <w:bodyDiv w:val="1"/>
      <w:marLeft w:val="0"/>
      <w:marRight w:val="0"/>
      <w:marTop w:val="0"/>
      <w:marBottom w:val="0"/>
      <w:divBdr>
        <w:top w:val="none" w:sz="0" w:space="0" w:color="auto"/>
        <w:left w:val="none" w:sz="0" w:space="0" w:color="auto"/>
        <w:bottom w:val="none" w:sz="0" w:space="0" w:color="auto"/>
        <w:right w:val="none" w:sz="0" w:space="0" w:color="auto"/>
      </w:divBdr>
    </w:div>
    <w:div w:id="1373844565">
      <w:bodyDiv w:val="1"/>
      <w:marLeft w:val="0"/>
      <w:marRight w:val="0"/>
      <w:marTop w:val="0"/>
      <w:marBottom w:val="0"/>
      <w:divBdr>
        <w:top w:val="none" w:sz="0" w:space="0" w:color="auto"/>
        <w:left w:val="none" w:sz="0" w:space="0" w:color="auto"/>
        <w:bottom w:val="none" w:sz="0" w:space="0" w:color="auto"/>
        <w:right w:val="none" w:sz="0" w:space="0" w:color="auto"/>
      </w:divBdr>
    </w:div>
    <w:div w:id="1379285815">
      <w:bodyDiv w:val="1"/>
      <w:marLeft w:val="0"/>
      <w:marRight w:val="0"/>
      <w:marTop w:val="0"/>
      <w:marBottom w:val="0"/>
      <w:divBdr>
        <w:top w:val="none" w:sz="0" w:space="0" w:color="auto"/>
        <w:left w:val="none" w:sz="0" w:space="0" w:color="auto"/>
        <w:bottom w:val="none" w:sz="0" w:space="0" w:color="auto"/>
        <w:right w:val="none" w:sz="0" w:space="0" w:color="auto"/>
      </w:divBdr>
    </w:div>
    <w:div w:id="1405838004">
      <w:bodyDiv w:val="1"/>
      <w:marLeft w:val="0"/>
      <w:marRight w:val="0"/>
      <w:marTop w:val="0"/>
      <w:marBottom w:val="0"/>
      <w:divBdr>
        <w:top w:val="none" w:sz="0" w:space="0" w:color="auto"/>
        <w:left w:val="none" w:sz="0" w:space="0" w:color="auto"/>
        <w:bottom w:val="none" w:sz="0" w:space="0" w:color="auto"/>
        <w:right w:val="none" w:sz="0" w:space="0" w:color="auto"/>
      </w:divBdr>
    </w:div>
    <w:div w:id="1481269631">
      <w:bodyDiv w:val="1"/>
      <w:marLeft w:val="0"/>
      <w:marRight w:val="0"/>
      <w:marTop w:val="0"/>
      <w:marBottom w:val="0"/>
      <w:divBdr>
        <w:top w:val="none" w:sz="0" w:space="0" w:color="auto"/>
        <w:left w:val="none" w:sz="0" w:space="0" w:color="auto"/>
        <w:bottom w:val="none" w:sz="0" w:space="0" w:color="auto"/>
        <w:right w:val="none" w:sz="0" w:space="0" w:color="auto"/>
      </w:divBdr>
    </w:div>
    <w:div w:id="1511407525">
      <w:bodyDiv w:val="1"/>
      <w:marLeft w:val="0"/>
      <w:marRight w:val="0"/>
      <w:marTop w:val="0"/>
      <w:marBottom w:val="0"/>
      <w:divBdr>
        <w:top w:val="none" w:sz="0" w:space="0" w:color="auto"/>
        <w:left w:val="none" w:sz="0" w:space="0" w:color="auto"/>
        <w:bottom w:val="none" w:sz="0" w:space="0" w:color="auto"/>
        <w:right w:val="none" w:sz="0" w:space="0" w:color="auto"/>
      </w:divBdr>
    </w:div>
    <w:div w:id="1539708337">
      <w:bodyDiv w:val="1"/>
      <w:marLeft w:val="0"/>
      <w:marRight w:val="0"/>
      <w:marTop w:val="0"/>
      <w:marBottom w:val="0"/>
      <w:divBdr>
        <w:top w:val="none" w:sz="0" w:space="0" w:color="auto"/>
        <w:left w:val="none" w:sz="0" w:space="0" w:color="auto"/>
        <w:bottom w:val="none" w:sz="0" w:space="0" w:color="auto"/>
        <w:right w:val="none" w:sz="0" w:space="0" w:color="auto"/>
      </w:divBdr>
      <w:divsChild>
        <w:div w:id="1856648296">
          <w:blockQuote w:val="1"/>
          <w:marLeft w:val="720"/>
          <w:marRight w:val="720"/>
          <w:marTop w:val="100"/>
          <w:marBottom w:val="100"/>
          <w:divBdr>
            <w:top w:val="none" w:sz="0" w:space="0" w:color="auto"/>
            <w:left w:val="none" w:sz="0" w:space="0" w:color="auto"/>
            <w:bottom w:val="none" w:sz="0" w:space="0" w:color="auto"/>
            <w:right w:val="none" w:sz="0" w:space="0" w:color="auto"/>
          </w:divBdr>
        </w:div>
        <w:div w:id="507989417">
          <w:blockQuote w:val="1"/>
          <w:marLeft w:val="720"/>
          <w:marRight w:val="720"/>
          <w:marTop w:val="100"/>
          <w:marBottom w:val="100"/>
          <w:divBdr>
            <w:top w:val="none" w:sz="0" w:space="0" w:color="auto"/>
            <w:left w:val="none" w:sz="0" w:space="0" w:color="auto"/>
            <w:bottom w:val="none" w:sz="0" w:space="0" w:color="auto"/>
            <w:right w:val="none" w:sz="0" w:space="0" w:color="auto"/>
          </w:divBdr>
        </w:div>
        <w:div w:id="1619527569">
          <w:blockQuote w:val="1"/>
          <w:marLeft w:val="720"/>
          <w:marRight w:val="720"/>
          <w:marTop w:val="100"/>
          <w:marBottom w:val="100"/>
          <w:divBdr>
            <w:top w:val="none" w:sz="0" w:space="0" w:color="auto"/>
            <w:left w:val="none" w:sz="0" w:space="0" w:color="auto"/>
            <w:bottom w:val="none" w:sz="0" w:space="0" w:color="auto"/>
            <w:right w:val="none" w:sz="0" w:space="0" w:color="auto"/>
          </w:divBdr>
        </w:div>
        <w:div w:id="1580946081">
          <w:blockQuote w:val="1"/>
          <w:marLeft w:val="720"/>
          <w:marRight w:val="720"/>
          <w:marTop w:val="100"/>
          <w:marBottom w:val="100"/>
          <w:divBdr>
            <w:top w:val="none" w:sz="0" w:space="0" w:color="auto"/>
            <w:left w:val="none" w:sz="0" w:space="0" w:color="auto"/>
            <w:bottom w:val="none" w:sz="0" w:space="0" w:color="auto"/>
            <w:right w:val="none" w:sz="0" w:space="0" w:color="auto"/>
          </w:divBdr>
        </w:div>
        <w:div w:id="33628188">
          <w:blockQuote w:val="1"/>
          <w:marLeft w:val="720"/>
          <w:marRight w:val="720"/>
          <w:marTop w:val="100"/>
          <w:marBottom w:val="100"/>
          <w:divBdr>
            <w:top w:val="none" w:sz="0" w:space="0" w:color="auto"/>
            <w:left w:val="none" w:sz="0" w:space="0" w:color="auto"/>
            <w:bottom w:val="none" w:sz="0" w:space="0" w:color="auto"/>
            <w:right w:val="none" w:sz="0" w:space="0" w:color="auto"/>
          </w:divBdr>
        </w:div>
        <w:div w:id="166358421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45755085">
      <w:bodyDiv w:val="1"/>
      <w:marLeft w:val="0"/>
      <w:marRight w:val="0"/>
      <w:marTop w:val="0"/>
      <w:marBottom w:val="0"/>
      <w:divBdr>
        <w:top w:val="none" w:sz="0" w:space="0" w:color="auto"/>
        <w:left w:val="none" w:sz="0" w:space="0" w:color="auto"/>
        <w:bottom w:val="none" w:sz="0" w:space="0" w:color="auto"/>
        <w:right w:val="none" w:sz="0" w:space="0" w:color="auto"/>
      </w:divBdr>
    </w:div>
    <w:div w:id="1697534568">
      <w:bodyDiv w:val="1"/>
      <w:marLeft w:val="0"/>
      <w:marRight w:val="0"/>
      <w:marTop w:val="0"/>
      <w:marBottom w:val="0"/>
      <w:divBdr>
        <w:top w:val="none" w:sz="0" w:space="0" w:color="auto"/>
        <w:left w:val="none" w:sz="0" w:space="0" w:color="auto"/>
        <w:bottom w:val="none" w:sz="0" w:space="0" w:color="auto"/>
        <w:right w:val="none" w:sz="0" w:space="0" w:color="auto"/>
      </w:divBdr>
    </w:div>
    <w:div w:id="1711611211">
      <w:bodyDiv w:val="1"/>
      <w:marLeft w:val="0"/>
      <w:marRight w:val="0"/>
      <w:marTop w:val="0"/>
      <w:marBottom w:val="0"/>
      <w:divBdr>
        <w:top w:val="none" w:sz="0" w:space="0" w:color="auto"/>
        <w:left w:val="none" w:sz="0" w:space="0" w:color="auto"/>
        <w:bottom w:val="none" w:sz="0" w:space="0" w:color="auto"/>
        <w:right w:val="none" w:sz="0" w:space="0" w:color="auto"/>
      </w:divBdr>
    </w:div>
    <w:div w:id="1736774645">
      <w:bodyDiv w:val="1"/>
      <w:marLeft w:val="0"/>
      <w:marRight w:val="0"/>
      <w:marTop w:val="0"/>
      <w:marBottom w:val="0"/>
      <w:divBdr>
        <w:top w:val="none" w:sz="0" w:space="0" w:color="auto"/>
        <w:left w:val="none" w:sz="0" w:space="0" w:color="auto"/>
        <w:bottom w:val="none" w:sz="0" w:space="0" w:color="auto"/>
        <w:right w:val="none" w:sz="0" w:space="0" w:color="auto"/>
      </w:divBdr>
    </w:div>
    <w:div w:id="1744595144">
      <w:bodyDiv w:val="1"/>
      <w:marLeft w:val="0"/>
      <w:marRight w:val="0"/>
      <w:marTop w:val="0"/>
      <w:marBottom w:val="0"/>
      <w:divBdr>
        <w:top w:val="none" w:sz="0" w:space="0" w:color="auto"/>
        <w:left w:val="none" w:sz="0" w:space="0" w:color="auto"/>
        <w:bottom w:val="none" w:sz="0" w:space="0" w:color="auto"/>
        <w:right w:val="none" w:sz="0" w:space="0" w:color="auto"/>
      </w:divBdr>
    </w:div>
    <w:div w:id="1774863414">
      <w:bodyDiv w:val="1"/>
      <w:marLeft w:val="0"/>
      <w:marRight w:val="0"/>
      <w:marTop w:val="0"/>
      <w:marBottom w:val="0"/>
      <w:divBdr>
        <w:top w:val="none" w:sz="0" w:space="0" w:color="auto"/>
        <w:left w:val="none" w:sz="0" w:space="0" w:color="auto"/>
        <w:bottom w:val="none" w:sz="0" w:space="0" w:color="auto"/>
        <w:right w:val="none" w:sz="0" w:space="0" w:color="auto"/>
      </w:divBdr>
    </w:div>
    <w:div w:id="1793018270">
      <w:bodyDiv w:val="1"/>
      <w:marLeft w:val="0"/>
      <w:marRight w:val="0"/>
      <w:marTop w:val="0"/>
      <w:marBottom w:val="0"/>
      <w:divBdr>
        <w:top w:val="none" w:sz="0" w:space="0" w:color="auto"/>
        <w:left w:val="none" w:sz="0" w:space="0" w:color="auto"/>
        <w:bottom w:val="none" w:sz="0" w:space="0" w:color="auto"/>
        <w:right w:val="none" w:sz="0" w:space="0" w:color="auto"/>
      </w:divBdr>
      <w:divsChild>
        <w:div w:id="43378526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62570262">
      <w:bodyDiv w:val="1"/>
      <w:marLeft w:val="0"/>
      <w:marRight w:val="0"/>
      <w:marTop w:val="0"/>
      <w:marBottom w:val="0"/>
      <w:divBdr>
        <w:top w:val="none" w:sz="0" w:space="0" w:color="auto"/>
        <w:left w:val="none" w:sz="0" w:space="0" w:color="auto"/>
        <w:bottom w:val="none" w:sz="0" w:space="0" w:color="auto"/>
        <w:right w:val="none" w:sz="0" w:space="0" w:color="auto"/>
      </w:divBdr>
      <w:divsChild>
        <w:div w:id="1787457245">
          <w:blockQuote w:val="1"/>
          <w:marLeft w:val="720"/>
          <w:marRight w:val="720"/>
          <w:marTop w:val="100"/>
          <w:marBottom w:val="100"/>
          <w:divBdr>
            <w:top w:val="none" w:sz="0" w:space="0" w:color="auto"/>
            <w:left w:val="none" w:sz="0" w:space="0" w:color="auto"/>
            <w:bottom w:val="none" w:sz="0" w:space="0" w:color="auto"/>
            <w:right w:val="none" w:sz="0" w:space="0" w:color="auto"/>
          </w:divBdr>
        </w:div>
        <w:div w:id="1609774762">
          <w:blockQuote w:val="1"/>
          <w:marLeft w:val="720"/>
          <w:marRight w:val="720"/>
          <w:marTop w:val="100"/>
          <w:marBottom w:val="100"/>
          <w:divBdr>
            <w:top w:val="none" w:sz="0" w:space="0" w:color="auto"/>
            <w:left w:val="none" w:sz="0" w:space="0" w:color="auto"/>
            <w:bottom w:val="none" w:sz="0" w:space="0" w:color="auto"/>
            <w:right w:val="none" w:sz="0" w:space="0" w:color="auto"/>
          </w:divBdr>
        </w:div>
        <w:div w:id="131093999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99840492">
      <w:bodyDiv w:val="1"/>
      <w:marLeft w:val="0"/>
      <w:marRight w:val="0"/>
      <w:marTop w:val="0"/>
      <w:marBottom w:val="0"/>
      <w:divBdr>
        <w:top w:val="none" w:sz="0" w:space="0" w:color="auto"/>
        <w:left w:val="none" w:sz="0" w:space="0" w:color="auto"/>
        <w:bottom w:val="none" w:sz="0" w:space="0" w:color="auto"/>
        <w:right w:val="none" w:sz="0" w:space="0" w:color="auto"/>
      </w:divBdr>
    </w:div>
    <w:div w:id="2054958406">
      <w:bodyDiv w:val="1"/>
      <w:marLeft w:val="0"/>
      <w:marRight w:val="0"/>
      <w:marTop w:val="0"/>
      <w:marBottom w:val="0"/>
      <w:divBdr>
        <w:top w:val="none" w:sz="0" w:space="0" w:color="auto"/>
        <w:left w:val="none" w:sz="0" w:space="0" w:color="auto"/>
        <w:bottom w:val="none" w:sz="0" w:space="0" w:color="auto"/>
        <w:right w:val="none" w:sz="0" w:space="0" w:color="auto"/>
      </w:divBdr>
      <w:divsChild>
        <w:div w:id="1950895890">
          <w:blockQuote w:val="1"/>
          <w:marLeft w:val="720"/>
          <w:marRight w:val="720"/>
          <w:marTop w:val="100"/>
          <w:marBottom w:val="100"/>
          <w:divBdr>
            <w:top w:val="none" w:sz="0" w:space="0" w:color="auto"/>
            <w:left w:val="none" w:sz="0" w:space="0" w:color="auto"/>
            <w:bottom w:val="none" w:sz="0" w:space="0" w:color="auto"/>
            <w:right w:val="none" w:sz="0" w:space="0" w:color="auto"/>
          </w:divBdr>
        </w:div>
        <w:div w:id="201236439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78161536">
      <w:bodyDiv w:val="1"/>
      <w:marLeft w:val="0"/>
      <w:marRight w:val="0"/>
      <w:marTop w:val="0"/>
      <w:marBottom w:val="0"/>
      <w:divBdr>
        <w:top w:val="none" w:sz="0" w:space="0" w:color="auto"/>
        <w:left w:val="none" w:sz="0" w:space="0" w:color="auto"/>
        <w:bottom w:val="none" w:sz="0" w:space="0" w:color="auto"/>
        <w:right w:val="none" w:sz="0" w:space="0" w:color="auto"/>
      </w:divBdr>
    </w:div>
    <w:div w:id="2147384280">
      <w:bodyDiv w:val="1"/>
      <w:marLeft w:val="0"/>
      <w:marRight w:val="0"/>
      <w:marTop w:val="0"/>
      <w:marBottom w:val="0"/>
      <w:divBdr>
        <w:top w:val="none" w:sz="0" w:space="0" w:color="auto"/>
        <w:left w:val="none" w:sz="0" w:space="0" w:color="auto"/>
        <w:bottom w:val="none" w:sz="0" w:space="0" w:color="auto"/>
        <w:right w:val="none" w:sz="0" w:space="0" w:color="auto"/>
      </w:divBdr>
      <w:divsChild>
        <w:div w:id="1717271307">
          <w:marLeft w:val="2700"/>
          <w:marRight w:val="150"/>
          <w:marTop w:val="0"/>
          <w:marBottom w:val="0"/>
          <w:divBdr>
            <w:top w:val="none" w:sz="0" w:space="0" w:color="auto"/>
            <w:left w:val="none" w:sz="0" w:space="0" w:color="auto"/>
            <w:bottom w:val="none" w:sz="0" w:space="0" w:color="auto"/>
            <w:right w:val="none" w:sz="0" w:space="0" w:color="auto"/>
          </w:divBdr>
          <w:divsChild>
            <w:div w:id="1815095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image" Target="media/image7.e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emf"/><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5.emf"/><Relationship Id="rId4" Type="http://schemas.openxmlformats.org/officeDocument/2006/relationships/settings" Target="settings.xml"/><Relationship Id="rId9" Type="http://schemas.openxmlformats.org/officeDocument/2006/relationships/image" Target="media/image4.emf"/><Relationship Id="rId14" Type="http://schemas.openxmlformats.org/officeDocument/2006/relationships/fontTable" Target="fontTable.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D3B35B-7B3B-424F-AEEA-FB0DDCA37A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1992</TotalTime>
  <Pages>32</Pages>
  <Words>9107</Words>
  <Characters>45535</Characters>
  <Application>Microsoft Office Word</Application>
  <DocSecurity>0</DocSecurity>
  <Lines>379</Lines>
  <Paragraphs>109</Paragraphs>
  <ScaleCrop>false</ScaleCrop>
  <HeadingPairs>
    <vt:vector size="2" baseType="variant">
      <vt:variant>
        <vt:lpstr>שם</vt:lpstr>
      </vt:variant>
      <vt:variant>
        <vt:i4>1</vt:i4>
      </vt:variant>
    </vt:vector>
  </HeadingPairs>
  <TitlesOfParts>
    <vt:vector size="1" baseType="lpstr">
      <vt:lpstr/>
    </vt:vector>
  </TitlesOfParts>
  <Company>IPLAN</Company>
  <LinksUpToDate>false</LinksUpToDate>
  <CharactersWithSpaces>54533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הלל גלקופ</dc:creator>
  <cp:keywords/>
  <dc:description/>
  <cp:lastModifiedBy>הלל גלקופ</cp:lastModifiedBy>
  <cp:revision>346</cp:revision>
  <dcterms:created xsi:type="dcterms:W3CDTF">2026-07-13T22:30:00Z</dcterms:created>
  <dcterms:modified xsi:type="dcterms:W3CDTF">2026-08-02T09:41:00Z</dcterms:modified>
</cp:coreProperties>
</file>